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48"/>
          <w:szCs w:val="48"/>
        </w:rPr>
        <w:t xml:space="preserve">CAREER GAP ANALYSIS  v2</w:t>
      </w:r>
    </w:p>
    <w:p>
      <w:pPr>
        <w:spacing w:after="80"/>
      </w:pPr>
      <w:r>
        <w:rPr>
          <w:rFonts w:ascii="Arial" w:cs="Arial" w:eastAsia="Arial" w:hAnsi="Arial"/>
          <w:color w:val="2E5FA3"/>
          <w:sz w:val="32"/>
          <w:szCs w:val="32"/>
        </w:rPr>
        <w:t xml:space="preserve">Engineering Manager &amp; Head of Engineering</w:t>
      </w:r>
    </w:p>
    <w:p>
      <w:pPr>
        <w:spacing w:after="60"/>
      </w:pPr>
      <w:r>
        <w:rPr>
          <w:rFonts w:ascii="Arial" w:cs="Arial" w:eastAsia="Arial" w:hAnsi="Arial"/>
          <w:color w:val="555555"/>
          <w:sz w:val="22"/>
          <w:szCs w:val="22"/>
        </w:rPr>
        <w:t xml:space="preserve">Alan Soto  |  Brisbane, QLD  |  June 2026</w:t>
      </w:r>
    </w:p>
    <w:p>
      <w:pPr>
        <w:spacing w:after="80"/>
      </w:pPr>
      <w:r>
        <w:rPr>
          <w:rFonts w:ascii="Arial" w:cs="Arial" w:eastAsia="Arial" w:hAnsi="Arial"/>
          <w:i/>
          <w:iCs/>
          <w:color w:val="888888"/>
          <w:sz w:val="20"/>
          <w:szCs w:val="20"/>
        </w:rPr>
        <w:t xml:space="preserve">Synthesised from dual-AI research and live market data</w:t>
      </w:r>
    </w:p>
    <w:p>
      <w:pPr>
        <w:pBdr>
          <w:bottom w:val="single" w:color="2E5FA3" w:sz="12" w:space="4"/>
        </w:pBdr>
        <w:spacing w:after="400"/>
      </w:pPr>
    </w:p>
    <w:p>
      <w:pPr>
        <w:pStyle w:val="Heading1"/>
      </w:pPr>
      <w:r>
        <w:rPr>
          <w:rFonts w:ascii="Arial" w:cs="Arial" w:eastAsia="Arial" w:hAnsi="Arial"/>
          <w:b/>
          <w:bCs/>
          <w:color w:val="1F3864"/>
          <w:sz w:val="32"/>
          <w:szCs w:val="32"/>
        </w:rPr>
        <w:t xml:space="preserve">Executive Summary</w:t>
      </w:r>
    </w:p>
    <w:p>
      <w:pPr>
        <w:spacing w:after="140"/>
      </w:pPr>
      <w:r>
        <w:rPr>
          <w:rFonts w:ascii="Arial" w:cs="Arial" w:eastAsia="Arial" w:hAnsi="Arial"/>
          <w:sz w:val="22"/>
          <w:szCs w:val="22"/>
        </w:rPr>
        <w:t xml:space="preserve">Alan Soto is a Brisbane-based technical leader with 23 years of experience spanning software engineering, systems architecture, product strategy, program delivery, and coaching. His goal is to transition into an Engineering Manager (EM) or Head of Engineering (HoE) role in the software industry.</w:t>
      </w:r>
    </w:p>
    <w:p>
      <w:pPr>
        <w:spacing w:after="180"/>
      </w:pPr>
    </w:p>
    <w:p>
      <w:pPr>
        <w:spacing w:after="140"/>
      </w:pPr>
      <w:r>
        <w:rPr>
          <w:rFonts w:ascii="Arial" w:cs="Arial" w:eastAsia="Arial" w:hAnsi="Arial"/>
          <w:sz w:val="22"/>
          <w:szCs w:val="22"/>
        </w:rPr>
        <w:t xml:space="preserve">This is the second iteration of the gap analysis, synthesised from two independent AI research passes and live market data. New material incorporated into this version includes: the agentic coding reframe, management flattening industry data, Team Topologies and RACI frameworks, the reframe strategy column in the gap table, and phased development plan improvements.</w:t>
      </w:r>
    </w:p>
    <w:p>
      <w:pPr>
        <w:spacing w:after="180"/>
      </w:pPr>
    </w:p>
    <w:p>
      <w:pPr>
        <w:spacing w:after="140"/>
      </w:pPr>
      <w:r>
        <w:rPr>
          <w:rFonts w:ascii="Arial" w:cs="Arial" w:eastAsia="Arial" w:hAnsi="Arial"/>
          <w:b/>
          <w:bCs/>
          <w:sz w:val="22"/>
          <w:szCs w:val="22"/>
        </w:rPr>
        <w:t xml:space="preserve">Verdict: </w:t>
      </w:r>
      <w:r>
        <w:rPr>
          <w:rFonts w:ascii="Arial" w:cs="Arial" w:eastAsia="Arial" w:hAnsi="Arial"/>
          <w:sz w:val="22"/>
          <w:szCs w:val="22"/>
        </w:rPr>
        <w:t xml:space="preserve">Alan is well-positioned for this transition. The gaps are specific, addressable, and not unusual for a TPM-track leader making this move. The most critical investments are: (1) getting formal people management reps — ideally inside Xero before actively job-searching; (2) completing an AWS certification; (3) building DORA metric fluency; and (4) mastering the agentic coding orchestration narrative, which turns Alan's deepest TPM skill into a forward-looking EM advantage.</w:t>
      </w:r>
    </w:p>
    <w:p>
      <w:pPr>
        <w:spacing w:after="180"/>
      </w:pPr>
    </w:p>
    <w:p>
      <w:r>
        <w:br w:type="page"/>
      </w:r>
    </w:p>
    <w:p>
      <w:pPr>
        <w:pStyle w:val="Heading1"/>
      </w:pPr>
      <w:r>
        <w:rPr>
          <w:rFonts w:ascii="Arial" w:cs="Arial" w:eastAsia="Arial" w:hAnsi="Arial"/>
          <w:b/>
          <w:bCs/>
          <w:color w:val="1F3864"/>
          <w:sz w:val="32"/>
          <w:szCs w:val="32"/>
        </w:rPr>
        <w:t xml:space="preserve">1. Industry Context: Why This Transition Matters Now</w:t>
      </w:r>
    </w:p>
    <w:p>
      <w:pPr>
        <w:spacing w:after="140"/>
      </w:pPr>
      <w:r>
        <w:rPr>
          <w:rFonts w:ascii="Arial" w:cs="Arial" w:eastAsia="Arial" w:hAnsi="Arial"/>
          <w:sz w:val="22"/>
          <w:szCs w:val="22"/>
        </w:rPr>
        <w:t xml:space="preserve">Understanding the macro forces reshaping engineering leadership is not background reading — it is interview material. Hiring managers at software companies in 2026 expect EM candidates to understand the environment they are stepping into.</w:t>
      </w:r>
    </w:p>
    <w:p>
      <w:pPr>
        <w:spacing w:after="180"/>
      </w:pPr>
    </w:p>
    <w:p>
      <w:pPr>
        <w:pStyle w:val="Heading2"/>
      </w:pPr>
      <w:r>
        <w:rPr>
          <w:rFonts w:ascii="Arial" w:cs="Arial" w:eastAsia="Arial" w:hAnsi="Arial"/>
          <w:b/>
          <w:bCs/>
          <w:color w:val="2E5FA3"/>
          <w:sz w:val="26"/>
          <w:szCs w:val="26"/>
        </w:rPr>
        <w:t xml:space="preserve">1.1 Management Flattening</w:t>
      </w:r>
    </w:p>
    <w:p>
      <w:pPr>
        <w:spacing w:after="140"/>
      </w:pPr>
      <w:r>
        <w:rPr>
          <w:rFonts w:ascii="Arial" w:cs="Arial" w:eastAsia="Arial" w:hAnsi="Arial"/>
          <w:sz w:val="22"/>
          <w:szCs w:val="22"/>
        </w:rPr>
        <w:t xml:space="preserve">Major tech organisations have executed significant restructuring of middle management layers in recent years:</w:t>
      </w:r>
    </w:p>
    <w:p>
      <w:pPr>
        <w:pStyle w:val="ListParagraph"/>
        <w:numPr>
          <w:ilvl w:val="0"/>
          <w:numId w:val="2"/>
        </w:numPr>
        <w:spacing w:after="80"/>
      </w:pPr>
      <w:r>
        <w:rPr>
          <w:rFonts w:ascii="Arial" w:cs="Arial" w:eastAsia="Arial" w:hAnsi="Arial"/>
          <w:sz w:val="22"/>
          <w:szCs w:val="22"/>
        </w:rPr>
        <w:t xml:space="preserve">Google removed approximately 35% of engineering managers overseeing fewer than three direct reports, concentrating management into higher-leverage leaders with broader spans of control.</w:t>
      </w:r>
    </w:p>
    <w:p>
      <w:pPr>
        <w:pStyle w:val="ListParagraph"/>
        <w:numPr>
          <w:ilvl w:val="0"/>
          <w:numId w:val="2"/>
        </w:numPr>
        <w:spacing w:after="80"/>
      </w:pPr>
      <w:r>
        <w:rPr>
          <w:rFonts w:ascii="Arial" w:cs="Arial" w:eastAsia="Arial" w:hAnsi="Arial"/>
          <w:sz w:val="22"/>
          <w:szCs w:val="22"/>
        </w:rPr>
        <w:t xml:space="preserve">Amazon mandated a 15% increase in the IC-to-manager ratio across engineering organisations, increasing expected team sizes and making each EM accountable for more headcount.</w:t>
      </w:r>
    </w:p>
    <w:p>
      <w:pPr>
        <w:pStyle w:val="ListParagraph"/>
        <w:numPr>
          <w:ilvl w:val="0"/>
          <w:numId w:val="2"/>
        </w:numPr>
        <w:spacing w:after="80"/>
      </w:pPr>
      <w:r>
        <w:rPr>
          <w:rFonts w:ascii="Arial" w:cs="Arial" w:eastAsia="Arial" w:hAnsi="Arial"/>
          <w:sz w:val="22"/>
          <w:szCs w:val="22"/>
        </w:rPr>
        <w:t xml:space="preserve">Globally, middle-management job postings are down approximately 42% versus 2022 peak levels.</w:t>
      </w:r>
    </w:p>
    <w:p>
      <w:pPr>
        <w:spacing w:after="180"/>
      </w:pPr>
    </w:p>
    <w:p>
      <w:pPr>
        <w:spacing w:after="140"/>
      </w:pPr>
      <w:r>
        <w:rPr>
          <w:rFonts w:ascii="Arial" w:cs="Arial" w:eastAsia="Arial" w:hAnsi="Arial"/>
          <w:sz w:val="22"/>
          <w:szCs w:val="22"/>
        </w:rPr>
        <w:t xml:space="preserve">The implication for Alan: EMs in 2026 are hired to amplify, not merely coordinate. The expectation is that each EM demonstrably improves team velocity, retention, and technical quality — not that they relay status updates upward. Alan's "operating system builder" track record addresses this expectation directly.</w:t>
      </w:r>
    </w:p>
    <w:p>
      <w:pPr>
        <w:spacing w:after="180"/>
      </w:pPr>
    </w:p>
    <w:p>
      <w:pPr>
        <w:pStyle w:val="Heading2"/>
      </w:pPr>
      <w:r>
        <w:rPr>
          <w:rFonts w:ascii="Arial" w:cs="Arial" w:eastAsia="Arial" w:hAnsi="Arial"/>
          <w:b/>
          <w:bCs/>
          <w:color w:val="2E5FA3"/>
          <w:sz w:val="26"/>
          <w:szCs w:val="26"/>
        </w:rPr>
        <w:t xml:space="preserve">1.2 The Agentic Coding Shift — A Strategic Opportunity</w:t>
      </w:r>
    </w:p>
    <w:p>
      <w:pPr>
        <w:spacing w:after="140"/>
      </w:pPr>
      <w:r>
        <w:rPr>
          <w:rFonts w:ascii="Arial" w:cs="Arial" w:eastAsia="Arial" w:hAnsi="Arial"/>
          <w:sz w:val="22"/>
          <w:szCs w:val="22"/>
        </w:rPr>
        <w:t xml:space="preserve">The most significant structural change in software engineering leadership in 2026 is the rise of agentic coding: AI agents that write, test, debug, and deploy code end-to-end based on objectives set by a human orchestrator. This is not a future trend — it is current practice at leading tech companies.</w:t>
      </w:r>
    </w:p>
    <w:p>
      <w:pPr>
        <w:spacing w:after="180"/>
      </w:pPr>
    </w:p>
    <w:p>
      <w:pPr>
        <w:spacing w:after="140"/>
      </w:pPr>
      <w:r>
        <w:rPr>
          <w:rFonts w:ascii="Arial" w:cs="Arial" w:eastAsia="Arial" w:hAnsi="Arial"/>
          <w:sz w:val="22"/>
          <w:szCs w:val="22"/>
        </w:rPr>
        <w:t xml:space="preserve">The critical insight for Alan: the skills of an elite Technical Program Manager — task decomposition, context-setting, clear objective definition, delegation to parallel workstreams, and progress monitoring — are functionally identical to the skills required to orchestrate parallel AI coding agents. Alan's core competency does not become less valuable in an agentic world; it becomes the defining skill of an effective EM.</w:t>
      </w:r>
    </w:p>
    <w:p>
      <w:pPr>
        <w:spacing w:after="180"/>
      </w:pPr>
    </w:p>
    <w:p>
      <w:pPr>
        <w:spacing w:after="140"/>
      </w:pPr>
      <w:r>
        <w:rPr>
          <w:rFonts w:ascii="Arial" w:cs="Arial" w:eastAsia="Arial" w:hAnsi="Arial"/>
          <w:sz w:val="22"/>
          <w:szCs w:val="22"/>
        </w:rPr>
        <w:t xml:space="preserve">This reframe should be part of Alan's interview narrative: "My background in program orchestration positions me to lead effectively in an AI-augmented engineering environment. I understand how to decompose complex technical goals into clear, executable units of work — whether those units are executed by engineers, or increasingly, by AI agents supervised by engineers."</w:t>
      </w:r>
    </w:p>
    <w:p>
      <w:pPr>
        <w:spacing w:after="180"/>
      </w:pPr>
    </w:p>
    <w:p>
      <w:pPr>
        <w:pStyle w:val="Heading2"/>
      </w:pPr>
      <w:r>
        <w:rPr>
          <w:rFonts w:ascii="Arial" w:cs="Arial" w:eastAsia="Arial" w:hAnsi="Arial"/>
          <w:b/>
          <w:bCs/>
          <w:color w:val="2E5FA3"/>
          <w:sz w:val="26"/>
          <w:szCs w:val="26"/>
        </w:rPr>
        <w:t xml:space="preserve">1.3 AI Engineering Demand</w:t>
      </w:r>
    </w:p>
    <w:p>
      <w:pPr>
        <w:spacing w:after="140"/>
      </w:pPr>
      <w:r>
        <w:rPr>
          <w:rFonts w:ascii="Arial" w:cs="Arial" w:eastAsia="Arial" w:hAnsi="Arial"/>
          <w:sz w:val="22"/>
          <w:szCs w:val="22"/>
        </w:rPr>
        <w:t xml:space="preserve">AI-related engineering roles have grown 74% year-over-year. EMs who can manage AI-augmented teams — evaluate AI-assisted code quality, set effective standards for AI tool use, and adapt team review and testing practices — earn approximately 15% more than those without this capability. Nearly 60% of engineering management tasks now involve AI-assisted decision-making. This is not a niche specialisation; it is baseline table stakes by 2026.</w:t>
      </w:r>
    </w:p>
    <w:p>
      <w:pPr>
        <w:spacing w:after="180"/>
      </w:pPr>
    </w:p>
    <w:p>
      <w:r>
        <w:br w:type="page"/>
      </w:r>
    </w:p>
    <w:p>
      <w:pPr>
        <w:pStyle w:val="Heading1"/>
      </w:pPr>
      <w:r>
        <w:rPr>
          <w:rFonts w:ascii="Arial" w:cs="Arial" w:eastAsia="Arial" w:hAnsi="Arial"/>
          <w:b/>
          <w:bCs/>
          <w:color w:val="1F3864"/>
          <w:sz w:val="32"/>
          <w:szCs w:val="32"/>
        </w:rPr>
        <w:t xml:space="preserve">2. Role Definitions &amp; What the Market Expects</w:t>
      </w:r>
    </w:p>
    <w:p>
      <w:pPr>
        <w:spacing w:after="180"/>
      </w:pPr>
    </w:p>
    <w:p>
      <w:pPr>
        <w:pStyle w:val="Heading2"/>
      </w:pPr>
      <w:r>
        <w:rPr>
          <w:rFonts w:ascii="Arial" w:cs="Arial" w:eastAsia="Arial" w:hAnsi="Arial"/>
          <w:b/>
          <w:bCs/>
          <w:color w:val="2E5FA3"/>
          <w:sz w:val="26"/>
          <w:szCs w:val="26"/>
        </w:rPr>
        <w:t xml:space="preserve">2.1 Engineering Manager vs. Head of Engineering</w:t>
      </w:r>
    </w:p>
    <w:p>
      <w:pPr>
        <w:spacing w:after="140"/>
      </w:pPr>
      <w:r>
        <w:rPr>
          <w:rFonts w:ascii="Arial" w:cs="Arial" w:eastAsia="Arial" w:hAnsi="Arial"/>
          <w:sz w:val="22"/>
          <w:szCs w:val="22"/>
        </w:rPr>
        <w:t xml:space="preserve">These two roles are related but operate at fundamentally different accountability horizons. Most HoE roles expect demonstrable prior EM experience.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Parameter</w:t>
            </w:r>
          </w:p>
        </w:tc>
        <w:tc>
          <w:tcPr>
            <w:tcW w:type="dxa" w:w="358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Engineering Manager (EM)</w:t>
            </w:r>
          </w:p>
        </w:tc>
        <w:tc>
          <w:tcPr>
            <w:tcW w:type="dxa" w:w="358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Head of Engineering (HoE)</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Span of Control</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5–10 direct-report software engineers.</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30–100+ engineers via 3–6 direct-report EMs.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Operational Horizon</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Sprint cycles, immediate epic deliveries, quarterly roadmap.</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Multi-quarter strategy, annual business cycles, tech investment roadmap.</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Primary Success Metrics</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Team velocity, delivery predictability, developer retention, DORA scores.</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Multi-team alignment, business enablement, cost-centre margins, tech investment ROI.</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People Accountability</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1:1s, performance reviews, PIPs, hiring, compensation, career development.</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Team topology design, headcount allocation, EM coaching, career framework ownership.</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Technical Engagement</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Hands-on architecture review, code quality governance, technical debt management.</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Enterprise-level architectural steering, technical risk portfolio, build vs buy decisions.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Budget</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Minimal or no direct budget ownership.</w:t>
            </w:r>
          </w:p>
        </w:tc>
        <w:tc>
          <w:tcPr>
            <w:tcW w:type="dxa" w:w="358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Direct departmental budget and headcount ownership.</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Org Design</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Single team structure and ways of working.</w:t>
            </w:r>
          </w:p>
        </w:tc>
        <w:tc>
          <w:tcPr>
            <w:tcW w:type="dxa" w:w="358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Multi-team topology design (stream-aligned, platform, enabling teams).</w:t>
            </w:r>
          </w:p>
        </w:tc>
      </w:tr>
    </w:tbl>
    <w:p>
      <w:pPr>
        <w:spacing w:after="180"/>
      </w:pPr>
    </w:p>
    <w:p>
      <w:pPr>
        <w:pStyle w:val="Heading2"/>
      </w:pPr>
      <w:r>
        <w:rPr>
          <w:rFonts w:ascii="Arial" w:cs="Arial" w:eastAsia="Arial" w:hAnsi="Arial"/>
          <w:b/>
          <w:bCs/>
          <w:color w:val="2E5FA3"/>
          <w:sz w:val="26"/>
          <w:szCs w:val="26"/>
        </w:rPr>
        <w:t xml:space="preserve">2.2 The 2026 EM Interview: Six Axes</w:t>
      </w:r>
    </w:p>
    <w:p>
      <w:pPr>
        <w:spacing w:after="140"/>
      </w:pPr>
      <w:r>
        <w:rPr>
          <w:rFonts w:ascii="Arial" w:cs="Arial" w:eastAsia="Arial" w:hAnsi="Arial"/>
          <w:sz w:val="22"/>
          <w:szCs w:val="22"/>
        </w:rPr>
        <w:t xml:space="preserve">EM interview loops at modern software companies now evaluate six dimensions — the traditional five plus a hardened sixth added in 2025–2026:</w:t>
      </w:r>
    </w:p>
    <w:p>
      <w:pPr>
        <w:pStyle w:val="ListParagraph"/>
        <w:numPr>
          <w:ilvl w:val="0"/>
          <w:numId w:val="2"/>
        </w:numPr>
        <w:spacing w:after="80"/>
      </w:pPr>
      <w:r>
        <w:rPr>
          <w:rFonts w:ascii="Arial" w:cs="Arial" w:eastAsia="Arial" w:hAnsi="Arial"/>
          <w:sz w:val="22"/>
          <w:szCs w:val="22"/>
        </w:rPr>
        <w:t xml:space="preserve">People leadership — 1:1s, performance, career development, psychological safety.</w:t>
      </w:r>
    </w:p>
    <w:p>
      <w:pPr>
        <w:pStyle w:val="ListParagraph"/>
        <w:numPr>
          <w:ilvl w:val="0"/>
          <w:numId w:val="2"/>
        </w:numPr>
        <w:spacing w:after="80"/>
      </w:pPr>
      <w:r>
        <w:rPr>
          <w:rFonts w:ascii="Arial" w:cs="Arial" w:eastAsia="Arial" w:hAnsi="Arial"/>
          <w:sz w:val="22"/>
          <w:szCs w:val="22"/>
        </w:rPr>
        <w:t xml:space="preserve">Technical judgment — architecture decisions, code quality, technical debt trade-offs.</w:t>
      </w:r>
    </w:p>
    <w:p>
      <w:pPr>
        <w:pStyle w:val="ListParagraph"/>
        <w:numPr>
          <w:ilvl w:val="0"/>
          <w:numId w:val="2"/>
        </w:numPr>
        <w:spacing w:after="80"/>
      </w:pPr>
      <w:r>
        <w:rPr>
          <w:rFonts w:ascii="Arial" w:cs="Arial" w:eastAsia="Arial" w:hAnsi="Arial"/>
          <w:sz w:val="22"/>
          <w:szCs w:val="22"/>
        </w:rPr>
        <w:t xml:space="preserve">Project execution — delivery, planning, risk management, dependency navigation.</w:t>
      </w:r>
    </w:p>
    <w:p>
      <w:pPr>
        <w:pStyle w:val="ListParagraph"/>
        <w:numPr>
          <w:ilvl w:val="0"/>
          <w:numId w:val="2"/>
        </w:numPr>
        <w:spacing w:after="80"/>
      </w:pPr>
      <w:r>
        <w:rPr>
          <w:rFonts w:ascii="Arial" w:cs="Arial" w:eastAsia="Arial" w:hAnsi="Arial"/>
          <w:sz w:val="22"/>
          <w:szCs w:val="22"/>
        </w:rPr>
        <w:t xml:space="preserve">Cross-functional collaboration — product/design/stakeholder alignment.</w:t>
      </w:r>
    </w:p>
    <w:p>
      <w:pPr>
        <w:pStyle w:val="ListParagraph"/>
        <w:numPr>
          <w:ilvl w:val="0"/>
          <w:numId w:val="2"/>
        </w:numPr>
        <w:spacing w:after="80"/>
      </w:pPr>
      <w:r>
        <w:rPr>
          <w:rFonts w:ascii="Arial" w:cs="Arial" w:eastAsia="Arial" w:hAnsi="Arial"/>
          <w:sz w:val="22"/>
          <w:szCs w:val="22"/>
        </w:rPr>
        <w:t xml:space="preserve">Culture — engineering culture building, D&amp;I, team health.</w:t>
      </w:r>
    </w:p>
    <w:p>
      <w:pPr>
        <w:pStyle w:val="ListParagraph"/>
        <w:numPr>
          <w:ilvl w:val="0"/>
          <w:numId w:val="2"/>
        </w:numPr>
        <w:spacing w:after="80"/>
      </w:pPr>
      <w:r>
        <w:rPr>
          <w:rFonts w:ascii="Arial" w:cs="Arial" w:eastAsia="Arial" w:hAnsi="Arial"/>
          <w:sz w:val="22"/>
          <w:szCs w:val="22"/>
        </w:rPr>
        <w:t xml:space="preserve">AI-augmented team management — leading engineers who use AI tools heavily; evaluating AI-assisted code quality; adapting review and testing practices.</w:t>
      </w:r>
    </w:p>
    <w:p>
      <w:pPr>
        <w:spacing w:after="180"/>
      </w:pPr>
    </w:p>
    <w:p>
      <w:pPr>
        <w:pStyle w:val="Heading1"/>
      </w:pPr>
      <w:r>
        <w:rPr>
          <w:rFonts w:ascii="Arial" w:cs="Arial" w:eastAsia="Arial" w:hAnsi="Arial"/>
          <w:b/>
          <w:bCs/>
          <w:color w:val="1F3864"/>
          <w:sz w:val="32"/>
          <w:szCs w:val="32"/>
        </w:rPr>
        <w:t xml:space="preserve">3. High-Demand Competency Framework</w:t>
      </w:r>
    </w:p>
    <w:p>
      <w:pPr>
        <w:spacing w:after="140"/>
      </w:pPr>
      <w:r>
        <w:rPr>
          <w:rFonts w:ascii="Arial" w:cs="Arial" w:eastAsia="Arial" w:hAnsi="Arial"/>
          <w:sz w:val="22"/>
          <w:szCs w:val="22"/>
        </w:rPr>
        <w:t xml:space="preserve">This section defines the frameworks and vocabulary that elite EM and HoE candidates are expected to know fluently. These are not optional — they appear directly in job descriptions and interview loops.</w:t>
      </w:r>
    </w:p>
    <w:p>
      <w:pPr>
        <w:spacing w:after="180"/>
      </w:pPr>
    </w:p>
    <w:p>
      <w:pPr>
        <w:pStyle w:val="Heading2"/>
      </w:pPr>
      <w:r>
        <w:rPr>
          <w:rFonts w:ascii="Arial" w:cs="Arial" w:eastAsia="Arial" w:hAnsi="Arial"/>
          <w:b/>
          <w:bCs/>
          <w:color w:val="2E5FA3"/>
          <w:sz w:val="26"/>
          <w:szCs w:val="26"/>
        </w:rPr>
        <w:t xml:space="preserve">3.1 DORA Metrics — Engineering Delivery Health</w:t>
      </w:r>
    </w:p>
    <w:p>
      <w:pPr>
        <w:spacing w:after="140"/>
      </w:pPr>
      <w:r>
        <w:rPr>
          <w:rFonts w:ascii="Arial" w:cs="Arial" w:eastAsia="Arial" w:hAnsi="Arial"/>
          <w:sz w:val="22"/>
          <w:szCs w:val="22"/>
        </w:rPr>
        <w:t xml:space="preserve">DORA (DevOps Research and Assessment) metrics are the industry standard for measuring software delivery performance. Any EM candidate who cannot speak fluently about these four metrics misses an important credibility signal.</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Metric</w:t>
            </w:r>
          </w:p>
        </w:tc>
        <w:tc>
          <w:tcPr>
            <w:tcW w:type="dxa" w:w="3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What It Measures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Why It Matters for an EM</w:t>
            </w:r>
          </w:p>
        </w:tc>
      </w:tr>
      <w:tr>
        <w:tc>
          <w:tcPr>
            <w:tcW w:type="dxa" w:w="2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Deployment Frequency</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How often the team ships to production.</w:t>
            </w:r>
          </w:p>
        </w:tc>
        <w:tc>
          <w:tcPr>
            <w:tcW w:type="dxa" w:w="39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Incentivises smaller, lower-risk batch sizes. Elite teams deploy multiple times per day.</w:t>
            </w:r>
          </w:p>
        </w:tc>
      </w:tr>
      <w:tr>
        <w:tc>
          <w:tcPr>
            <w:tcW w:type="dxa" w:w="2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Lead Time for Changes</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Time from first commit to production deployment.</w:t>
            </w:r>
          </w:p>
        </w:tc>
        <w:tc>
          <w:tcPr>
            <w:tcW w:type="dxa" w:w="39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Exposes pipeline bottlenecks — slow test suites, manual gates, long review queues.</w:t>
            </w:r>
          </w:p>
        </w:tc>
      </w:tr>
      <w:tr>
        <w:tc>
          <w:tcPr>
            <w:tcW w:type="dxa" w:w="2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Change Failure Rate</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 of deployments causing incidents or rollbacks.</w:t>
            </w:r>
          </w:p>
        </w:tc>
        <w:tc>
          <w:tcPr>
            <w:tcW w:type="dxa" w:w="39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Tracks pipeline quality and test coverage. Target: &lt;15% for high performers.</w:t>
            </w:r>
          </w:p>
        </w:tc>
      </w:tr>
      <w:tr>
        <w:tc>
          <w:tcPr>
            <w:tcW w:type="dxa" w:w="2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Failed Deployment Recovery Time (MTTR)</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Avg time to restore service after a production failure.</w:t>
            </w:r>
          </w:p>
        </w:tc>
        <w:tc>
          <w:tcPr>
            <w:tcW w:type="dxa" w:w="39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Tests observability, rollback automation, and on-call response quality.</w:t>
            </w:r>
          </w:p>
        </w:tc>
      </w:tr>
    </w:tbl>
    <w:p>
      <w:pPr>
        <w:spacing w:after="180"/>
      </w:pPr>
    </w:p>
    <w:p>
      <w:pPr>
        <w:spacing w:after="140"/>
      </w:pPr>
      <w:r>
        <w:rPr>
          <w:rFonts w:ascii="Arial" w:cs="Arial" w:eastAsia="Arial" w:hAnsi="Arial"/>
          <w:sz w:val="22"/>
          <w:szCs w:val="22"/>
        </w:rPr>
        <w:t xml:space="preserve">Note: Alan's existing delivery metrics work (cycle time, throughput, forecasting) maps directly to DORA. The gap is vocabulary and framing, not underlying capability.</w:t>
      </w:r>
    </w:p>
    <w:p>
      <w:pPr>
        <w:spacing w:after="180"/>
      </w:pPr>
    </w:p>
    <w:p>
      <w:pPr>
        <w:pStyle w:val="Heading2"/>
      </w:pPr>
      <w:r>
        <w:rPr>
          <w:rFonts w:ascii="Arial" w:cs="Arial" w:eastAsia="Arial" w:hAnsi="Arial"/>
          <w:b/>
          <w:bCs/>
          <w:color w:val="2E5FA3"/>
          <w:sz w:val="26"/>
          <w:szCs w:val="26"/>
        </w:rPr>
        <w:t xml:space="preserve">3.2 Team Topologies — Org Design for HoE</w:t>
      </w:r>
    </w:p>
    <w:p>
      <w:pPr>
        <w:spacing w:after="140"/>
      </w:pPr>
      <w:r>
        <w:rPr>
          <w:rFonts w:ascii="Arial" w:cs="Arial" w:eastAsia="Arial" w:hAnsi="Arial"/>
          <w:sz w:val="22"/>
          <w:szCs w:val="22"/>
        </w:rPr>
        <w:t xml:space="preserve">Team Topologies (Skelton &amp; Pais) is the dominant framework for designing engineering organisation structures in modern SaaS companies. HoE candidates are expected to understand and apply it. The four team types:</w:t>
      </w:r>
    </w:p>
    <w:p>
      <w:pPr>
        <w:pStyle w:val="ListParagraph"/>
        <w:numPr>
          <w:ilvl w:val="0"/>
          <w:numId w:val="2"/>
        </w:numPr>
        <w:spacing w:after="80"/>
      </w:pPr>
      <w:r>
        <w:rPr>
          <w:rFonts w:ascii="Arial" w:cs="Arial" w:eastAsia="Arial" w:hAnsi="Arial"/>
          <w:sz w:val="22"/>
          <w:szCs w:val="22"/>
        </w:rPr>
        <w:t xml:space="preserve">Stream-aligned teams — Cross-functional squads owning end-to-end delivery of a value stream (product feature, customer journey). The most common type.</w:t>
      </w:r>
    </w:p>
    <w:p>
      <w:pPr>
        <w:pStyle w:val="ListParagraph"/>
        <w:numPr>
          <w:ilvl w:val="0"/>
          <w:numId w:val="2"/>
        </w:numPr>
        <w:spacing w:after="80"/>
      </w:pPr>
      <w:r>
        <w:rPr>
          <w:rFonts w:ascii="Arial" w:cs="Arial" w:eastAsia="Arial" w:hAnsi="Arial"/>
          <w:sz w:val="22"/>
          <w:szCs w:val="22"/>
        </w:rPr>
        <w:t xml:space="preserve">Platform teams — Build and maintain the internal platforms and tooling that stream-aligned teams depend on (CI/CD, cloud infrastructure, shared services).</w:t>
      </w:r>
    </w:p>
    <w:p>
      <w:pPr>
        <w:pStyle w:val="ListParagraph"/>
        <w:numPr>
          <w:ilvl w:val="0"/>
          <w:numId w:val="2"/>
        </w:numPr>
        <w:spacing w:after="80"/>
      </w:pPr>
      <w:r>
        <w:rPr>
          <w:rFonts w:ascii="Arial" w:cs="Arial" w:eastAsia="Arial" w:hAnsi="Arial"/>
          <w:sz w:val="22"/>
          <w:szCs w:val="22"/>
        </w:rPr>
        <w:t xml:space="preserve">Enabling teams — Temporary teams that help stream-aligned teams acquire new capabilities (e.g., introducing DevSecOps practices or GraphQL adoption).</w:t>
      </w:r>
    </w:p>
    <w:p>
      <w:pPr>
        <w:pStyle w:val="ListParagraph"/>
        <w:numPr>
          <w:ilvl w:val="0"/>
          <w:numId w:val="2"/>
        </w:numPr>
        <w:spacing w:after="80"/>
      </w:pPr>
      <w:r>
        <w:rPr>
          <w:rFonts w:ascii="Arial" w:cs="Arial" w:eastAsia="Arial" w:hAnsi="Arial"/>
          <w:sz w:val="22"/>
          <w:szCs w:val="22"/>
        </w:rPr>
        <w:t xml:space="preserve">Complicated-subsystem teams — Own components requiring deep specialist knowledge (ML models, payment processing, high-availability data pipelines).</w:t>
      </w:r>
    </w:p>
    <w:p>
      <w:pPr>
        <w:spacing w:after="180"/>
      </w:pPr>
    </w:p>
    <w:p>
      <w:pPr>
        <w:spacing w:after="140"/>
      </w:pPr>
      <w:r>
        <w:rPr>
          <w:rFonts w:ascii="Arial" w:cs="Arial" w:eastAsia="Arial" w:hAnsi="Arial"/>
          <w:sz w:val="22"/>
          <w:szCs w:val="22"/>
        </w:rPr>
        <w:t xml:space="preserve">Why it matters for Alan: His Xero API Program work maps directly to enabling team mechanics (the API Platform team enabling domain teams to adopt Supergraph). He can speak to this framework with real evidence — he just needs the vocabulary.</w:t>
      </w:r>
    </w:p>
    <w:p>
      <w:pPr>
        <w:spacing w:after="180"/>
      </w:pPr>
    </w:p>
    <w:p>
      <w:pPr>
        <w:pStyle w:val="Heading2"/>
      </w:pPr>
      <w:r>
        <w:rPr>
          <w:rFonts w:ascii="Arial" w:cs="Arial" w:eastAsia="Arial" w:hAnsi="Arial"/>
          <w:b/>
          <w:bCs/>
          <w:color w:val="2E5FA3"/>
          <w:sz w:val="26"/>
          <w:szCs w:val="26"/>
        </w:rPr>
        <w:t xml:space="preserve">3.3 RACI — Decision-Making Governance</w:t>
      </w:r>
    </w:p>
    <w:p>
      <w:pPr>
        <w:spacing w:after="140"/>
      </w:pPr>
      <w:r>
        <w:rPr>
          <w:rFonts w:ascii="Arial" w:cs="Arial" w:eastAsia="Arial" w:hAnsi="Arial"/>
          <w:sz w:val="22"/>
          <w:szCs w:val="22"/>
        </w:rPr>
        <w:t xml:space="preserve">At HoE level, RACI matrices are used to clarify ownership boundaries across multiple teams and prevent the diffusion of accountability that slows complex programmes:</w:t>
      </w:r>
    </w:p>
    <w:p>
      <w:pPr>
        <w:pStyle w:val="ListParagraph"/>
        <w:numPr>
          <w:ilvl w:val="0"/>
          <w:numId w:val="2"/>
        </w:numPr>
        <w:spacing w:after="80"/>
      </w:pPr>
      <w:r>
        <w:rPr>
          <w:rFonts w:ascii="Arial" w:cs="Arial" w:eastAsia="Arial" w:hAnsi="Arial"/>
          <w:sz w:val="22"/>
          <w:szCs w:val="22"/>
        </w:rPr>
        <w:t xml:space="preserve">Responsible — who does the work.</w:t>
      </w:r>
    </w:p>
    <w:p>
      <w:pPr>
        <w:pStyle w:val="ListParagraph"/>
        <w:numPr>
          <w:ilvl w:val="0"/>
          <w:numId w:val="2"/>
        </w:numPr>
        <w:spacing w:after="80"/>
      </w:pPr>
      <w:r>
        <w:rPr>
          <w:rFonts w:ascii="Arial" w:cs="Arial" w:eastAsia="Arial" w:hAnsi="Arial"/>
          <w:sz w:val="22"/>
          <w:szCs w:val="22"/>
        </w:rPr>
        <w:t xml:space="preserve">Accountable — the single person with final sign-off. Only one per decision.</w:t>
      </w:r>
    </w:p>
    <w:p>
      <w:pPr>
        <w:pStyle w:val="ListParagraph"/>
        <w:numPr>
          <w:ilvl w:val="0"/>
          <w:numId w:val="2"/>
        </w:numPr>
        <w:spacing w:after="80"/>
      </w:pPr>
      <w:r>
        <w:rPr>
          <w:rFonts w:ascii="Arial" w:cs="Arial" w:eastAsia="Arial" w:hAnsi="Arial"/>
          <w:sz w:val="22"/>
          <w:szCs w:val="22"/>
        </w:rPr>
        <w:t xml:space="preserve">Consulted — subject matter experts who give input before the decision.</w:t>
      </w:r>
    </w:p>
    <w:p>
      <w:pPr>
        <w:pStyle w:val="ListParagraph"/>
        <w:numPr>
          <w:ilvl w:val="0"/>
          <w:numId w:val="2"/>
        </w:numPr>
        <w:spacing w:after="80"/>
      </w:pPr>
      <w:r>
        <w:rPr>
          <w:rFonts w:ascii="Arial" w:cs="Arial" w:eastAsia="Arial" w:hAnsi="Arial"/>
          <w:sz w:val="22"/>
          <w:szCs w:val="22"/>
        </w:rPr>
        <w:t xml:space="preserve">Informed — stakeholders updated on the outcome.</w:t>
      </w:r>
    </w:p>
    <w:p>
      <w:pPr>
        <w:spacing w:after="180"/>
      </w:pPr>
    </w:p>
    <w:p>
      <w:pPr>
        <w:spacing w:after="140"/>
      </w:pPr>
      <w:r>
        <w:rPr>
          <w:rFonts w:ascii="Arial" w:cs="Arial" w:eastAsia="Arial" w:hAnsi="Arial"/>
          <w:sz w:val="22"/>
          <w:szCs w:val="22"/>
        </w:rPr>
        <w:t xml:space="preserve">Alan already applies this thinking in practice (the Supergraph dependency intake, ownership boundaries between API Platform and Practice teams). He should name the RACI framework explicitly in interviews.</w:t>
      </w:r>
    </w:p>
    <w:p>
      <w:pPr>
        <w:spacing w:after="180"/>
      </w:pPr>
    </w:p>
    <w:p>
      <w:pPr>
        <w:pStyle w:val="Heading2"/>
      </w:pPr>
      <w:r>
        <w:rPr>
          <w:rFonts w:ascii="Arial" w:cs="Arial" w:eastAsia="Arial" w:hAnsi="Arial"/>
          <w:b/>
          <w:bCs/>
          <w:color w:val="2E5FA3"/>
          <w:sz w:val="26"/>
          <w:szCs w:val="26"/>
        </w:rPr>
        <w:t xml:space="preserve">3.4 Capacity Modelling — HoE Financial Literacy</w:t>
      </w:r>
    </w:p>
    <w:p>
      <w:pPr>
        <w:spacing w:after="140"/>
      </w:pPr>
      <w:r>
        <w:rPr>
          <w:rFonts w:ascii="Arial" w:cs="Arial" w:eastAsia="Arial" w:hAnsi="Arial"/>
          <w:sz w:val="22"/>
          <w:szCs w:val="22"/>
        </w:rPr>
        <w:t xml:space="preserve">Heads of Engineering present headcount requests as capital investments backed by a business case. Key principles:</w:t>
      </w:r>
    </w:p>
    <w:p>
      <w:pPr>
        <w:pStyle w:val="ListParagraph"/>
        <w:numPr>
          <w:ilvl w:val="0"/>
          <w:numId w:val="2"/>
        </w:numPr>
        <w:spacing w:after="80"/>
      </w:pPr>
      <w:r>
        <w:rPr>
          <w:rFonts w:ascii="Arial" w:cs="Arial" w:eastAsia="Arial" w:hAnsi="Arial"/>
          <w:sz w:val="22"/>
          <w:szCs w:val="22"/>
        </w:rPr>
        <w:t xml:space="preserve">Plan headcount 12–18 months in advance, working backward from product roadmaps. Recruitment lead times of 3–6 months in competitive markets must be built in.</w:t>
      </w:r>
    </w:p>
    <w:p>
      <w:pPr>
        <w:pStyle w:val="ListParagraph"/>
        <w:numPr>
          <w:ilvl w:val="0"/>
          <w:numId w:val="2"/>
        </w:numPr>
        <w:spacing w:after="80"/>
      </w:pPr>
      <w:r>
        <w:rPr>
          <w:rFonts w:ascii="Arial" w:cs="Arial" w:eastAsia="Arial" w:hAnsi="Arial"/>
          <w:sz w:val="22"/>
          <w:szCs w:val="22"/>
        </w:rPr>
        <w:t xml:space="preserve">Never model 100% team utilisation. High-performing organisations reserve 20–30% buffer for unplanned work: technical debt remediation, incident response, on-call, and attrition replacement.</w:t>
      </w:r>
    </w:p>
    <w:p>
      <w:pPr>
        <w:pStyle w:val="ListParagraph"/>
        <w:numPr>
          <w:ilvl w:val="0"/>
          <w:numId w:val="2"/>
        </w:numPr>
        <w:spacing w:after="80"/>
      </w:pPr>
      <w:r>
        <w:rPr>
          <w:rFonts w:ascii="Arial" w:cs="Arial" w:eastAsia="Arial" w:hAnsi="Arial"/>
          <w:sz w:val="22"/>
          <w:szCs w:val="22"/>
        </w:rPr>
        <w:t xml:space="preserve">Frame every headcount request as a commercial outcome: "Adding one senior engineer to the payments team accelerates the X migration by one quarter, capturing $Y in revenue or avoiding $Z in cost."</w:t>
      </w:r>
    </w:p>
    <w:p>
      <w:pPr>
        <w:pStyle w:val="ListParagraph"/>
        <w:numPr>
          <w:ilvl w:val="0"/>
          <w:numId w:val="2"/>
        </w:numPr>
        <w:spacing w:after="80"/>
      </w:pPr>
      <w:r>
        <w:rPr>
          <w:rFonts w:ascii="Arial" w:cs="Arial" w:eastAsia="Arial" w:hAnsi="Arial"/>
          <w:sz w:val="22"/>
          <w:szCs w:val="22"/>
        </w:rPr>
        <w:t xml:space="preserve">Apply the Pyramid Principle when presenting to executives: lead with the conclusion ("We need two more engineers in Q3"), then the supporting rationale, then the detail.</w:t>
      </w:r>
    </w:p>
    <w:p>
      <w:pPr>
        <w:spacing w:after="180"/>
      </w:pPr>
    </w:p>
    <w:p>
      <w:r>
        <w:br w:type="page"/>
      </w:r>
    </w:p>
    <w:p>
      <w:pPr>
        <w:pStyle w:val="Heading1"/>
      </w:pPr>
      <w:r>
        <w:rPr>
          <w:rFonts w:ascii="Arial" w:cs="Arial" w:eastAsia="Arial" w:hAnsi="Arial"/>
          <w:b/>
          <w:bCs/>
          <w:color w:val="1F3864"/>
          <w:sz w:val="32"/>
          <w:szCs w:val="32"/>
        </w:rPr>
        <w:t xml:space="preserve">4. Alan's Career Arc &amp; Transferable Strengths</w:t>
      </w:r>
    </w:p>
    <w:p>
      <w:pPr>
        <w:spacing w:after="140"/>
      </w:pPr>
      <w:r>
        <w:rPr>
          <w:rFonts w:ascii="Arial" w:cs="Arial" w:eastAsia="Arial" w:hAnsi="Arial"/>
          <w:sz w:val="22"/>
          <w:szCs w:val="22"/>
        </w:rPr>
        <w:t xml:space="preserve">Alan's 23-year career arc moves through three distinct phases, each building critical credentials for engineering leadership:</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2003 – 2012  ENGINEER</w:t>
            </w:r>
          </w:p>
        </w:tc>
        <w:tc>
          <w:tcPr>
            <w:tcW w:type="dxa" w:w="312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2012 – 2019  SQUAD LEADER &amp; HEAD OF PRODUCT</w:t>
            </w:r>
          </w:p>
        </w:tc>
        <w:tc>
          <w:tcPr>
            <w:tcW w:type="dxa" w:w="312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2019 – 2026  ENTERPRISE PROGRAM LEADER</w:t>
            </w:r>
          </w:p>
        </w:tc>
      </w:tr>
      <w:tr>
        <w:tc>
          <w:tcPr>
            <w:tcW w:type="dxa" w:w="3120"/>
            <w:tcBorders>
              <w:top w:val="single" w:color="C0C0C0" w:sz="4"/>
              <w:left w:val="single" w:color="C0C0C0" w:sz="4"/>
              <w:bottom w:val="single" w:color="C0C0C0" w:sz="4"/>
              <w:right w:val="single" w:color="C0C0C0" w:sz="4"/>
            </w:tcBorders>
            <w:shd w:fill="D6E4F7" w:val="clear"/>
            <w:tcMar>
              <w:top w:type="dxa" w:w="100"/>
              <w:left w:type="dxa" w:w="140"/>
              <w:bottom w:type="dxa" w:w="100"/>
              <w:right w:type="dxa" w:w="140"/>
            </w:tcMar>
          </w:tcPr>
          <w:p>
            <w:pPr>
              <w:pStyle w:val="ListParagraph"/>
              <w:numPr>
                <w:ilvl w:val="0"/>
                <w:numId w:val="2"/>
              </w:numPr>
              <w:spacing w:after="60"/>
            </w:pPr>
            <w:r>
              <w:rPr>
                <w:rFonts w:ascii="Arial" w:cs="Arial" w:eastAsia="Arial" w:hAnsi="Arial"/>
                <w:sz w:val="20"/>
                <w:szCs w:val="20"/>
              </w:rPr>
              <w:t xml:space="preserve">Systems Architect, Emedia</w:t>
            </w:r>
          </w:p>
          <w:p>
            <w:pPr>
              <w:pStyle w:val="ListParagraph"/>
              <w:numPr>
                <w:ilvl w:val="0"/>
                <w:numId w:val="2"/>
              </w:numPr>
              <w:spacing w:after="60"/>
            </w:pPr>
            <w:r>
              <w:rPr>
                <w:rFonts w:ascii="Arial" w:cs="Arial" w:eastAsia="Arial" w:hAnsi="Arial"/>
                <w:sz w:val="20"/>
                <w:szCs w:val="20"/>
              </w:rPr>
              <w:t xml:space="preserve">High-availability transaction systems</w:t>
            </w:r>
          </w:p>
          <w:p>
            <w:pPr>
              <w:pStyle w:val="ListParagraph"/>
              <w:numPr>
                <w:ilvl w:val="0"/>
                <w:numId w:val="2"/>
              </w:numPr>
              <w:spacing w:after="60"/>
            </w:pPr>
            <w:r>
              <w:rPr>
                <w:rFonts w:ascii="Arial" w:cs="Arial" w:eastAsia="Arial" w:hAnsi="Arial"/>
                <w:sz w:val="20"/>
                <w:szCs w:val="20"/>
              </w:rPr>
              <w:t xml:space="preserve">Performance tuning, capacity planning, security hardening</w:t>
            </w:r>
          </w:p>
          <w:p>
            <w:pPr>
              <w:pStyle w:val="ListParagraph"/>
              <w:numPr>
                <w:ilvl w:val="0"/>
                <w:numId w:val="2"/>
              </w:numPr>
              <w:spacing w:after="60"/>
            </w:pPr>
            <w:r>
              <w:rPr>
                <w:rFonts w:ascii="Arial" w:cs="Arial" w:eastAsia="Arial" w:hAnsi="Arial"/>
                <w:sz w:val="20"/>
                <w:szCs w:val="20"/>
              </w:rPr>
              <w:t xml:space="preserve">Software engineer, Canada &amp; Peru</w:t>
            </w:r>
          </w:p>
        </w:tc>
        <w:tc>
          <w:tcPr>
            <w:tcW w:type="dxa" w:w="3120"/>
            <w:tcBorders>
              <w:top w:val="single" w:color="C0C0C0" w:sz="4"/>
              <w:left w:val="single" w:color="C0C0C0" w:sz="4"/>
              <w:bottom w:val="single" w:color="C0C0C0" w:sz="4"/>
              <w:right w:val="single" w:color="C0C0C0" w:sz="4"/>
            </w:tcBorders>
            <w:shd w:fill="EEF4FC" w:val="clear"/>
            <w:tcMar>
              <w:top w:type="dxa" w:w="100"/>
              <w:left w:type="dxa" w:w="140"/>
              <w:bottom w:type="dxa" w:w="100"/>
              <w:right w:type="dxa" w:w="140"/>
            </w:tcMar>
          </w:tcPr>
          <w:p>
            <w:pPr>
              <w:pStyle w:val="ListParagraph"/>
              <w:numPr>
                <w:ilvl w:val="0"/>
                <w:numId w:val="2"/>
              </w:numPr>
              <w:spacing w:after="60"/>
            </w:pPr>
            <w:r>
              <w:rPr>
                <w:rFonts w:ascii="Arial" w:cs="Arial" w:eastAsia="Arial" w:hAnsi="Arial"/>
                <w:sz w:val="20"/>
                <w:szCs w:val="20"/>
              </w:rPr>
              <w:t xml:space="preserve">Projects Lead, 2sol (Flight Centre)</w:t>
            </w:r>
          </w:p>
          <w:p>
            <w:pPr>
              <w:pStyle w:val="ListParagraph"/>
              <w:numPr>
                <w:ilvl w:val="0"/>
                <w:numId w:val="2"/>
              </w:numPr>
              <w:spacing w:after="60"/>
            </w:pPr>
            <w:r>
              <w:rPr>
                <w:rFonts w:ascii="Arial" w:cs="Arial" w:eastAsia="Arial" w:hAnsi="Arial"/>
                <w:sz w:val="20"/>
                <w:szCs w:val="20"/>
              </w:rPr>
              <w:t xml:space="preserve">Team of 5, $5M+/month platform</w:t>
            </w:r>
          </w:p>
          <w:p>
            <w:pPr>
              <w:pStyle w:val="ListParagraph"/>
              <w:numPr>
                <w:ilvl w:val="0"/>
                <w:numId w:val="2"/>
              </w:numPr>
              <w:spacing w:after="60"/>
            </w:pPr>
            <w:r>
              <w:rPr>
                <w:rFonts w:ascii="Arial" w:cs="Arial" w:eastAsia="Arial" w:hAnsi="Arial"/>
                <w:sz w:val="20"/>
                <w:szCs w:val="20"/>
              </w:rPr>
              <w:t xml:space="preserve">CI/CD, automated testing, coding standards introduced</w:t>
            </w:r>
          </w:p>
          <w:p>
            <w:pPr>
              <w:pStyle w:val="ListParagraph"/>
              <w:numPr>
                <w:ilvl w:val="0"/>
                <w:numId w:val="2"/>
              </w:numPr>
              <w:spacing w:after="60"/>
            </w:pPr>
            <w:r>
              <w:rPr>
                <w:rFonts w:ascii="Arial" w:cs="Arial" w:eastAsia="Arial" w:hAnsi="Arial"/>
                <w:sz w:val="20"/>
                <w:szCs w:val="20"/>
              </w:rPr>
              <w:t xml:space="preserve">Head of Product, intelliHR</w:t>
            </w:r>
          </w:p>
          <w:p>
            <w:pPr>
              <w:pStyle w:val="ListParagraph"/>
              <w:numPr>
                <w:ilvl w:val="0"/>
                <w:numId w:val="2"/>
              </w:numPr>
              <w:spacing w:after="60"/>
            </w:pPr>
            <w:r>
              <w:rPr>
                <w:rFonts w:ascii="Arial" w:cs="Arial" w:eastAsia="Arial" w:hAnsi="Arial"/>
                <w:sz w:val="20"/>
                <w:szCs w:val="20"/>
              </w:rPr>
              <w:t xml:space="preserve">Built PM function from scratch; NLP/ML features</w:t>
            </w:r>
          </w:p>
        </w:tc>
        <w:tc>
          <w:tcPr>
            <w:tcW w:type="dxa" w:w="3120"/>
            <w:tcBorders>
              <w:top w:val="single" w:color="C0C0C0" w:sz="4"/>
              <w:left w:val="single" w:color="C0C0C0" w:sz="4"/>
              <w:bottom w:val="single" w:color="C0C0C0" w:sz="4"/>
              <w:right w:val="single" w:color="C0C0C0" w:sz="4"/>
            </w:tcBorders>
            <w:shd w:fill="D6E4F7" w:val="clear"/>
            <w:tcMar>
              <w:top w:type="dxa" w:w="100"/>
              <w:left w:type="dxa" w:w="140"/>
              <w:bottom w:type="dxa" w:w="100"/>
              <w:right w:type="dxa" w:w="140"/>
            </w:tcMar>
          </w:tcPr>
          <w:p>
            <w:pPr>
              <w:pStyle w:val="ListParagraph"/>
              <w:numPr>
                <w:ilvl w:val="0"/>
                <w:numId w:val="2"/>
              </w:numPr>
              <w:spacing w:after="60"/>
            </w:pPr>
            <w:r>
              <w:rPr>
                <w:rFonts w:ascii="Arial" w:cs="Arial" w:eastAsia="Arial" w:hAnsi="Arial"/>
                <w:sz w:val="20"/>
                <w:szCs w:val="20"/>
              </w:rPr>
              <w:t xml:space="preserve">Delivery Coach, Suncorp</w:t>
            </w:r>
          </w:p>
          <w:p>
            <w:pPr>
              <w:pStyle w:val="ListParagraph"/>
              <w:numPr>
                <w:ilvl w:val="0"/>
                <w:numId w:val="2"/>
              </w:numPr>
              <w:spacing w:after="60"/>
            </w:pPr>
            <w:r>
              <w:rPr>
                <w:rFonts w:ascii="Arial" w:cs="Arial" w:eastAsia="Arial" w:hAnsi="Arial"/>
                <w:sz w:val="20"/>
                <w:szCs w:val="20"/>
              </w:rPr>
              <w:t xml:space="preserve">Enterprise Agile Coach, Virgin Australia</w:t>
            </w:r>
          </w:p>
          <w:p>
            <w:pPr>
              <w:pStyle w:val="ListParagraph"/>
              <w:numPr>
                <w:ilvl w:val="0"/>
                <w:numId w:val="2"/>
              </w:numPr>
              <w:spacing w:after="60"/>
            </w:pPr>
            <w:r>
              <w:rPr>
                <w:rFonts w:ascii="Arial" w:cs="Arial" w:eastAsia="Arial" w:hAnsi="Arial"/>
                <w:sz w:val="20"/>
                <w:szCs w:val="20"/>
              </w:rPr>
              <w:t xml:space="preserve">Lead TPM, Xero</w:t>
            </w:r>
          </w:p>
          <w:p>
            <w:pPr>
              <w:pStyle w:val="ListParagraph"/>
              <w:numPr>
                <w:ilvl w:val="0"/>
                <w:numId w:val="2"/>
              </w:numPr>
              <w:spacing w:after="60"/>
            </w:pPr>
            <w:r>
              <w:rPr>
                <w:rFonts w:ascii="Arial" w:cs="Arial" w:eastAsia="Arial" w:hAnsi="Arial"/>
                <w:sz w:val="20"/>
                <w:szCs w:val="20"/>
              </w:rPr>
              <w:t xml:space="preserve">AI for Customers (3M+ customers)</w:t>
            </w:r>
          </w:p>
          <w:p>
            <w:pPr>
              <w:pStyle w:val="ListParagraph"/>
              <w:numPr>
                <w:ilvl w:val="0"/>
                <w:numId w:val="2"/>
              </w:numPr>
              <w:spacing w:after="60"/>
            </w:pPr>
            <w:r>
              <w:rPr>
                <w:rFonts w:ascii="Arial" w:cs="Arial" w:eastAsia="Arial" w:hAnsi="Arial"/>
                <w:sz w:val="20"/>
                <w:szCs w:val="20"/>
              </w:rPr>
              <w:t xml:space="preserve">Supergraph / API Program (dozens of teams, EGM-level)</w:t>
            </w:r>
          </w:p>
        </w:tc>
      </w:tr>
    </w:tbl>
    <w:p>
      <w:pPr>
        <w:spacing w:after="180"/>
      </w:pPr>
    </w:p>
    <w:p>
      <w:pPr>
        <w:pStyle w:val="Heading2"/>
      </w:pPr>
      <w:r>
        <w:rPr>
          <w:rFonts w:ascii="Arial" w:cs="Arial" w:eastAsia="Arial" w:hAnsi="Arial"/>
          <w:b/>
          <w:bCs/>
          <w:color w:val="2E5FA3"/>
          <w:sz w:val="26"/>
          <w:szCs w:val="26"/>
        </w:rPr>
        <w:t xml:space="preserve">4.1 Confirmed Strengths (Direct EM Transfers)</w:t>
      </w:r>
    </w:p>
    <w:p>
      <w:pPr>
        <w:spacing w:after="180"/>
      </w:pPr>
    </w:p>
    <w:p>
      <w:pPr>
        <w:pStyle w:val="Heading3"/>
      </w:pPr>
      <w:r>
        <w:rPr>
          <w:rFonts w:ascii="Arial" w:cs="Arial" w:eastAsia="Arial" w:hAnsi="Arial"/>
          <w:b/>
          <w:bCs/>
          <w:color w:val="2E5FA3"/>
          <w:sz w:val="22"/>
          <w:szCs w:val="22"/>
        </w:rPr>
        <w:t xml:space="preserve">Delivery &amp; Process Mastery — Outstanding</w:t>
      </w:r>
    </w:p>
    <w:p>
      <w:pPr>
        <w:spacing w:after="140"/>
      </w:pPr>
      <w:r>
        <w:rPr>
          <w:rFonts w:ascii="Arial" w:cs="Arial" w:eastAsia="Arial" w:hAnsi="Arial"/>
          <w:sz w:val="22"/>
          <w:szCs w:val="22"/>
        </w:rPr>
        <w:t xml:space="preserve">Alan's deepest and most differentiated credential. He has spent 15+ years designing and running delivery systems at increasing scale: from a 5-person team at 2sol, to 8-person squad leadership at Go1, to cross-divisional program governance spanning dozens of teams at Xero. This exceeds what most first-time EM candidates bring.</w:t>
      </w:r>
    </w:p>
    <w:p>
      <w:pPr>
        <w:spacing w:after="180"/>
      </w:pPr>
    </w:p>
    <w:p>
      <w:pPr>
        <w:pStyle w:val="Heading3"/>
      </w:pPr>
      <w:r>
        <w:rPr>
          <w:rFonts w:ascii="Arial" w:cs="Arial" w:eastAsia="Arial" w:hAnsi="Arial"/>
          <w:b/>
          <w:bCs/>
          <w:color w:val="2E5FA3"/>
          <w:sz w:val="22"/>
          <w:szCs w:val="22"/>
        </w:rPr>
        <w:t xml:space="preserve">People Leadership — Real but Not Formally Titled</w:t>
      </w:r>
    </w:p>
    <w:p>
      <w:pPr>
        <w:spacing w:after="140"/>
      </w:pPr>
      <w:r>
        <w:rPr>
          <w:rFonts w:ascii="Arial" w:cs="Arial" w:eastAsia="Arial" w:hAnsi="Arial"/>
          <w:sz w:val="22"/>
          <w:szCs w:val="22"/>
        </w:rPr>
        <w:t xml:space="preserve">Alan has direct reports management experience across three roles (2sol: 5 developers, Go1: squad of 8 incl. 6 engineers, intelliHR: team of 5 incl. data engineer). He also coached EMs and tech leads across 10+ teams at Xero. The gap is not whether he can lead people — it is that the formal HR machinery (structured performance reviews tied to an engineering career ladder, calibration, PIPs, compensation conversations) has not been his explicit accountability.</w:t>
      </w:r>
    </w:p>
    <w:p>
      <w:pPr>
        <w:spacing w:after="180"/>
      </w:pPr>
    </w:p>
    <w:p>
      <w:pPr>
        <w:pStyle w:val="Heading3"/>
      </w:pPr>
      <w:r>
        <w:rPr>
          <w:rFonts w:ascii="Arial" w:cs="Arial" w:eastAsia="Arial" w:hAnsi="Arial"/>
          <w:b/>
          <w:bCs/>
          <w:color w:val="2E5FA3"/>
          <w:sz w:val="22"/>
          <w:szCs w:val="22"/>
        </w:rPr>
        <w:t xml:space="preserve">Technical Depth — Genuine but Dated</w:t>
      </w:r>
    </w:p>
    <w:p>
      <w:pPr>
        <w:spacing w:after="140"/>
      </w:pPr>
      <w:r>
        <w:rPr>
          <w:rFonts w:ascii="Arial" w:cs="Arial" w:eastAsia="Arial" w:hAnsi="Arial"/>
          <w:sz w:val="22"/>
          <w:szCs w:val="22"/>
        </w:rPr>
        <w:t xml:space="preserve">An 8+ year engineering background including systems architecture, high-availability transaction systems, CI/CD introduction, and GraphQL/API architecture engagement at Xero. This is a genuine differentiator versus TPMs without engineering roots. The caveat: hands-on coding was last a primary role in 2012. Cloud platform specifics and modern stacks are not evidenced. Technical credibility requires deliberate refreshing, not assumption.</w:t>
      </w:r>
    </w:p>
    <w:p>
      <w:pPr>
        <w:spacing w:after="180"/>
      </w:pPr>
    </w:p>
    <w:p>
      <w:pPr>
        <w:pStyle w:val="Heading3"/>
      </w:pPr>
      <w:r>
        <w:rPr>
          <w:rFonts w:ascii="Arial" w:cs="Arial" w:eastAsia="Arial" w:hAnsi="Arial"/>
          <w:b/>
          <w:bCs/>
          <w:color w:val="2E5FA3"/>
          <w:sz w:val="22"/>
          <w:szCs w:val="22"/>
        </w:rPr>
        <w:t xml:space="preserve">Stakeholder &amp; Executive Communication — Expert</w:t>
      </w:r>
    </w:p>
    <w:p>
      <w:pPr>
        <w:spacing w:after="140"/>
      </w:pPr>
      <w:r>
        <w:rPr>
          <w:rFonts w:ascii="Arial" w:cs="Arial" w:eastAsia="Arial" w:hAnsi="Arial"/>
          <w:sz w:val="22"/>
          <w:szCs w:val="22"/>
        </w:rPr>
        <w:t xml:space="preserve">Alan operates at EGM and GM level fluently. This is above-average for a first-time EM candidate and directly relevant at HoE level. It is a material hiring advantage.</w:t>
      </w:r>
    </w:p>
    <w:p>
      <w:pPr>
        <w:spacing w:after="180"/>
      </w:pPr>
    </w:p>
    <w:p>
      <w:pPr>
        <w:pStyle w:val="Heading3"/>
      </w:pPr>
      <w:r>
        <w:rPr>
          <w:rFonts w:ascii="Arial" w:cs="Arial" w:eastAsia="Arial" w:hAnsi="Arial"/>
          <w:b/>
          <w:bCs/>
          <w:color w:val="2E5FA3"/>
          <w:sz w:val="22"/>
          <w:szCs w:val="22"/>
        </w:rPr>
        <w:t xml:space="preserve">AI Fluency — Product-Level, Now Needs Delivery-Level</w:t>
      </w:r>
    </w:p>
    <w:p>
      <w:pPr>
        <w:spacing w:after="140"/>
      </w:pPr>
      <w:r>
        <w:rPr>
          <w:rFonts w:ascii="Arial" w:cs="Arial" w:eastAsia="Arial" w:hAnsi="Arial"/>
          <w:sz w:val="22"/>
          <w:szCs w:val="22"/>
        </w:rPr>
        <w:t xml:space="preserve">The AI for Customers program (Xero, 3M+ customers) and NLP/ML people analytics (intelliHR) give Alan strong product-level AI understanding. The emerging gap is operational: how to lead engineers who use AI coding tools, evaluate AI-generated code, and adapt team review processes. This is the skill to develop, not the starting point — which is already well above average.</w:t>
      </w:r>
    </w:p>
    <w:p>
      <w:pPr>
        <w:spacing w:after="180"/>
      </w:pPr>
    </w:p>
    <w:p>
      <w:r>
        <w:br w:type="page"/>
      </w:r>
    </w:p>
    <w:p>
      <w:pPr>
        <w:pStyle w:val="Heading1"/>
      </w:pPr>
      <w:r>
        <w:rPr>
          <w:rFonts w:ascii="Arial" w:cs="Arial" w:eastAsia="Arial" w:hAnsi="Arial"/>
          <w:b/>
          <w:bCs/>
          <w:color w:val="1F3864"/>
          <w:sz w:val="32"/>
          <w:szCs w:val="32"/>
        </w:rPr>
        <w:t xml:space="preserve">5. Gap Analysis</w:t>
      </w:r>
    </w:p>
    <w:p>
      <w:pPr>
        <w:spacing w:after="140"/>
      </w:pPr>
      <w:r>
        <w:rPr>
          <w:rFonts w:ascii="Arial" w:cs="Arial" w:eastAsia="Arial" w:hAnsi="Arial"/>
          <w:sz w:val="22"/>
          <w:szCs w:val="22"/>
        </w:rPr>
        <w:t xml:space="preserve">The table below maps each EM/HoE capability area against Alan's current state, a status rating, and a reframe strategy — how to talk about each gap in interviews even before it is fully closed.</w:t>
      </w:r>
    </w:p>
    <w:p>
      <w:pPr>
        <w:spacing w:after="180"/>
      </w:pPr>
    </w:p>
    <w:p>
      <w:pPr>
        <w:spacing w:after="140"/>
      </w:pPr>
      <w:r>
        <w:rPr>
          <w:rFonts w:ascii="Arial" w:cs="Arial" w:eastAsia="Arial" w:hAnsi="Arial"/>
          <w:b/>
          <w:bCs/>
          <w:sz w:val="22"/>
          <w:szCs w:val="22"/>
        </w:rPr>
        <w:t xml:space="preserve">Status legend:  </w:t>
      </w:r>
      <w:r>
        <w:rPr>
          <w:rFonts w:ascii="Arial" w:cs="Arial" w:eastAsia="Arial" w:hAnsi="Arial"/>
          <w:b/>
          <w:bCs/>
          <w:color w:val="1D6B3A"/>
          <w:sz w:val="22"/>
          <w:szCs w:val="22"/>
        </w:rPr>
        <w:t xml:space="preserve">STRONG  </w:t>
      </w:r>
      <w:r>
        <w:rPr>
          <w:rFonts w:ascii="Arial" w:cs="Arial" w:eastAsia="Arial" w:hAnsi="Arial"/>
          <w:color w:val="444444"/>
          <w:sz w:val="22"/>
          <w:szCs w:val="22"/>
        </w:rPr>
        <w:t xml:space="preserve">= directly evidenced, above bar.  </w:t>
      </w:r>
      <w:r>
        <w:rPr>
          <w:rFonts w:ascii="Arial" w:cs="Arial" w:eastAsia="Arial" w:hAnsi="Arial"/>
          <w:b/>
          <w:bCs/>
          <w:color w:val="1D6B3A"/>
          <w:sz w:val="22"/>
          <w:szCs w:val="22"/>
        </w:rPr>
        <w:t xml:space="preserve">GOOD  </w:t>
      </w:r>
      <w:r>
        <w:rPr>
          <w:rFonts w:ascii="Arial" w:cs="Arial" w:eastAsia="Arial" w:hAnsi="Arial"/>
          <w:color w:val="444444"/>
          <w:sz w:val="22"/>
          <w:szCs w:val="22"/>
        </w:rPr>
        <w:t xml:space="preserve">= meets minimum bar.  </w:t>
      </w:r>
      <w:r>
        <w:rPr>
          <w:rFonts w:ascii="Arial" w:cs="Arial" w:eastAsia="Arial" w:hAnsi="Arial"/>
          <w:b/>
          <w:bCs/>
          <w:color w:val="7B5E00"/>
          <w:sz w:val="22"/>
          <w:szCs w:val="22"/>
        </w:rPr>
        <w:t xml:space="preserve">PARTIAL  </w:t>
      </w:r>
      <w:r>
        <w:rPr>
          <w:rFonts w:ascii="Arial" w:cs="Arial" w:eastAsia="Arial" w:hAnsi="Arial"/>
          <w:color w:val="444444"/>
          <w:sz w:val="22"/>
          <w:szCs w:val="22"/>
        </w:rPr>
        <w:t xml:space="preserve">= some evidence, active development needed.  </w:t>
      </w:r>
      <w:r>
        <w:rPr>
          <w:rFonts w:ascii="Arial" w:cs="Arial" w:eastAsia="Arial" w:hAnsi="Arial"/>
          <w:b/>
          <w:bCs/>
          <w:color w:val="7B1A1A"/>
          <w:sz w:val="22"/>
          <w:szCs w:val="22"/>
        </w:rPr>
        <w:t xml:space="preserve">GAP  </w:t>
      </w:r>
      <w:r>
        <w:rPr>
          <w:rFonts w:ascii="Arial" w:cs="Arial" w:eastAsia="Arial" w:hAnsi="Arial"/>
          <w:color w:val="444444"/>
          <w:sz w:val="22"/>
          <w:szCs w:val="22"/>
        </w:rPr>
        <w:t xml:space="preserve">= not evidenced, requires deliberate learning.</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Capability Area</w:t>
            </w:r>
          </w:p>
        </w:tc>
        <w:tc>
          <w:tcPr>
            <w:tcW w:type="dxa" w:w="2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Alan's Current State</w:t>
            </w:r>
          </w:p>
        </w:tc>
        <w:tc>
          <w:tcPr>
            <w:tcW w:type="dxa" w:w="1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Status</w:t>
            </w:r>
          </w:p>
        </w:tc>
        <w:tc>
          <w:tcPr>
            <w:tcW w:type="dxa" w:w="3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Reframe / Bridge Strategy</w:t>
            </w:r>
          </w:p>
        </w:tc>
      </w:tr>
      <w:tr>
        <w:tc>
          <w:tcPr>
            <w:tcW w:type="dxa" w:w="9360"/>
            <w:gridSpan w:val="4"/>
            <w:tcBorders>
              <w:top w:val="single" w:color="1F3864" w:sz="4"/>
              <w:left w:val="single" w:color="1F3864" w:sz="4"/>
              <w:bottom w:val="single" w:color="1F3864" w:sz="4"/>
              <w:right w:val="single" w:color="1F3864" w:sz="4"/>
            </w:tcBorders>
            <w:shd w:fill="1F3864" w:val="clear"/>
            <w:tcMar>
              <w:top w:type="dxa" w:w="60"/>
              <w:left w:type="dxa" w:w="140"/>
              <w:bottom w:type="dxa" w:w="60"/>
              <w:right w:type="dxa" w:w="140"/>
            </w:tcMar>
          </w:tcPr>
          <w:p>
            <w:pPr>
              <w:spacing w:after="0"/>
            </w:pPr>
            <w:r>
              <w:rPr>
                <w:rFonts w:ascii="Arial" w:cs="Arial" w:eastAsia="Arial" w:hAnsi="Arial"/>
                <w:b/>
                <w:bCs/>
                <w:color w:val="FFFFFF"/>
                <w:sz w:val="20"/>
                <w:szCs w:val="20"/>
              </w:rPr>
              <w:t xml:space="preserve">PEOPLE &amp; TEAM LEADERSHIP</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1:1s &amp; Ongoing Feedback</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Practised informally; coached EMs but not as formal line manager at scale.</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Tell Go1 (squad of 8) and intelliHR stories at highest fidelity. Frame Xero EM coaching as a manager-of-managers preview.</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Performance Reviews (formal)</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Not evidenced as explicit EM accountability with structured engineering career frameworks.</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Acknowledge the gap directly. Pivot to the mechanics you do have (coaching conversations, ways-of-working feedback loops). Commit to shadowing a review cycle at Xero.</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PIPs &amp; Underperformance Mgmt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 evidenced experience with formal Performance Improvement Plans.</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Reframe as: 'I have had direct conversations with underperformers and exited people from teams — I managed the outcome, not always the HR paperwork.' Then demonstrate knowledge of PIP mechanics.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Hiring Loop Design (as EM)</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Involved in hiring across career but not as primary EM designing structured interview loops.</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Describe the hiring you have done at intelliHR and Go1. Separately, build and present a sample interview loop for a senior engineer role to demonstrate readiness.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Career Frameworks &amp; Promotions</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 evidence of navigating formal engineering career ladders or calibration committees.</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Reframe ways-of-working design and skill gap analysis work as performance framework thinking. Study a public engineering career ladder (Carta, Dropbox, or Progression.fyi) and be ready to describe one.</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Compensation Discussions</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Not evidenced as a direct responsibility.</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Demonstrate conceptual understanding. 'I have not owned this formally but understand the mechanics — banding, equity refresh cycles, market data benchmarking.' Shadow the next comp cycle at Xero.</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Team Health &amp; Culture</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Strong — working agreements, retrospectives, psychological safety clearly evidenced across all roles.</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Lead with this in culture interviews. The Quokkas WoW design and Go1 operating model are specific, nameable examples.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Coaching Engineers &amp; EMs</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Strong — coached EMs and tech leads across 10+ teams at Xero.</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Frame this as a manager-of-managers capability. Name specific EMs you influenced and the outcomes achieved.</w:t>
            </w:r>
          </w:p>
        </w:tc>
      </w:tr>
      <w:tr>
        <w:tc>
          <w:tcPr>
            <w:tcW w:type="dxa" w:w="9360"/>
            <w:gridSpan w:val="4"/>
            <w:tcBorders>
              <w:top w:val="single" w:color="1F3864" w:sz="4"/>
              <w:left w:val="single" w:color="1F3864" w:sz="4"/>
              <w:bottom w:val="single" w:color="1F3864" w:sz="4"/>
              <w:right w:val="single" w:color="1F3864" w:sz="4"/>
            </w:tcBorders>
            <w:shd w:fill="1F3864" w:val="clear"/>
            <w:tcMar>
              <w:top w:type="dxa" w:w="60"/>
              <w:left w:type="dxa" w:w="140"/>
              <w:bottom w:type="dxa" w:w="60"/>
              <w:right w:type="dxa" w:w="140"/>
            </w:tcMar>
          </w:tcPr>
          <w:p>
            <w:pPr>
              <w:spacing w:after="0"/>
            </w:pPr>
            <w:r>
              <w:rPr>
                <w:rFonts w:ascii="Arial" w:cs="Arial" w:eastAsia="Arial" w:hAnsi="Arial"/>
                <w:b/>
                <w:bCs/>
                <w:color w:val="FFFFFF"/>
                <w:sz w:val="20"/>
                <w:szCs w:val="20"/>
              </w:rPr>
              <w:t xml:space="preserve">DELIVERY &amp; PROCESS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Sprint Planning &amp; Roadmaps</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Expert. Core of career across all roles. Xero = EGM-level programme roadmaps.</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Lead with scale: 'I manage programme-level roadmaps spanning dozens of teams; squad-level roadmapping is a subset I can do with my eyes closed.'</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Release Management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Expert. CI/CD introduced at 2sol; Supergraph release governance at Xero.</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Frame the 2sol CI/CD transformation as the foundation, Xero API Program as the scaled application.</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Incident Management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Not evidenced as an EM responsibility. SLOs, on-call rotations, post-mortems are new territory.</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Study the Google SRE Book. Attend a Xero post-mortem. Frame as: 'I have not owned on-call design but understand the mechanics and am learning the SRE vocabulary actively.'</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DORA Metrics</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Delivery metrics used throughout career (cycle time, throughput, forecasting). DORA framing not explicitly named.</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Map existing metrics to DORA language: cycle time = lead time for changes; throughput = deployment frequency. Propose a DORA dashboard at Xero to generate evidence.</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Process Improvement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Expert. Core differentiator — every role has a named process improvement example.</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Lead with the 2sol transformation arc (3-phase: technical excellence, WoW, product mindset). It is a complete and compelling EM-level story.</w:t>
            </w:r>
          </w:p>
        </w:tc>
      </w:tr>
      <w:tr>
        <w:tc>
          <w:tcPr>
            <w:tcW w:type="dxa" w:w="9360"/>
            <w:gridSpan w:val="4"/>
            <w:tcBorders>
              <w:top w:val="single" w:color="1F3864" w:sz="4"/>
              <w:left w:val="single" w:color="1F3864" w:sz="4"/>
              <w:bottom w:val="single" w:color="1F3864" w:sz="4"/>
              <w:right w:val="single" w:color="1F3864" w:sz="4"/>
            </w:tcBorders>
            <w:shd w:fill="1F3864" w:val="clear"/>
            <w:tcMar>
              <w:top w:type="dxa" w:w="60"/>
              <w:left w:type="dxa" w:w="140"/>
              <w:bottom w:type="dxa" w:w="60"/>
              <w:right w:type="dxa" w:w="140"/>
            </w:tcMar>
          </w:tcPr>
          <w:p>
            <w:pPr>
              <w:spacing w:after="0"/>
            </w:pPr>
            <w:r>
              <w:rPr>
                <w:rFonts w:ascii="Arial" w:cs="Arial" w:eastAsia="Arial" w:hAnsi="Arial"/>
                <w:b/>
                <w:bCs/>
                <w:color w:val="FFFFFF"/>
                <w:sz w:val="20"/>
                <w:szCs w:val="20"/>
              </w:rPr>
              <w:t xml:space="preserve">TECHNICAL LEADERSHIP</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Technical Strategy (team level)</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Strong conceptual foundation — 8 yrs engineering + TPM engagement on Supergraph architecture.</w:t>
            </w:r>
          </w:p>
        </w:tc>
        <w:tc>
          <w:tcPr>
            <w:tcW w:type="dxa" w:w="1200"/>
            <w:tcBorders>
              <w:top w:val="single" w:color="C0C0C0" w:sz="4"/>
              <w:left w:val="single" w:color="C0C0C0" w:sz="4"/>
              <w:bottom w:val="single" w:color="C0C0C0" w:sz="4"/>
              <w:right w:val="single" w:color="C0C0C0" w:sz="4"/>
            </w:tcBorders>
            <w:shd w:fill="EAF4EE"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GOOD</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Lead with 'I have an engineering foundation that lets me engage credibly on architecture without needing to write the code. I set direction, delegate execution, and know enough to spot risk.'</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Architecture Decision Support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Systems architect background (2006–12). Active engagement on GraphQL/Supergraph at Xero.</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Supergraph thin-slice and graph contract design work is genuine architecture engagement. Name it. Study modern distributed systems design to refresh vocabulary.</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Cloud Platform (AWS/Azure/GCP)</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 named platform experience. 'Cloud-based systems — Experienced' only.</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Complete AWS Cloud Practitioner (CLF-C02) as immediate priority. Target Solutions Architect Associate for stronger signal. Engage with Xero platform engineers on cloud architecture.</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Technical Debt Management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Introduced at 2sol. Not recently evidenced as an explicit EM accountability.</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Reframe the 2sol practice transformation (CI/CD, code reviews, coding standards) as a systematic debt management programme. Frame the Unified Burndown at Xero as platform debt management at scale.</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Developer Experience / CI/CD</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Introduced CI/CD at 2sol. Not evidenced in recent roles.</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2sol story is strong. Add DORA metrics as the modern measurement lens for developer experience improvement.</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Agentic AI &amp; AI Tool Management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Strong product/program AI experience. Operational AI-augmented team management is emerging.</w:t>
            </w:r>
          </w:p>
        </w:tc>
        <w:tc>
          <w:tcPr>
            <w:tcW w:type="dxa" w:w="1200"/>
            <w:tcBorders>
              <w:top w:val="single" w:color="C0C0C0" w:sz="4"/>
              <w:left w:val="single" w:color="C0C0C0" w:sz="4"/>
              <w:bottom w:val="single" w:color="C0C0C0" w:sz="4"/>
              <w:right w:val="single" w:color="C0C0C0" w:sz="4"/>
            </w:tcBorders>
            <w:shd w:fill="EAF4EE"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GOOD</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 the orchestration reframe: 'My core skill — decomposing complex work into clear, executable units with defined ownership — applies directly to managing AI-augmented engineering teams.'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Modern Tech Literacy</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Engineering background dated (2006–12). No modern stack named (React/TypeScript/Go/Python).</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Follow The Pragmatic Engineer. Read Designing Data-Intensive Applications. Build a small personal project using an LLM API. One hour/week with Xero engineers asking why they make specific technical choices.</w:t>
            </w:r>
          </w:p>
        </w:tc>
      </w:tr>
      <w:tr>
        <w:tc>
          <w:tcPr>
            <w:tcW w:type="dxa" w:w="9360"/>
            <w:gridSpan w:val="4"/>
            <w:tcBorders>
              <w:top w:val="single" w:color="1F3864" w:sz="4"/>
              <w:left w:val="single" w:color="1F3864" w:sz="4"/>
              <w:bottom w:val="single" w:color="1F3864" w:sz="4"/>
              <w:right w:val="single" w:color="1F3864" w:sz="4"/>
            </w:tcBorders>
            <w:shd w:fill="1F3864" w:val="clear"/>
            <w:tcMar>
              <w:top w:type="dxa" w:w="60"/>
              <w:left w:type="dxa" w:w="140"/>
              <w:bottom w:type="dxa" w:w="60"/>
              <w:right w:type="dxa" w:w="140"/>
            </w:tcMar>
          </w:tcPr>
          <w:p>
            <w:pPr>
              <w:spacing w:after="0"/>
            </w:pPr>
            <w:r>
              <w:rPr>
                <w:rFonts w:ascii="Arial" w:cs="Arial" w:eastAsia="Arial" w:hAnsi="Arial"/>
                <w:b/>
                <w:bCs/>
                <w:color w:val="FFFFFF"/>
                <w:sz w:val="20"/>
                <w:szCs w:val="20"/>
              </w:rPr>
              <w:t xml:space="preserve">STRATEGY, ORGANISATIONAL DESIGN &amp; OPERATIONS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OKR Setting &amp; Management</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Delivery metrics and roadmaps strong. OKR framing not explicitly evidenced.</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Map existing programme objectives to OKR language. Study Measure What Matters (Doerr). Propose OKR framing for one of Alan's current Xero initiatives.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Team Topologies &amp; Org Design</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Strong practical experience designing cross-functional models. Team Topologies vocabulary not named.</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Map existing work to the framework: API Platform = platform team; domain teams = stream-aligned; API Program team = enabling team. Then name the framework explicitly in interviews.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Budget &amp; Headcount Planning</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Not evidenced as direct accountability. Capacity modelling and forecasting strong.</w:t>
            </w:r>
          </w:p>
        </w:tc>
        <w:tc>
          <w:tcPr>
            <w:tcW w:type="dxa" w:w="1200"/>
            <w:tcBorders>
              <w:top w:val="single" w:color="C0C0C0" w:sz="4"/>
              <w:left w:val="single" w:color="C0C0C0" w:sz="4"/>
              <w:bottom w:val="single" w:color="C0C0C0" w:sz="4"/>
              <w:right w:val="single" w:color="C0C0C0" w:sz="4"/>
            </w:tcBorders>
            <w:shd w:fill="FADBD8" w:val="clear"/>
            <w:tcMar>
              <w:top w:type="dxa" w:w="80"/>
              <w:left w:type="dxa" w:w="100"/>
              <w:bottom w:type="dxa" w:w="80"/>
              <w:right w:type="dxa" w:w="100"/>
            </w:tcMar>
            <w:vAlign w:val="center"/>
          </w:tcPr>
          <w:p>
            <w:pPr>
              <w:spacing w:after="0"/>
              <w:jc w:val="center"/>
            </w:pPr>
            <w:r>
              <w:rPr>
                <w:rFonts w:ascii="Arial" w:cs="Arial" w:eastAsia="Arial" w:hAnsi="Arial"/>
                <w:b/>
                <w:bCs/>
                <w:color w:val="7B1A1A"/>
                <w:sz w:val="18"/>
                <w:szCs w:val="18"/>
              </w:rPr>
              <w:t xml:space="preserve">GAP</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Reframe capacity models and forecasting work as headcount planning inputs. Shadow the Xero headcount planning cycle. Frame Master of PM as financial management training.</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RACI &amp; Governance Design</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Applied in practice (API Program ownership boundaries, Supergraph dependency intake). Not named as RACI.</w:t>
            </w:r>
          </w:p>
        </w:tc>
        <w:tc>
          <w:tcPr>
            <w:tcW w:type="dxa" w:w="1200"/>
            <w:tcBorders>
              <w:top w:val="single" w:color="C0C0C0" w:sz="4"/>
              <w:left w:val="single" w:color="C0C0C0" w:sz="4"/>
              <w:bottom w:val="single" w:color="C0C0C0" w:sz="4"/>
              <w:right w:val="single" w:color="C0C0C0" w:sz="4"/>
            </w:tcBorders>
            <w:shd w:fill="FFF3CD" w:val="clear"/>
            <w:tcMar>
              <w:top w:type="dxa" w:w="80"/>
              <w:left w:type="dxa" w:w="100"/>
              <w:bottom w:type="dxa" w:w="80"/>
              <w:right w:type="dxa" w:w="100"/>
            </w:tcMar>
            <w:vAlign w:val="center"/>
          </w:tcPr>
          <w:p>
            <w:pPr>
              <w:spacing w:after="0"/>
              <w:jc w:val="center"/>
            </w:pPr>
            <w:r>
              <w:rPr>
                <w:rFonts w:ascii="Arial" w:cs="Arial" w:eastAsia="Arial" w:hAnsi="Arial"/>
                <w:b/>
                <w:bCs/>
                <w:color w:val="7B5E00"/>
                <w:sz w:val="18"/>
                <w:szCs w:val="18"/>
              </w:rPr>
              <w:t xml:space="preserve">PARTIAL</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Apply the RACI label retroactively to existing governance work. Implement explicit RACI for a key Supergraph decision as interview evidence.</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Stakeholder &amp; Exec Communication</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Expert. EGM-level at Xero. Significant competitive advantage.</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Lead with this in HoE interviews. 'I communicate programme health to EGM and GM level weekly. I translate technical complexity into business decisions.'</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Cross-Team Coordination</w:t>
            </w:r>
          </w:p>
        </w:tc>
        <w:tc>
          <w:tcPr>
            <w:tcW w:type="dxa" w:w="28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Expert. API Program spans dozens of Xero engineering teams.</w:t>
            </w:r>
          </w:p>
        </w:tc>
        <w:tc>
          <w:tcPr>
            <w:tcW w:type="dxa" w:w="1200"/>
            <w:tcBorders>
              <w:top w:val="single" w:color="C0C0C0" w:sz="4"/>
              <w:left w:val="single" w:color="C0C0C0" w:sz="4"/>
              <w:bottom w:val="single" w:color="C0C0C0" w:sz="4"/>
              <w:right w:val="single" w:color="C0C0C0" w:sz="4"/>
            </w:tcBorders>
            <w:shd w:fill="D4EDDA" w:val="clear"/>
            <w:tcMar>
              <w:top w:type="dxa" w:w="80"/>
              <w:left w:type="dxa" w:w="100"/>
              <w:bottom w:type="dxa" w:w="80"/>
              <w:right w:type="dxa" w:w="100"/>
            </w:tcMar>
            <w:vAlign w:val="center"/>
          </w:tcPr>
          <w:p>
            <w:pPr>
              <w:spacing w:after="0"/>
              <w:jc w:val="center"/>
            </w:pPr>
            <w:r>
              <w:rPr>
                <w:rFonts w:ascii="Arial" w:cs="Arial" w:eastAsia="Arial" w:hAnsi="Arial"/>
                <w:b/>
                <w:bCs/>
                <w:color w:val="1D6B3A"/>
                <w:sz w:val="18"/>
                <w:szCs w:val="18"/>
              </w:rPr>
              <w:t xml:space="preserve">STRONG</w:t>
            </w:r>
          </w:p>
        </w:tc>
        <w:tc>
          <w:tcPr>
            <w:tcW w:type="dxa" w:w="31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 the Unified Burndown as the centrepiece example: 'I built the governance layer that let a platform initiative become an executable multi-division migration programme.'</w:t>
            </w:r>
          </w:p>
        </w:tc>
      </w:tr>
    </w:tbl>
    <w:p>
      <w:pPr>
        <w:spacing w:after="180"/>
      </w:pPr>
    </w:p>
    <w:p>
      <w:r>
        <w:br w:type="page"/>
      </w:r>
    </w:p>
    <w:p>
      <w:pPr>
        <w:pStyle w:val="Heading1"/>
      </w:pPr>
      <w:r>
        <w:rPr>
          <w:rFonts w:ascii="Arial" w:cs="Arial" w:eastAsia="Arial" w:hAnsi="Arial"/>
          <w:b/>
          <w:bCs/>
          <w:color w:val="1F3864"/>
          <w:sz w:val="32"/>
          <w:szCs w:val="32"/>
        </w:rPr>
        <w:t xml:space="preserve">6. Critical Gaps — Deep Dive</w:t>
      </w:r>
    </w:p>
    <w:p>
      <w:pPr>
        <w:spacing w:after="140"/>
      </w:pPr>
      <w:r>
        <w:rPr>
          <w:rFonts w:ascii="Arial" w:cs="Arial" w:eastAsia="Arial" w:hAnsi="Arial"/>
          <w:sz w:val="22"/>
          <w:szCs w:val="22"/>
        </w:rPr>
        <w:t xml:space="preserve">The five most important gaps to address before applying in earnest. Each includes what the gap actually is, why it matters, and the most efficient path to bridging it.</w:t>
      </w:r>
    </w:p>
    <w:p>
      <w:pPr>
        <w:spacing w:after="180"/>
      </w:pPr>
    </w:p>
    <w:p>
      <w:pPr>
        <w:pStyle w:val="Heading2"/>
      </w:pPr>
      <w:r>
        <w:rPr>
          <w:rFonts w:ascii="Arial" w:cs="Arial" w:eastAsia="Arial" w:hAnsi="Arial"/>
          <w:b/>
          <w:bCs/>
          <w:color w:val="2E5FA3"/>
          <w:sz w:val="26"/>
          <w:szCs w:val="26"/>
        </w:rPr>
        <w:t xml:space="preserve">6.1 Formal People Management Mechanics</w:t>
      </w:r>
    </w:p>
    <w:p>
      <w:pPr>
        <w:spacing w:after="140"/>
      </w:pPr>
      <w:r>
        <w:rPr>
          <w:rFonts w:ascii="Arial" w:cs="Arial" w:eastAsia="Arial" w:hAnsi="Arial"/>
          <w:sz w:val="22"/>
          <w:szCs w:val="22"/>
        </w:rPr>
        <w:t xml:space="preserve">The single biggest gap, and the one most consistently probed in EM interviews. The issue is not whether Alan can lead people — three roles confirm he can — it is that the formal HR machinery (performance review tied to an engineering career framework, calibration with peer managers, PIPs, compensation conversations) has not been Alan's explicit accountability in a named EM role.</w:t>
      </w:r>
    </w:p>
    <w:p>
      <w:pPr>
        <w:spacing w:after="180"/>
      </w:pPr>
    </w:p>
    <w:p>
      <w:pPr>
        <w:spacing w:after="140"/>
      </w:pPr>
      <w:r>
        <w:rPr>
          <w:rFonts w:ascii="Arial" w:cs="Arial" w:eastAsia="Arial" w:hAnsi="Arial"/>
          <w:sz w:val="22"/>
          <w:szCs w:val="22"/>
        </w:rPr>
        <w:t xml:space="preserve">Hiring managers will ask: "Tell me about the most difficult performance conversation you've had." "Walk me through a PIP you've run." "How have you handled a promotion decision where the engineer disagreed with your assessment?" Coaching a team or influencing an EM is a different answer than owning these processes yourself.</w:t>
      </w:r>
    </w:p>
    <w:p>
      <w:pPr>
        <w:spacing w:after="180"/>
      </w:pPr>
    </w:p>
    <w:p>
      <w:pPr>
        <w:spacing w:after="140"/>
      </w:pPr>
      <w:r>
        <w:rPr>
          <w:rFonts w:ascii="Arial" w:cs="Arial" w:eastAsia="Arial" w:hAnsi="Arial"/>
          <w:sz w:val="22"/>
          <w:szCs w:val="22"/>
        </w:rPr>
        <w:t xml:space="preserve">Highest-leverage path:</w:t>
      </w:r>
    </w:p>
    <w:p>
      <w:pPr>
        <w:pStyle w:val="ListParagraph"/>
        <w:numPr>
          <w:ilvl w:val="0"/>
          <w:numId w:val="2"/>
        </w:numPr>
        <w:spacing w:after="80"/>
      </w:pPr>
      <w:r>
        <w:rPr>
          <w:rFonts w:ascii="Arial" w:cs="Arial" w:eastAsia="Arial" w:hAnsi="Arial"/>
          <w:sz w:val="22"/>
          <w:szCs w:val="22"/>
        </w:rPr>
        <w:t xml:space="preserve">Seek formal EM accountability inside Xero — even one engineering team as a direct-report manager alongside the TPM role changes the interview story entirely.</w:t>
      </w:r>
    </w:p>
    <w:p>
      <w:pPr>
        <w:pStyle w:val="ListParagraph"/>
        <w:numPr>
          <w:ilvl w:val="0"/>
          <w:numId w:val="2"/>
        </w:numPr>
        <w:spacing w:after="80"/>
      </w:pPr>
      <w:r>
        <w:rPr>
          <w:rFonts w:ascii="Arial" w:cs="Arial" w:eastAsia="Arial" w:hAnsi="Arial"/>
          <w:sz w:val="22"/>
          <w:szCs w:val="22"/>
        </w:rPr>
        <w:t xml:space="preserve">Shadow the next performance review cycle at Xero. Ask an EM to walk you through their calibration process and review template.</w:t>
      </w:r>
    </w:p>
    <w:p>
      <w:pPr>
        <w:pStyle w:val="ListParagraph"/>
        <w:numPr>
          <w:ilvl w:val="0"/>
          <w:numId w:val="2"/>
        </w:numPr>
        <w:spacing w:after="80"/>
      </w:pPr>
      <w:r>
        <w:rPr>
          <w:rFonts w:ascii="Arial" w:cs="Arial" w:eastAsia="Arial" w:hAnsi="Arial"/>
          <w:sz w:val="22"/>
          <w:szCs w:val="22"/>
        </w:rPr>
        <w:t xml:space="preserve">Study the mechanics: The Manager's Path (Fournier), An Elegant Puzzle (Larson), Radical Candor (Scott). Learn the specific language of career frameworks, levelling guides, and structured feedback.</w:t>
      </w:r>
    </w:p>
    <w:p>
      <w:pPr>
        <w:pStyle w:val="ListParagraph"/>
        <w:numPr>
          <w:ilvl w:val="0"/>
          <w:numId w:val="2"/>
        </w:numPr>
        <w:spacing w:after="80"/>
      </w:pPr>
      <w:r>
        <w:rPr>
          <w:rFonts w:ascii="Arial" w:cs="Arial" w:eastAsia="Arial" w:hAnsi="Arial"/>
          <w:sz w:val="22"/>
          <w:szCs w:val="22"/>
        </w:rPr>
        <w:t xml:space="preserve">Read a public engineering career ladder (Carta, Dropbox, Progression.fyi) and be able to describe what a mid-level to senior engineer transition looks like at a software company.</w:t>
      </w:r>
    </w:p>
    <w:p>
      <w:pPr>
        <w:spacing w:after="180"/>
      </w:pPr>
    </w:p>
    <w:p>
      <w:pPr>
        <w:pStyle w:val="Heading2"/>
      </w:pPr>
      <w:r>
        <w:rPr>
          <w:rFonts w:ascii="Arial" w:cs="Arial" w:eastAsia="Arial" w:hAnsi="Arial"/>
          <w:b/>
          <w:bCs/>
          <w:color w:val="2E5FA3"/>
          <w:sz w:val="26"/>
          <w:szCs w:val="26"/>
        </w:rPr>
        <w:t xml:space="preserve">6.2 Cloud Platform Literacy</w:t>
      </w:r>
    </w:p>
    <w:p>
      <w:pPr>
        <w:spacing w:after="140"/>
      </w:pPr>
      <w:r>
        <w:rPr>
          <w:rFonts w:ascii="Arial" w:cs="Arial" w:eastAsia="Arial" w:hAnsi="Arial"/>
          <w:sz w:val="22"/>
          <w:szCs w:val="22"/>
        </w:rPr>
        <w:t xml:space="preserve">Almost every software EM job description in Australia lists AWS, Azure, or GCP as an expectation. Not hands-on infrastructure engineering — but enough architectural literacy to evaluate team technical proposals, understand cloud spend drivers, and make informed build-vs-managed-service decisions.</w:t>
      </w:r>
    </w:p>
    <w:p>
      <w:pPr>
        <w:spacing w:after="180"/>
      </w:pPr>
    </w:p>
    <w:p>
      <w:pPr>
        <w:spacing w:after="140"/>
      </w:pPr>
      <w:r>
        <w:rPr>
          <w:rFonts w:ascii="Arial" w:cs="Arial" w:eastAsia="Arial" w:hAnsi="Arial"/>
          <w:sz w:val="22"/>
          <w:szCs w:val="22"/>
        </w:rPr>
        <w:t xml:space="preserve">Alan currently has 'cloud-based systems — Experienced' with no named platform. This is the fastest factual gap to close and should be completed before active job searching.</w:t>
      </w:r>
    </w:p>
    <w:p>
      <w:pPr>
        <w:spacing w:after="180"/>
      </w:pPr>
    </w:p>
    <w:p>
      <w:pPr>
        <w:pStyle w:val="ListParagraph"/>
        <w:numPr>
          <w:ilvl w:val="0"/>
          <w:numId w:val="2"/>
        </w:numPr>
        <w:spacing w:after="80"/>
      </w:pPr>
      <w:r>
        <w:rPr>
          <w:rFonts w:ascii="Arial" w:cs="Arial" w:eastAsia="Arial" w:hAnsi="Arial"/>
          <w:sz w:val="22"/>
          <w:szCs w:val="22"/>
        </w:rPr>
        <w:t xml:space="preserve">AWS Certified Cloud Practitioner (CLF-C02) — 10–15 hours, online exam. Gives a named credential and conceptual foundation.</w:t>
      </w:r>
    </w:p>
    <w:p>
      <w:pPr>
        <w:pStyle w:val="ListParagraph"/>
        <w:numPr>
          <w:ilvl w:val="0"/>
          <w:numId w:val="2"/>
        </w:numPr>
        <w:spacing w:after="80"/>
      </w:pPr>
      <w:r>
        <w:rPr>
          <w:rFonts w:ascii="Arial" w:cs="Arial" w:eastAsia="Arial" w:hAnsi="Arial"/>
          <w:sz w:val="22"/>
          <w:szCs w:val="22"/>
        </w:rPr>
        <w:t xml:space="preserve">AWS Solutions Architect Associate (SAA-C03) — 40–60 hours. Signals genuine architectural literacy. Strongly recommended for EM roles at infrastructure-adjacent companies.</w:t>
      </w:r>
    </w:p>
    <w:p>
      <w:pPr>
        <w:pStyle w:val="ListParagraph"/>
        <w:numPr>
          <w:ilvl w:val="0"/>
          <w:numId w:val="2"/>
        </w:numPr>
        <w:spacing w:after="80"/>
      </w:pPr>
      <w:r>
        <w:rPr>
          <w:rFonts w:ascii="Arial" w:cs="Arial" w:eastAsia="Arial" w:hAnsi="Arial"/>
          <w:sz w:val="22"/>
          <w:szCs w:val="22"/>
        </w:rPr>
        <w:t xml:space="preserve">At Xero: engage with the cloud architecture of the API Program. Ask the platform team to walk you through the infrastructure. Document and reflect on what you learn — this becomes interview material.</w:t>
      </w:r>
    </w:p>
    <w:p>
      <w:pPr>
        <w:spacing w:after="180"/>
      </w:pPr>
    </w:p>
    <w:p>
      <w:pPr>
        <w:pStyle w:val="Heading2"/>
      </w:pPr>
      <w:r>
        <w:rPr>
          <w:rFonts w:ascii="Arial" w:cs="Arial" w:eastAsia="Arial" w:hAnsi="Arial"/>
          <w:b/>
          <w:bCs/>
          <w:color w:val="2E5FA3"/>
          <w:sz w:val="26"/>
          <w:szCs w:val="26"/>
        </w:rPr>
        <w:t xml:space="preserve">6.3 DORA Metrics &amp; Engineering Health Measurement</w:t>
      </w:r>
    </w:p>
    <w:p>
      <w:pPr>
        <w:spacing w:after="140"/>
      </w:pPr>
      <w:r>
        <w:rPr>
          <w:rFonts w:ascii="Arial" w:cs="Arial" w:eastAsia="Arial" w:hAnsi="Arial"/>
          <w:sz w:val="22"/>
          <w:szCs w:val="22"/>
        </w:rPr>
        <w:t xml:space="preserve">DORA metrics are now the baseline vocabulary for engineering team health. Candidates who cannot speak fluently about all four metrics, what they indicate, and how to improve them miss a key credibility signal in EM interviews.</w:t>
      </w:r>
    </w:p>
    <w:p>
      <w:pPr>
        <w:spacing w:after="180"/>
      </w:pPr>
    </w:p>
    <w:p>
      <w:pPr>
        <w:spacing w:after="140"/>
      </w:pPr>
      <w:r>
        <w:rPr>
          <w:rFonts w:ascii="Arial" w:cs="Arial" w:eastAsia="Arial" w:hAnsi="Arial"/>
          <w:sz w:val="22"/>
          <w:szCs w:val="22"/>
        </w:rPr>
        <w:t xml:space="preserve">Alan uses delivery metrics throughout his career (cycle time, throughput, forecasting) — these map directly to DORA. The gap is framing and vocabulary, not underlying capability.</w:t>
      </w:r>
    </w:p>
    <w:p>
      <w:pPr>
        <w:spacing w:after="180"/>
      </w:pPr>
    </w:p>
    <w:p>
      <w:pPr>
        <w:pStyle w:val="ListParagraph"/>
        <w:numPr>
          <w:ilvl w:val="0"/>
          <w:numId w:val="2"/>
        </w:numPr>
        <w:spacing w:after="80"/>
      </w:pPr>
      <w:r>
        <w:rPr>
          <w:rFonts w:ascii="Arial" w:cs="Arial" w:eastAsia="Arial" w:hAnsi="Arial"/>
          <w:sz w:val="22"/>
          <w:szCs w:val="22"/>
        </w:rPr>
        <w:t xml:space="preserve">Read the DORA research summary at dora.dev and the Accelerate book (Forsgren, Humble, Kim).</w:t>
      </w:r>
    </w:p>
    <w:p>
      <w:pPr>
        <w:pStyle w:val="ListParagraph"/>
        <w:numPr>
          <w:ilvl w:val="0"/>
          <w:numId w:val="2"/>
        </w:numPr>
        <w:spacing w:after="80"/>
      </w:pPr>
      <w:r>
        <w:rPr>
          <w:rFonts w:ascii="Arial" w:cs="Arial" w:eastAsia="Arial" w:hAnsi="Arial"/>
          <w:sz w:val="22"/>
          <w:szCs w:val="22"/>
        </w:rPr>
        <w:t xml:space="preserve">Map Alan's existing metrics to DORA language: cycle time = lead time for changes; throughput = deployment frequency; defect escape rate = change failure rate.</w:t>
      </w:r>
    </w:p>
    <w:p>
      <w:pPr>
        <w:pStyle w:val="ListParagraph"/>
        <w:numPr>
          <w:ilvl w:val="0"/>
          <w:numId w:val="2"/>
        </w:numPr>
        <w:spacing w:after="80"/>
      </w:pPr>
      <w:r>
        <w:rPr>
          <w:rFonts w:ascii="Arial" w:cs="Arial" w:eastAsia="Arial" w:hAnsi="Arial"/>
          <w:sz w:val="22"/>
          <w:szCs w:val="22"/>
        </w:rPr>
        <w:t xml:space="preserve">Propose a DORA metric dashboard for one of the Xero teams Alan works with. Even a lightweight tracking initiative becomes concrete interview evidence.</w:t>
      </w:r>
    </w:p>
    <w:p>
      <w:pPr>
        <w:spacing w:after="180"/>
      </w:pPr>
    </w:p>
    <w:p>
      <w:pPr>
        <w:pStyle w:val="Heading2"/>
      </w:pPr>
      <w:r>
        <w:rPr>
          <w:rFonts w:ascii="Arial" w:cs="Arial" w:eastAsia="Arial" w:hAnsi="Arial"/>
          <w:b/>
          <w:bCs/>
          <w:color w:val="2E5FA3"/>
          <w:sz w:val="26"/>
          <w:szCs w:val="26"/>
        </w:rPr>
        <w:t xml:space="preserve">6.4 Incident Management &amp; Reliability Engineering</w:t>
      </w:r>
    </w:p>
    <w:p>
      <w:pPr>
        <w:spacing w:after="140"/>
      </w:pPr>
      <w:r>
        <w:rPr>
          <w:rFonts w:ascii="Arial" w:cs="Arial" w:eastAsia="Arial" w:hAnsi="Arial"/>
          <w:sz w:val="22"/>
          <w:szCs w:val="22"/>
        </w:rPr>
        <w:t xml:space="preserve">EMs own the team's on-call health: runbooks, on-call rotations, SLOs, blameless post-mortems, and tracking that post-mortem follow-ups actually get resolved. Alan has no explicit evidence in this area — it is simply outside his TPM scope.</w:t>
      </w:r>
    </w:p>
    <w:p>
      <w:pPr>
        <w:spacing w:after="180"/>
      </w:pPr>
    </w:p>
    <w:p>
      <w:pPr>
        <w:pStyle w:val="ListParagraph"/>
        <w:numPr>
          <w:ilvl w:val="0"/>
          <w:numId w:val="2"/>
        </w:numPr>
        <w:spacing w:after="80"/>
      </w:pPr>
      <w:r>
        <w:rPr>
          <w:rFonts w:ascii="Arial" w:cs="Arial" w:eastAsia="Arial" w:hAnsi="Arial"/>
          <w:sz w:val="22"/>
          <w:szCs w:val="22"/>
        </w:rPr>
        <w:t xml:space="preserve">Read the Google SRE Book (free at sre.google/books). Focus on chapters covering SLOs, incident response, and blameless post-mortems.</w:t>
      </w:r>
    </w:p>
    <w:p>
      <w:pPr>
        <w:pStyle w:val="ListParagraph"/>
        <w:numPr>
          <w:ilvl w:val="0"/>
          <w:numId w:val="2"/>
        </w:numPr>
        <w:spacing w:after="80"/>
      </w:pPr>
      <w:r>
        <w:rPr>
          <w:rFonts w:ascii="Arial" w:cs="Arial" w:eastAsia="Arial" w:hAnsi="Arial"/>
          <w:sz w:val="22"/>
          <w:szCs w:val="22"/>
        </w:rPr>
        <w:t xml:space="preserve">Attend a Xero post-mortem as an observer. Understand the format, the blameless framing, and how action items are tracked and closed.</w:t>
      </w:r>
    </w:p>
    <w:p>
      <w:pPr>
        <w:pStyle w:val="ListParagraph"/>
        <w:numPr>
          <w:ilvl w:val="0"/>
          <w:numId w:val="2"/>
        </w:numPr>
        <w:spacing w:after="80"/>
      </w:pPr>
      <w:r>
        <w:rPr>
          <w:rFonts w:ascii="Arial" w:cs="Arial" w:eastAsia="Arial" w:hAnsi="Arial"/>
          <w:sz w:val="22"/>
          <w:szCs w:val="22"/>
        </w:rPr>
        <w:t xml:space="preserve">Prepare one strong interview answer: demonstrate you understand what good incident management looks like and what you would change if you inherited a team with poor on-call culture.</w:t>
      </w:r>
    </w:p>
    <w:p>
      <w:pPr>
        <w:spacing w:after="180"/>
      </w:pPr>
    </w:p>
    <w:p>
      <w:pPr>
        <w:pStyle w:val="Heading2"/>
      </w:pPr>
      <w:r>
        <w:rPr>
          <w:rFonts w:ascii="Arial" w:cs="Arial" w:eastAsia="Arial" w:hAnsi="Arial"/>
          <w:b/>
          <w:bCs/>
          <w:color w:val="2E5FA3"/>
          <w:sz w:val="26"/>
          <w:szCs w:val="26"/>
        </w:rPr>
        <w:t xml:space="preserve">6.5 Modern Technical Currency</w:t>
      </w:r>
    </w:p>
    <w:p>
      <w:pPr>
        <w:spacing w:after="140"/>
      </w:pPr>
      <w:r>
        <w:rPr>
          <w:rFonts w:ascii="Arial" w:cs="Arial" w:eastAsia="Arial" w:hAnsi="Arial"/>
          <w:sz w:val="22"/>
          <w:szCs w:val="22"/>
        </w:rPr>
        <w:t xml:space="preserve">Alan's engineering background (2003–2012) is real and valuable. The risk is a credibility gap when interviewing with engineers who expect an EM to have a working understanding of the current stack. The bar is not "write production code" — it is "can have a fluent technical conversation without needing terms explained."</w:t>
      </w:r>
    </w:p>
    <w:p>
      <w:pPr>
        <w:spacing w:after="180"/>
      </w:pPr>
    </w:p>
    <w:p>
      <w:pPr>
        <w:pStyle w:val="ListParagraph"/>
        <w:numPr>
          <w:ilvl w:val="0"/>
          <w:numId w:val="2"/>
        </w:numPr>
        <w:spacing w:after="80"/>
      </w:pPr>
      <w:r>
        <w:rPr>
          <w:rFonts w:ascii="Arial" w:cs="Arial" w:eastAsia="Arial" w:hAnsi="Arial"/>
          <w:sz w:val="22"/>
          <w:szCs w:val="22"/>
        </w:rPr>
        <w:t xml:space="preserve">Follow The Pragmatic Engineer newsletter — the right level of technical depth for an engineering leader, covering modern architecture, hiring, and engineering culture weekly.</w:t>
      </w:r>
    </w:p>
    <w:p>
      <w:pPr>
        <w:pStyle w:val="ListParagraph"/>
        <w:numPr>
          <w:ilvl w:val="0"/>
          <w:numId w:val="2"/>
        </w:numPr>
        <w:spacing w:after="80"/>
      </w:pPr>
      <w:r>
        <w:rPr>
          <w:rFonts w:ascii="Arial" w:cs="Arial" w:eastAsia="Arial" w:hAnsi="Arial"/>
          <w:sz w:val="22"/>
          <w:szCs w:val="22"/>
        </w:rPr>
        <w:t xml:space="preserve">Read Designing Data-Intensive Applications (Kleppmann) to refresh distributed systems thinking in modern terms.</w:t>
      </w:r>
    </w:p>
    <w:p>
      <w:pPr>
        <w:pStyle w:val="ListParagraph"/>
        <w:numPr>
          <w:ilvl w:val="0"/>
          <w:numId w:val="2"/>
        </w:numPr>
        <w:spacing w:after="80"/>
      </w:pPr>
      <w:r>
        <w:rPr>
          <w:rFonts w:ascii="Arial" w:cs="Arial" w:eastAsia="Arial" w:hAnsi="Arial"/>
          <w:sz w:val="22"/>
          <w:szCs w:val="22"/>
        </w:rPr>
        <w:t xml:space="preserve">Study agentic coding tools (Cursor, GitHub Copilot Agent, Claude Code) — how they are used by engineers, what their limitations are, and how teams are adapting review and testing processes. This is now core EM knowledge.</w:t>
      </w:r>
    </w:p>
    <w:p>
      <w:pPr>
        <w:pStyle w:val="ListParagraph"/>
        <w:numPr>
          <w:ilvl w:val="0"/>
          <w:numId w:val="2"/>
        </w:numPr>
        <w:spacing w:after="80"/>
      </w:pPr>
      <w:r>
        <w:rPr>
          <w:rFonts w:ascii="Arial" w:cs="Arial" w:eastAsia="Arial" w:hAnsi="Arial"/>
          <w:sz w:val="22"/>
          <w:szCs w:val="22"/>
        </w:rPr>
        <w:t xml:space="preserve">Build something small: a personal project using an LLM API, a simple Python or Go service, a React component. Twenty hours of hands-on coding restores confidence and fluency in technical conversations.</w:t>
      </w:r>
    </w:p>
    <w:p>
      <w:pPr>
        <w:spacing w:after="180"/>
      </w:pPr>
    </w:p>
    <w:p>
      <w:r>
        <w:br w:type="page"/>
      </w:r>
    </w:p>
    <w:p>
      <w:pPr>
        <w:pStyle w:val="Heading1"/>
      </w:pPr>
      <w:r>
        <w:rPr>
          <w:rFonts w:ascii="Arial" w:cs="Arial" w:eastAsia="Arial" w:hAnsi="Arial"/>
          <w:b/>
          <w:bCs/>
          <w:color w:val="1F3864"/>
          <w:sz w:val="32"/>
          <w:szCs w:val="32"/>
        </w:rPr>
        <w:t xml:space="preserve">7. Twelve-Month Development Plan</w:t>
      </w:r>
    </w:p>
    <w:p>
      <w:pPr>
        <w:spacing w:after="140"/>
      </w:pPr>
      <w:r>
        <w:rPr>
          <w:rFonts w:ascii="Arial" w:cs="Arial" w:eastAsia="Arial" w:hAnsi="Arial"/>
          <w:sz w:val="22"/>
          <w:szCs w:val="22"/>
        </w:rPr>
        <w:t xml:space="preserve">Organised into four phases. Phases 1–2 are prerequisites before applying in earnest. Phases 3–4 run alongside early job-market activity.</w:t>
      </w:r>
    </w:p>
    <w:p>
      <w:pPr>
        <w:spacing w:after="180"/>
      </w:pPr>
    </w:p>
    <w:p>
      <w:pPr>
        <w:pStyle w:val="Heading2"/>
      </w:pPr>
      <w:r>
        <w:rPr>
          <w:rFonts w:ascii="Arial" w:cs="Arial" w:eastAsia="Arial" w:hAnsi="Arial"/>
          <w:b/>
          <w:bCs/>
          <w:color w:val="2E5FA3"/>
          <w:sz w:val="26"/>
          <w:szCs w:val="26"/>
        </w:rPr>
        <w:t xml:space="preserve">Phase 1 (Months 1–3): Foundations — Metrics, Cloud, Agentic AI</w:t>
      </w:r>
    </w:p>
    <w:p>
      <w:pPr>
        <w:spacing w:after="140"/>
      </w:pPr>
      <w:r>
        <w:rPr>
          <w:rFonts w:ascii="Arial" w:cs="Arial" w:eastAsia="Arial" w:hAnsi="Arial"/>
          <w:sz w:val="22"/>
          <w:szCs w:val="22"/>
        </w:rPr>
        <w:t xml:space="preserve">Focus: close the two fastest-to-address hard skill gaps and build the agentic coding narrative.</w:t>
      </w:r>
    </w:p>
    <w:p>
      <w:pPr>
        <w:pStyle w:val="ListParagraph"/>
        <w:numPr>
          <w:ilvl w:val="0"/>
          <w:numId w:val="2"/>
        </w:numPr>
        <w:spacing w:after="80"/>
      </w:pPr>
      <w:r>
        <w:rPr>
          <w:rFonts w:ascii="Arial" w:cs="Arial" w:eastAsia="Arial" w:hAnsi="Arial"/>
          <w:sz w:val="22"/>
          <w:szCs w:val="22"/>
        </w:rPr>
        <w:t xml:space="preserve">Complete AWS Cloud Practitioner (CLF-C02). Begin Solutions Architect Associate if momentum allows.</w:t>
      </w:r>
    </w:p>
    <w:p>
      <w:pPr>
        <w:pStyle w:val="ListParagraph"/>
        <w:numPr>
          <w:ilvl w:val="0"/>
          <w:numId w:val="2"/>
        </w:numPr>
        <w:spacing w:after="80"/>
      </w:pPr>
      <w:r>
        <w:rPr>
          <w:rFonts w:ascii="Arial" w:cs="Arial" w:eastAsia="Arial" w:hAnsi="Arial"/>
          <w:sz w:val="22"/>
          <w:szCs w:val="22"/>
        </w:rPr>
        <w:t xml:space="preserve">Study all four DORA metrics. Map Alan's existing delivery work to DORA language. Propose a DORA tracking initiative at Xero.</w:t>
      </w:r>
    </w:p>
    <w:p>
      <w:pPr>
        <w:pStyle w:val="ListParagraph"/>
        <w:numPr>
          <w:ilvl w:val="0"/>
          <w:numId w:val="2"/>
        </w:numPr>
        <w:spacing w:after="80"/>
      </w:pPr>
      <w:r>
        <w:rPr>
          <w:rFonts w:ascii="Arial" w:cs="Arial" w:eastAsia="Arial" w:hAnsi="Arial"/>
          <w:sz w:val="22"/>
          <w:szCs w:val="22"/>
        </w:rPr>
        <w:t xml:space="preserve">Study agentic coding platforms (Cursor, GitHub Copilot Agent). Understand how engineers are using them and what changes in review, testing, and delivery process. Practice the orchestration reframe in verbal form.</w:t>
      </w:r>
    </w:p>
    <w:p>
      <w:pPr>
        <w:pStyle w:val="ListParagraph"/>
        <w:numPr>
          <w:ilvl w:val="0"/>
          <w:numId w:val="2"/>
        </w:numPr>
        <w:spacing w:after="80"/>
      </w:pPr>
      <w:r>
        <w:rPr>
          <w:rFonts w:ascii="Arial" w:cs="Arial" w:eastAsia="Arial" w:hAnsi="Arial"/>
          <w:sz w:val="22"/>
          <w:szCs w:val="22"/>
        </w:rPr>
        <w:t xml:space="preserve">Ensure CSM is active and clearly displayed on LinkedIn and resume profiles.</w:t>
      </w:r>
    </w:p>
    <w:p>
      <w:pPr>
        <w:pStyle w:val="ListParagraph"/>
        <w:numPr>
          <w:ilvl w:val="0"/>
          <w:numId w:val="2"/>
        </w:numPr>
        <w:spacing w:after="80"/>
      </w:pPr>
      <w:r>
        <w:rPr>
          <w:rFonts w:ascii="Arial" w:cs="Arial" w:eastAsia="Arial" w:hAnsi="Arial"/>
          <w:sz w:val="22"/>
          <w:szCs w:val="22"/>
        </w:rPr>
        <w:t xml:space="preserve">Read: The Manager's Path (Fournier). Begin building the people management vocabulary.</w:t>
      </w:r>
    </w:p>
    <w:p>
      <w:pPr>
        <w:spacing w:after="180"/>
      </w:pPr>
    </w:p>
    <w:p>
      <w:pPr>
        <w:pStyle w:val="Heading2"/>
      </w:pPr>
      <w:r>
        <w:rPr>
          <w:rFonts w:ascii="Arial" w:cs="Arial" w:eastAsia="Arial" w:hAnsi="Arial"/>
          <w:b/>
          <w:bCs/>
          <w:color w:val="2E5FA3"/>
          <w:sz w:val="26"/>
          <w:szCs w:val="26"/>
        </w:rPr>
        <w:t xml:space="preserve">Phase 2 (Months 4–6): People Management &amp; Org Design</w:t>
      </w:r>
    </w:p>
    <w:p>
      <w:pPr>
        <w:spacing w:after="140"/>
      </w:pPr>
      <w:r>
        <w:rPr>
          <w:rFonts w:ascii="Arial" w:cs="Arial" w:eastAsia="Arial" w:hAnsi="Arial"/>
          <w:sz w:val="22"/>
          <w:szCs w:val="22"/>
        </w:rPr>
        <w:t xml:space="preserve">Focus: build the formal people management muscle and learn the organisational frameworks expected at HoE level.</w:t>
      </w:r>
    </w:p>
    <w:p>
      <w:pPr>
        <w:pStyle w:val="ListParagraph"/>
        <w:numPr>
          <w:ilvl w:val="0"/>
          <w:numId w:val="2"/>
        </w:numPr>
        <w:spacing w:after="80"/>
      </w:pPr>
      <w:r>
        <w:rPr>
          <w:rFonts w:ascii="Arial" w:cs="Arial" w:eastAsia="Arial" w:hAnsi="Arial"/>
          <w:sz w:val="22"/>
          <w:szCs w:val="22"/>
        </w:rPr>
        <w:t xml:space="preserve">Shadow a performance review cycle at Xero. If possible, run a formal performance review for one direct report under an EM's guidance.</w:t>
      </w:r>
    </w:p>
    <w:p>
      <w:pPr>
        <w:pStyle w:val="ListParagraph"/>
        <w:numPr>
          <w:ilvl w:val="0"/>
          <w:numId w:val="2"/>
        </w:numPr>
        <w:spacing w:after="80"/>
      </w:pPr>
      <w:r>
        <w:rPr>
          <w:rFonts w:ascii="Arial" w:cs="Arial" w:eastAsia="Arial" w:hAnsi="Arial"/>
          <w:sz w:val="22"/>
          <w:szCs w:val="22"/>
        </w:rPr>
        <w:t xml:space="preserve">Study engineering competency frameworks and career ladders (Carta, Dropbox, Progression.fyi). Design a sample career ladder for a 5-person engineering team.</w:t>
      </w:r>
    </w:p>
    <w:p>
      <w:pPr>
        <w:pStyle w:val="ListParagraph"/>
        <w:numPr>
          <w:ilvl w:val="0"/>
          <w:numId w:val="2"/>
        </w:numPr>
        <w:spacing w:after="80"/>
      </w:pPr>
      <w:r>
        <w:rPr>
          <w:rFonts w:ascii="Arial" w:cs="Arial" w:eastAsia="Arial" w:hAnsi="Arial"/>
          <w:sz w:val="22"/>
          <w:szCs w:val="22"/>
        </w:rPr>
        <w:t xml:space="preserve">Study Team Topologies (Skelton &amp; Pais). Map Alan's existing organisational design work (Quokkas WoW, Supergraph domain onboarding) to the four team types.</w:t>
      </w:r>
    </w:p>
    <w:p>
      <w:pPr>
        <w:pStyle w:val="ListParagraph"/>
        <w:numPr>
          <w:ilvl w:val="0"/>
          <w:numId w:val="2"/>
        </w:numPr>
        <w:spacing w:after="80"/>
      </w:pPr>
      <w:r>
        <w:rPr>
          <w:rFonts w:ascii="Arial" w:cs="Arial" w:eastAsia="Arial" w:hAnsi="Arial"/>
          <w:sz w:val="22"/>
          <w:szCs w:val="22"/>
        </w:rPr>
        <w:t xml:space="preserve">Implement RACI matrices for key decision points in the current Supergraph programme. Name the framework in status updates and interviews.</w:t>
      </w:r>
    </w:p>
    <w:p>
      <w:pPr>
        <w:pStyle w:val="ListParagraph"/>
        <w:numPr>
          <w:ilvl w:val="0"/>
          <w:numId w:val="2"/>
        </w:numPr>
        <w:spacing w:after="80"/>
      </w:pPr>
      <w:r>
        <w:rPr>
          <w:rFonts w:ascii="Arial" w:cs="Arial" w:eastAsia="Arial" w:hAnsi="Arial"/>
          <w:sz w:val="22"/>
          <w:szCs w:val="22"/>
        </w:rPr>
        <w:t xml:space="preserve">Read: Radical Candor (Scott) for feedback and difficult conversation mechanics. Study Situational Leadership (Blanchard) for leadership style adaptation.</w:t>
      </w:r>
    </w:p>
    <w:p>
      <w:pPr>
        <w:pStyle w:val="ListParagraph"/>
        <w:numPr>
          <w:ilvl w:val="0"/>
          <w:numId w:val="2"/>
        </w:numPr>
        <w:spacing w:after="80"/>
      </w:pPr>
      <w:r>
        <w:rPr>
          <w:rFonts w:ascii="Arial" w:cs="Arial" w:eastAsia="Arial" w:hAnsi="Arial"/>
          <w:sz w:val="22"/>
          <w:szCs w:val="22"/>
        </w:rPr>
        <w:t xml:space="preserve">Attend a Xero post-mortem as an observer. Read Google SRE Book incident response chapter.</w:t>
      </w:r>
    </w:p>
    <w:p>
      <w:pPr>
        <w:spacing w:after="180"/>
      </w:pPr>
    </w:p>
    <w:p>
      <w:pPr>
        <w:pStyle w:val="Heading2"/>
      </w:pPr>
      <w:r>
        <w:rPr>
          <w:rFonts w:ascii="Arial" w:cs="Arial" w:eastAsia="Arial" w:hAnsi="Arial"/>
          <w:b/>
          <w:bCs/>
          <w:color w:val="2E5FA3"/>
          <w:sz w:val="26"/>
          <w:szCs w:val="26"/>
        </w:rPr>
        <w:t xml:space="preserve">Phase 3 (Months 7–9): Financial Literacy &amp; Portfolio Building</w:t>
      </w:r>
    </w:p>
    <w:p>
      <w:pPr>
        <w:spacing w:after="140"/>
      </w:pPr>
      <w:r>
        <w:rPr>
          <w:rFonts w:ascii="Arial" w:cs="Arial" w:eastAsia="Arial" w:hAnsi="Arial"/>
          <w:sz w:val="22"/>
          <w:szCs w:val="22"/>
        </w:rPr>
        <w:t xml:space="preserve">Focus: build HoE-level budget and headcount capabilities. Begin positioning for the job market.</w:t>
      </w:r>
    </w:p>
    <w:p>
      <w:pPr>
        <w:pStyle w:val="ListParagraph"/>
        <w:numPr>
          <w:ilvl w:val="0"/>
          <w:numId w:val="2"/>
        </w:numPr>
        <w:spacing w:after="80"/>
      </w:pPr>
      <w:r>
        <w:rPr>
          <w:rFonts w:ascii="Arial" w:cs="Arial" w:eastAsia="Arial" w:hAnsi="Arial"/>
          <w:sz w:val="22"/>
          <w:szCs w:val="22"/>
        </w:rPr>
        <w:t xml:space="preserve">Shadow the Xero headcount planning cycle. Build a sample team budget model (headcount x seniority x role, tooling, training, contractor allocation).</w:t>
      </w:r>
    </w:p>
    <w:p>
      <w:pPr>
        <w:pStyle w:val="ListParagraph"/>
        <w:numPr>
          <w:ilvl w:val="0"/>
          <w:numId w:val="2"/>
        </w:numPr>
        <w:spacing w:after="80"/>
      </w:pPr>
      <w:r>
        <w:rPr>
          <w:rFonts w:ascii="Arial" w:cs="Arial" w:eastAsia="Arial" w:hAnsi="Arial"/>
          <w:sz w:val="22"/>
          <w:szCs w:val="22"/>
        </w:rPr>
        <w:t xml:space="preserve">Practice the Pyramid Principle for executive communication. Author one strategic proposal for a current initiative framed as a business investment, not a technical deliverable.</w:t>
      </w:r>
    </w:p>
    <w:p>
      <w:pPr>
        <w:pStyle w:val="ListParagraph"/>
        <w:numPr>
          <w:ilvl w:val="0"/>
          <w:numId w:val="2"/>
        </w:numPr>
        <w:spacing w:after="80"/>
      </w:pPr>
      <w:r>
        <w:rPr>
          <w:rFonts w:ascii="Arial" w:cs="Arial" w:eastAsia="Arial" w:hAnsi="Arial"/>
          <w:sz w:val="22"/>
          <w:szCs w:val="22"/>
        </w:rPr>
        <w:t xml:space="preserve">Build an AWS Solutions Architect Associate certification if not yet completed.</w:t>
      </w:r>
    </w:p>
    <w:p>
      <w:pPr>
        <w:pStyle w:val="ListParagraph"/>
        <w:numPr>
          <w:ilvl w:val="0"/>
          <w:numId w:val="2"/>
        </w:numPr>
        <w:spacing w:after="80"/>
      </w:pPr>
      <w:r>
        <w:rPr>
          <w:rFonts w:ascii="Arial" w:cs="Arial" w:eastAsia="Arial" w:hAnsi="Arial"/>
          <w:sz w:val="22"/>
          <w:szCs w:val="22"/>
        </w:rPr>
        <w:t xml:space="preserve">Read: Measure What Matters (Doerr) for OKR mechanics. Practice framing past programme objectives as OKRs.</w:t>
      </w:r>
    </w:p>
    <w:p>
      <w:pPr>
        <w:pStyle w:val="ListParagraph"/>
        <w:numPr>
          <w:ilvl w:val="0"/>
          <w:numId w:val="2"/>
        </w:numPr>
        <w:spacing w:after="80"/>
      </w:pPr>
      <w:r>
        <w:rPr>
          <w:rFonts w:ascii="Arial" w:cs="Arial" w:eastAsia="Arial" w:hAnsi="Arial"/>
          <w:sz w:val="22"/>
          <w:szCs w:val="22"/>
        </w:rPr>
        <w:t xml:space="preserve">Update resume and LinkedIn with EM-framed positioning. Lead with 'operating system builder' narrative.</w:t>
      </w:r>
    </w:p>
    <w:p>
      <w:pPr>
        <w:spacing w:after="180"/>
      </w:pPr>
    </w:p>
    <w:p>
      <w:pPr>
        <w:pStyle w:val="Heading2"/>
      </w:pPr>
      <w:r>
        <w:rPr>
          <w:rFonts w:ascii="Arial" w:cs="Arial" w:eastAsia="Arial" w:hAnsi="Arial"/>
          <w:b/>
          <w:bCs/>
          <w:color w:val="2E5FA3"/>
          <w:sz w:val="26"/>
          <w:szCs w:val="26"/>
        </w:rPr>
        <w:t xml:space="preserve">Phase 4 (Months 10–12): Active Job Search &amp; Interview Preparation</w:t>
      </w:r>
    </w:p>
    <w:p>
      <w:pPr>
        <w:spacing w:after="140"/>
      </w:pPr>
      <w:r>
        <w:rPr>
          <w:rFonts w:ascii="Arial" w:cs="Arial" w:eastAsia="Arial" w:hAnsi="Arial"/>
          <w:sz w:val="22"/>
          <w:szCs w:val="22"/>
        </w:rPr>
        <w:t xml:space="preserve">Focus: execute the job search with a fully prepared positioning. Target mid-market SaaS and high-growth scale-ups (~50–150 developers) where the hybrid TPM-to-EM profile is valued.</w:t>
      </w:r>
    </w:p>
    <w:p>
      <w:pPr>
        <w:pStyle w:val="ListParagraph"/>
        <w:numPr>
          <w:ilvl w:val="0"/>
          <w:numId w:val="2"/>
        </w:numPr>
        <w:spacing w:after="80"/>
      </w:pPr>
      <w:r>
        <w:rPr>
          <w:rFonts w:ascii="Arial" w:cs="Arial" w:eastAsia="Arial" w:hAnsi="Arial"/>
          <w:sz w:val="22"/>
          <w:szCs w:val="22"/>
        </w:rPr>
        <w:t xml:space="preserve">Practice the six-axis EM interview loop: people, technical judgment, delivery, cross-functional, culture, AI-augmented team management.</w:t>
      </w:r>
    </w:p>
    <w:p>
      <w:pPr>
        <w:pStyle w:val="ListParagraph"/>
        <w:numPr>
          <w:ilvl w:val="0"/>
          <w:numId w:val="2"/>
        </w:numPr>
        <w:spacing w:after="80"/>
      </w:pPr>
      <w:r>
        <w:rPr>
          <w:rFonts w:ascii="Arial" w:cs="Arial" w:eastAsia="Arial" w:hAnsi="Arial"/>
          <w:sz w:val="22"/>
          <w:szCs w:val="22"/>
        </w:rPr>
        <w:t xml:space="preserve">Prepare STAR stories for each gap — especially people management. The Go1 (squad of 8), intelliHR (team of 5), and 2sol (team of 5) experiences are the foundation.</w:t>
      </w:r>
    </w:p>
    <w:p>
      <w:pPr>
        <w:pStyle w:val="ListParagraph"/>
        <w:numPr>
          <w:ilvl w:val="0"/>
          <w:numId w:val="2"/>
        </w:numPr>
        <w:spacing w:after="80"/>
      </w:pPr>
      <w:r>
        <w:rPr>
          <w:rFonts w:ascii="Arial" w:cs="Arial" w:eastAsia="Arial" w:hAnsi="Arial"/>
          <w:sz w:val="22"/>
          <w:szCs w:val="22"/>
        </w:rPr>
        <w:t xml:space="preserve">Apply the capability-hierarchy reframe in cover letters and interviews: acknowledge the formal title gap, then contrast what is easy to learn (HR paperwork, specific performance templates) against what takes years to build (delivery culture, operating model design, multi-team alignment at scale).</w:t>
      </w:r>
    </w:p>
    <w:p>
      <w:pPr>
        <w:pStyle w:val="ListParagraph"/>
        <w:numPr>
          <w:ilvl w:val="0"/>
          <w:numId w:val="2"/>
        </w:numPr>
        <w:spacing w:after="80"/>
      </w:pPr>
      <w:r>
        <w:rPr>
          <w:rFonts w:ascii="Arial" w:cs="Arial" w:eastAsia="Arial" w:hAnsi="Arial"/>
          <w:sz w:val="22"/>
          <w:szCs w:val="22"/>
        </w:rPr>
        <w:t xml:space="preserve">If an internal EM opportunity arises at Xero during this period, take it — even 6 months with a formal EM title and direct engineering reports transforms the hiring conversation for all future applications.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Phase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Priority Gap</w:t>
            </w:r>
          </w:p>
        </w:tc>
        <w:tc>
          <w:tcPr>
            <w:tcW w:type="dxa" w:w="3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Key Actions</w:t>
            </w:r>
          </w:p>
        </w:tc>
        <w:tc>
          <w:tcPr>
            <w:tcW w:type="dxa" w:w="27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Primary Resources</w:t>
            </w:r>
          </w:p>
        </w:tc>
      </w:tr>
      <w:tr>
        <w:tc>
          <w:tcPr>
            <w:tcW w:type="dxa" w:w="1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1 — Months 1–3</w:t>
            </w:r>
          </w:p>
        </w:tc>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Cloud Platform</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AWS CLF-C02 cert. Engage Xero platform engineers.</w:t>
            </w:r>
          </w:p>
        </w:tc>
        <w:tc>
          <w:tcPr>
            <w:tcW w:type="dxa" w:w="27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AWS Skill Builder; A Cloud Guru; Adrian Cantrill SAA course</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1 — Months 1–3</w:t>
            </w:r>
          </w:p>
        </w:tc>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DORA Metrics</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Study 4 metrics. Map to existing work. Propose DORA dashboard at Xero.</w:t>
            </w:r>
          </w:p>
        </w:tc>
        <w:tc>
          <w:tcPr>
            <w:tcW w:type="dxa" w:w="27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dora.dev; Accelerate (Forsgren, Humble, Kim)</w:t>
            </w:r>
          </w:p>
        </w:tc>
      </w:tr>
      <w:tr>
        <w:tc>
          <w:tcPr>
            <w:tcW w:type="dxa" w:w="1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1 — Months 1–3</w:t>
            </w:r>
          </w:p>
        </w:tc>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Agentic Coding</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Study Cursor/Copilot Agent. Practice orchestration reframe.</w:t>
            </w:r>
          </w:p>
        </w:tc>
        <w:tc>
          <w:tcPr>
            <w:tcW w:type="dxa" w:w="27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Pragmatic Engineer newsletter; Agentic coding demos on YouTube</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2 — Months 4–6</w:t>
            </w:r>
          </w:p>
        </w:tc>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People Management</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Shadow performance review cycle. Design sample career ladder.</w:t>
            </w:r>
          </w:p>
        </w:tc>
        <w:tc>
          <w:tcPr>
            <w:tcW w:type="dxa" w:w="27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Manager's Path; Radical Candor; Progression.fyi</w:t>
            </w:r>
          </w:p>
        </w:tc>
      </w:tr>
      <w:tr>
        <w:tc>
          <w:tcPr>
            <w:tcW w:type="dxa" w:w="1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2 — Months 4–6</w:t>
            </w:r>
          </w:p>
        </w:tc>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Team Topologies</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Read book. Map existing work to 4 team types. Name framework in interviews.</w:t>
            </w:r>
          </w:p>
        </w:tc>
        <w:tc>
          <w:tcPr>
            <w:tcW w:type="dxa" w:w="27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Team Topologies (Skelton &amp; Pais)</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2 — Months 4–6</w:t>
            </w:r>
          </w:p>
        </w:tc>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Incident Management</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Attend Xero post-mortem. Read SRE incident chapter.</w:t>
            </w:r>
          </w:p>
        </w:tc>
        <w:tc>
          <w:tcPr>
            <w:tcW w:type="dxa" w:w="27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Google SRE Book (free at sre.google/books); PagerDuty IR guide</w:t>
            </w:r>
          </w:p>
        </w:tc>
      </w:tr>
      <w:tr>
        <w:tc>
          <w:tcPr>
            <w:tcW w:type="dxa" w:w="1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3 — Months 7–9</w:t>
            </w:r>
          </w:p>
        </w:tc>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Budget &amp; HC Planning</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Shadow Xero HC planning. Build sample team budget model.</w:t>
            </w:r>
          </w:p>
        </w:tc>
        <w:tc>
          <w:tcPr>
            <w:tcW w:type="dxa" w:w="27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Measure What Matters (Doerr); internal Xero finance team</w:t>
            </w:r>
          </w:p>
        </w:tc>
      </w:tr>
      <w:tr>
        <w:tc>
          <w:tcPr>
            <w:tcW w:type="dxa" w:w="14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3 — Months 7–9</w:t>
            </w:r>
          </w:p>
        </w:tc>
        <w:tc>
          <w:tcPr>
            <w:tcW w:type="dxa" w:w="22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OKR Management</w:t>
            </w:r>
          </w:p>
        </w:tc>
        <w:tc>
          <w:tcPr>
            <w:tcW w:type="dxa" w:w="300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Reframe past programme objectives as OKRs. Practise Pyramid Principle.</w:t>
            </w:r>
          </w:p>
        </w:tc>
        <w:tc>
          <w:tcPr>
            <w:tcW w:type="dxa" w:w="2760"/>
            <w:tcBorders>
              <w:top w:val="single" w:color="C0C0C0" w:sz="4"/>
              <w:left w:val="single" w:color="C0C0C0" w:sz="4"/>
              <w:bottom w:val="single" w:color="C0C0C0" w:sz="4"/>
              <w:right w:val="single" w:color="C0C0C0" w:sz="4"/>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Measure What Matters; whatmatters.com</w:t>
            </w:r>
          </w:p>
        </w:tc>
      </w:tr>
      <w:tr>
        <w:tc>
          <w:tcPr>
            <w:tcW w:type="dxa" w:w="14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4 — Months 10–12</w:t>
            </w:r>
          </w:p>
        </w:tc>
        <w:tc>
          <w:tcPr>
            <w:tcW w:type="dxa" w:w="22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EM Interview Prep</w:t>
            </w:r>
          </w:p>
        </w:tc>
        <w:tc>
          <w:tcPr>
            <w:tcW w:type="dxa" w:w="300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Practice 6-axis loop with STAR stories. Target 50–150-dev SaaS companies.</w:t>
            </w:r>
          </w:p>
        </w:tc>
        <w:tc>
          <w:tcPr>
            <w:tcW w:type="dxa" w:w="2760"/>
            <w:tcBorders>
              <w:top w:val="single" w:color="C0C0C0" w:sz="4"/>
              <w:left w:val="single" w:color="C0C0C0" w:sz="4"/>
              <w:bottom w:val="single" w:color="C0C0C0" w:sz="4"/>
              <w:right w:val="single" w:color="C0C0C0" w:sz="4"/>
            </w:tcBorders>
            <w:shd w:fill="D6E4F7"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Velyq EM interview framework; em-tools.io; Mock interviews</w:t>
            </w:r>
          </w:p>
        </w:tc>
      </w:tr>
    </w:tbl>
    <w:p>
      <w:pPr>
        <w:spacing w:after="180"/>
      </w:pPr>
    </w:p>
    <w:p>
      <w:pPr>
        <w:pStyle w:val="Heading1"/>
      </w:pPr>
      <w:r>
        <w:rPr>
          <w:rFonts w:ascii="Arial" w:cs="Arial" w:eastAsia="Arial" w:hAnsi="Arial"/>
          <w:b/>
          <w:bCs/>
          <w:color w:val="1F3864"/>
          <w:sz w:val="32"/>
          <w:szCs w:val="32"/>
        </w:rPr>
        <w:t xml:space="preserve">8. What 'Excellent' Looks Like — The Target State</w:t>
      </w:r>
    </w:p>
    <w:p>
      <w:pPr>
        <w:spacing w:after="140"/>
      </w:pPr>
      <w:r>
        <w:rPr>
          <w:rFonts w:ascii="Arial" w:cs="Arial" w:eastAsia="Arial" w:hAnsi="Arial"/>
          <w:sz w:val="22"/>
          <w:szCs w:val="22"/>
        </w:rPr>
        <w:t xml:space="preserve">Alan's goal is not just to get an EM title — it is to be an excellent Technical Engineering Leader. These are the target-state benchmarks to work toward across each dimension:</w:t>
      </w:r>
    </w:p>
    <w:p>
      <w:pPr>
        <w:spacing w:after="180"/>
      </w:pPr>
    </w:p>
    <w:p>
      <w:pPr>
        <w:pStyle w:val="ListParagraph"/>
        <w:numPr>
          <w:ilvl w:val="0"/>
          <w:numId w:val="2"/>
        </w:numPr>
        <w:spacing w:after="80"/>
      </w:pPr>
      <w:r>
        <w:rPr>
          <w:rFonts w:ascii="Arial" w:cs="Arial" w:eastAsia="Arial" w:hAnsi="Arial"/>
          <w:b/>
          <w:bCs/>
          <w:sz w:val="22"/>
          <w:szCs w:val="22"/>
        </w:rPr>
        <w:t xml:space="preserve">Every direct report has a written development plan and knows exactly what they need to do to reach the next level. Performance conversations happen continuously, not just at review time. Difficult conversations are handled early and directly. The team has zero attrition surprises.</w:t>
      </w:r>
      <w:r>
        <w:rPr>
          <w:rFonts w:ascii="Arial" w:cs="Arial" w:eastAsia="Arial" w:hAnsi="Arial"/>
          <w:sz w:val="22"/>
          <w:szCs w:val="22"/>
        </w:rPr>
        <w:t xml:space="preserve">People: </w:t>
      </w:r>
    </w:p>
    <w:p>
      <w:pPr>
        <w:pStyle w:val="ListParagraph"/>
        <w:numPr>
          <w:ilvl w:val="0"/>
          <w:numId w:val="2"/>
        </w:numPr>
        <w:spacing w:after="80"/>
      </w:pPr>
      <w:r>
        <w:rPr>
          <w:rFonts w:ascii="Arial" w:cs="Arial" w:eastAsia="Arial" w:hAnsi="Arial"/>
          <w:b/>
          <w:bCs/>
          <w:sz w:val="22"/>
          <w:szCs w:val="22"/>
        </w:rPr>
        <w:t xml:space="preserve">The team ships predictably at a sustainable pace. DORA metrics are tracked and improving quarter over quarter. The roadmap balances feature work, tech debt, and operational investment at roughly 70/20/10. Stakeholders trust the team's estimates.</w:t>
      </w:r>
      <w:r>
        <w:rPr>
          <w:rFonts w:ascii="Arial" w:cs="Arial" w:eastAsia="Arial" w:hAnsi="Arial"/>
          <w:sz w:val="22"/>
          <w:szCs w:val="22"/>
        </w:rPr>
        <w:t xml:space="preserve">Delivery: </w:t>
      </w:r>
    </w:p>
    <w:p>
      <w:pPr>
        <w:pStyle w:val="ListParagraph"/>
        <w:numPr>
          <w:ilvl w:val="0"/>
          <w:numId w:val="2"/>
        </w:numPr>
        <w:spacing w:after="80"/>
      </w:pPr>
      <w:r>
        <w:rPr>
          <w:rFonts w:ascii="Arial" w:cs="Arial" w:eastAsia="Arial" w:hAnsi="Arial"/>
          <w:b/>
          <w:bCs/>
          <w:sz w:val="22"/>
          <w:szCs w:val="22"/>
        </w:rPr>
        <w:t xml:space="preserve">The manager does not write production code daily but can engage deeply on architecture decisions, review PRs for design quality, and identify technical debt risks before they become incidents. Cloud architecture is understood well enough to evaluate cost and risk trade-offs.</w:t>
      </w:r>
      <w:r>
        <w:rPr>
          <w:rFonts w:ascii="Arial" w:cs="Arial" w:eastAsia="Arial" w:hAnsi="Arial"/>
          <w:sz w:val="22"/>
          <w:szCs w:val="22"/>
        </w:rPr>
        <w:t xml:space="preserve">Technical: </w:t>
      </w:r>
    </w:p>
    <w:p>
      <w:pPr>
        <w:pStyle w:val="ListParagraph"/>
        <w:numPr>
          <w:ilvl w:val="0"/>
          <w:numId w:val="2"/>
        </w:numPr>
        <w:spacing w:after="80"/>
      </w:pPr>
      <w:r>
        <w:rPr>
          <w:rFonts w:ascii="Arial" w:cs="Arial" w:eastAsia="Arial" w:hAnsi="Arial"/>
          <w:b/>
          <w:bCs/>
          <w:sz w:val="22"/>
          <w:szCs w:val="22"/>
        </w:rPr>
        <w:t xml:space="preserve">The manager understands how engineers use agentic AI tools, can evaluate whether AI-generated code meets quality standards, and helps the team adapt its review, testing, and delivery processes for an AI-assisted workflow. Uses the orchestration reframe fluently.</w:t>
      </w:r>
      <w:r>
        <w:rPr>
          <w:rFonts w:ascii="Arial" w:cs="Arial" w:eastAsia="Arial" w:hAnsi="Arial"/>
          <w:sz w:val="22"/>
          <w:szCs w:val="22"/>
        </w:rPr>
        <w:t xml:space="preserve">AI Fluency: </w:t>
      </w:r>
    </w:p>
    <w:p>
      <w:pPr>
        <w:pStyle w:val="ListParagraph"/>
        <w:numPr>
          <w:ilvl w:val="0"/>
          <w:numId w:val="2"/>
        </w:numPr>
        <w:spacing w:after="80"/>
      </w:pPr>
      <w:r>
        <w:rPr>
          <w:rFonts w:ascii="Arial" w:cs="Arial" w:eastAsia="Arial" w:hAnsi="Arial"/>
          <w:b/>
          <w:bCs/>
          <w:sz w:val="22"/>
          <w:szCs w:val="22"/>
        </w:rPr>
        <w:t xml:space="preserve">The team structure matches the product delivery model. Team boundaries minimise cognitive load and inter-team handoffs. Platform dependencies are explicit and managed. The manager can describe the team in Team Topologies language.</w:t>
      </w:r>
      <w:r>
        <w:rPr>
          <w:rFonts w:ascii="Arial" w:cs="Arial" w:eastAsia="Arial" w:hAnsi="Arial"/>
          <w:sz w:val="22"/>
          <w:szCs w:val="22"/>
        </w:rPr>
        <w:t xml:space="preserve">Org Design: </w:t>
      </w:r>
    </w:p>
    <w:p>
      <w:pPr>
        <w:pStyle w:val="ListParagraph"/>
        <w:numPr>
          <w:ilvl w:val="0"/>
          <w:numId w:val="2"/>
        </w:numPr>
        <w:spacing w:after="80"/>
      </w:pPr>
      <w:r>
        <w:rPr>
          <w:rFonts w:ascii="Arial" w:cs="Arial" w:eastAsia="Arial" w:hAnsi="Arial"/>
          <w:b/>
          <w:bCs/>
          <w:sz w:val="22"/>
          <w:szCs w:val="22"/>
        </w:rPr>
        <w:t xml:space="preserve">Engineers on the team feel psychologically safe to raise problems, disagree with leadership, and take calculated risks. The team has a reputation inside the company as a place where people grow fast and love working.</w:t>
      </w:r>
      <w:r>
        <w:rPr>
          <w:rFonts w:ascii="Arial" w:cs="Arial" w:eastAsia="Arial" w:hAnsi="Arial"/>
          <w:sz w:val="22"/>
          <w:szCs w:val="22"/>
        </w:rPr>
        <w:t xml:space="preserve">Culture: </w:t>
      </w:r>
    </w:p>
    <w:p>
      <w:pPr>
        <w:spacing w:after="180"/>
      </w:pPr>
    </w:p>
    <w:p>
      <w:pPr>
        <w:pStyle w:val="Heading1"/>
      </w:pPr>
      <w:r>
        <w:rPr>
          <w:rFonts w:ascii="Arial" w:cs="Arial" w:eastAsia="Arial" w:hAnsi="Arial"/>
          <w:b/>
          <w:bCs/>
          <w:color w:val="1F3864"/>
          <w:sz w:val="32"/>
          <w:szCs w:val="32"/>
        </w:rPr>
        <w:t xml:space="preserve">9. Positioning Notes for Applications</w:t>
      </w:r>
    </w:p>
    <w:p>
      <w:pPr>
        <w:spacing w:after="180"/>
      </w:pPr>
    </w:p>
    <w:p>
      <w:pPr>
        <w:pStyle w:val="Heading2"/>
      </w:pPr>
      <w:r>
        <w:rPr>
          <w:rFonts w:ascii="Arial" w:cs="Arial" w:eastAsia="Arial" w:hAnsi="Arial"/>
          <w:b/>
          <w:bCs/>
          <w:color w:val="2E5FA3"/>
          <w:sz w:val="26"/>
          <w:szCs w:val="26"/>
        </w:rPr>
        <w:t xml:space="preserve">9.1 The Core Narrative: Operating System Builder Who Can Now Lead People</w:t>
      </w:r>
    </w:p>
    <w:p>
      <w:pPr>
        <w:spacing w:after="140"/>
      </w:pPr>
      <w:r>
        <w:rPr>
          <w:rFonts w:ascii="Arial" w:cs="Arial" w:eastAsia="Arial" w:hAnsi="Arial"/>
          <w:sz w:val="22"/>
          <w:szCs w:val="22"/>
        </w:rPr>
        <w:t xml:space="preserve">Alan's positioning centres on one idea: he has spent 15+ years building the systems that let engineering organisations move faster. His next move is to own the people layer of that system — formally managing the engineers inside the operating models he already designs.</w:t>
      </w:r>
    </w:p>
    <w:p>
      <w:pPr>
        <w:spacing w:after="180"/>
      </w:pPr>
    </w:p>
    <w:p>
      <w:pPr>
        <w:spacing w:after="140"/>
      </w:pPr>
      <w:r>
        <w:rPr>
          <w:rFonts w:ascii="Arial" w:cs="Arial" w:eastAsia="Arial" w:hAnsi="Arial"/>
          <w:sz w:val="22"/>
          <w:szCs w:val="22"/>
        </w:rPr>
        <w:t xml:space="preserve">The agentic coding angle adds a forward-looking dimension: "The skills that have defined my TPM career — decomposing complex goals into clear, executable units with defined ownership — are precisely the skills that will define exceptional EM performance in an AI-augmented engineering environment."</w:t>
      </w:r>
    </w:p>
    <w:p>
      <w:pPr>
        <w:spacing w:after="180"/>
      </w:pPr>
    </w:p>
    <w:p>
      <w:pPr>
        <w:pStyle w:val="Heading2"/>
      </w:pPr>
      <w:r>
        <w:rPr>
          <w:rFonts w:ascii="Arial" w:cs="Arial" w:eastAsia="Arial" w:hAnsi="Arial"/>
          <w:b/>
          <w:bCs/>
          <w:color w:val="2E5FA3"/>
          <w:sz w:val="26"/>
          <w:szCs w:val="26"/>
        </w:rPr>
        <w:t xml:space="preserve">9.2 Address the Title Gap Head-On</w:t>
      </w:r>
    </w:p>
    <w:p>
      <w:pPr>
        <w:spacing w:after="140"/>
      </w:pPr>
      <w:r>
        <w:rPr>
          <w:rFonts w:ascii="Arial" w:cs="Arial" w:eastAsia="Arial" w:hAnsi="Arial"/>
          <w:sz w:val="22"/>
          <w:szCs w:val="22"/>
        </w:rPr>
        <w:t xml:space="preserve">Do not leave interviewers to draw negative conclusions about the absence of an "Engineering Manager" title. The first 30 seconds of every people leadership answer should reference specific examples: Go1 (squad of 8, including hiring and performance), intelliHR (team of 5 built from scratch), 2sol (team of 5 developers across 5 years). These are real and strong — they just need to be led with.</w:t>
      </w:r>
    </w:p>
    <w:p>
      <w:pPr>
        <w:spacing w:after="180"/>
      </w:pPr>
    </w:p>
    <w:p>
      <w:pPr>
        <w:pStyle w:val="Heading2"/>
      </w:pPr>
      <w:r>
        <w:rPr>
          <w:rFonts w:ascii="Arial" w:cs="Arial" w:eastAsia="Arial" w:hAnsi="Arial"/>
          <w:b/>
          <w:bCs/>
          <w:color w:val="2E5FA3"/>
          <w:sz w:val="26"/>
          <w:szCs w:val="26"/>
        </w:rPr>
        <w:t xml:space="preserve">9.3 Capability-Hierarchy Reframe</w:t>
      </w:r>
    </w:p>
    <w:p>
      <w:pPr>
        <w:spacing w:after="140"/>
      </w:pPr>
      <w:r>
        <w:rPr>
          <w:rFonts w:ascii="Arial" w:cs="Arial" w:eastAsia="Arial" w:hAnsi="Arial"/>
          <w:sz w:val="22"/>
          <w:szCs w:val="22"/>
        </w:rPr>
        <w:t xml:space="preserve">When acknowledging the formal EM title gap: "I can pick up the administrative mechanics of a performance management system quickly — it's the ability to build a high-performance culture, design a delivery operating model, and align a technical organisation to a business strategy that takes years to develop. I have those. I am investing in the rest right now."</w:t>
      </w:r>
    </w:p>
    <w:p>
      <w:pPr>
        <w:spacing w:after="180"/>
      </w:pPr>
    </w:p>
    <w:p>
      <w:pPr>
        <w:pStyle w:val="Heading2"/>
      </w:pPr>
      <w:r>
        <w:rPr>
          <w:rFonts w:ascii="Arial" w:cs="Arial" w:eastAsia="Arial" w:hAnsi="Arial"/>
          <w:b/>
          <w:bCs/>
          <w:color w:val="2E5FA3"/>
          <w:sz w:val="26"/>
          <w:szCs w:val="26"/>
        </w:rPr>
        <w:t xml:space="preserve">9.4 Target Profile</w:t>
      </w:r>
    </w:p>
    <w:p>
      <w:pPr>
        <w:spacing w:after="140"/>
      </w:pPr>
      <w:r>
        <w:rPr>
          <w:rFonts w:ascii="Arial" w:cs="Arial" w:eastAsia="Arial" w:hAnsi="Arial"/>
          <w:sz w:val="22"/>
          <w:szCs w:val="22"/>
        </w:rPr>
        <w:t xml:space="preserve">Alan's profile is strongest for:</w:t>
      </w:r>
    </w:p>
    <w:p>
      <w:pPr>
        <w:pStyle w:val="ListParagraph"/>
        <w:numPr>
          <w:ilvl w:val="0"/>
          <w:numId w:val="2"/>
        </w:numPr>
        <w:spacing w:after="80"/>
      </w:pPr>
      <w:r>
        <w:rPr>
          <w:rFonts w:ascii="Arial" w:cs="Arial" w:eastAsia="Arial" w:hAnsi="Arial"/>
          <w:sz w:val="22"/>
          <w:szCs w:val="22"/>
        </w:rPr>
        <w:t xml:space="preserve">Mid-market SaaS companies (50–150 developers) in growth or scale-up phase — Go1, intelliHR, Console/Reapit experience is directly relevant to this environment.</w:t>
      </w:r>
    </w:p>
    <w:p>
      <w:pPr>
        <w:pStyle w:val="ListParagraph"/>
        <w:numPr>
          <w:ilvl w:val="0"/>
          <w:numId w:val="2"/>
        </w:numPr>
        <w:spacing w:after="80"/>
      </w:pPr>
      <w:r>
        <w:rPr>
          <w:rFonts w:ascii="Arial" w:cs="Arial" w:eastAsia="Arial" w:hAnsi="Arial"/>
          <w:sz w:val="22"/>
          <w:szCs w:val="22"/>
        </w:rPr>
        <w:t xml:space="preserve">Organisations going through delivery transformation or operating model reform — this is where the operating system builder framing has the most commercial value.</w:t>
      </w:r>
    </w:p>
    <w:p>
      <w:pPr>
        <w:pStyle w:val="ListParagraph"/>
        <w:numPr>
          <w:ilvl w:val="0"/>
          <w:numId w:val="2"/>
        </w:numPr>
        <w:spacing w:after="80"/>
      </w:pPr>
      <w:r>
        <w:rPr>
          <w:rFonts w:ascii="Arial" w:cs="Arial" w:eastAsia="Arial" w:hAnsi="Arial"/>
          <w:sz w:val="22"/>
          <w:szCs w:val="22"/>
        </w:rPr>
        <w:t xml:space="preserve">AI-adjacent product companies — AI for Customers and intelliHR NLP experience is differentiated.</w:t>
      </w:r>
    </w:p>
    <w:p>
      <w:pPr>
        <w:pStyle w:val="ListParagraph"/>
        <w:numPr>
          <w:ilvl w:val="0"/>
          <w:numId w:val="2"/>
        </w:numPr>
        <w:spacing w:after="80"/>
      </w:pPr>
      <w:r>
        <w:rPr>
          <w:rFonts w:ascii="Arial" w:cs="Arial" w:eastAsia="Arial" w:hAnsi="Arial"/>
          <w:sz w:val="22"/>
          <w:szCs w:val="22"/>
        </w:rPr>
        <w:t xml:space="preserve">Platform / developer tools companies — Xero Supergraph program experience transfers directly.</w:t>
      </w:r>
    </w:p>
    <w:p>
      <w:pPr>
        <w:pStyle w:val="ListParagraph"/>
        <w:numPr>
          <w:ilvl w:val="0"/>
          <w:numId w:val="2"/>
        </w:numPr>
        <w:spacing w:after="80"/>
      </w:pPr>
      <w:r>
        <w:rPr>
          <w:rFonts w:ascii="Arial" w:cs="Arial" w:eastAsia="Arial" w:hAnsi="Arial"/>
          <w:sz w:val="22"/>
          <w:szCs w:val="22"/>
        </w:rPr>
        <w:t xml:space="preserve">Fintech-adjacent — Suncorp (ASX-listed financial services), Xero, and multiple payment integrations form a credible thread.</w:t>
      </w:r>
    </w:p>
    <w:p>
      <w:pPr>
        <w:spacing w:after="180"/>
      </w:pPr>
    </w:p>
    <w:p>
      <w:pPr>
        <w:pBdr>
          <w:bottom w:val="single" w:color="2E5FA3" w:sz="4" w:space="2"/>
        </w:pBdr>
        <w:spacing w:after="120" w:before="120"/>
      </w:pPr>
    </w:p>
    <w:p>
      <w:pPr>
        <w:spacing w:after="140"/>
      </w:pPr>
      <w:r>
        <w:rPr>
          <w:rFonts w:ascii="Arial" w:cs="Arial" w:eastAsia="Arial" w:hAnsi="Arial"/>
          <w:b/>
          <w:bCs/>
          <w:sz w:val="22"/>
          <w:szCs w:val="22"/>
        </w:rPr>
        <w:t xml:space="preserve">Summary: </w:t>
      </w:r>
      <w:r>
        <w:rPr>
          <w:rFonts w:ascii="Arial" w:cs="Arial" w:eastAsia="Arial" w:hAnsi="Arial"/>
          <w:sz w:val="22"/>
          <w:szCs w:val="22"/>
        </w:rPr>
        <w:t xml:space="preserve">Alan has a differentiated profile for the EM/HoE transition. The most valuable investments over the next six months are: (1) getting formal people management reps inside Xero before job-searching; (2) completing an AWS certification; (3) building DORA metric fluency and proposing a tracking initiative at Xero; and (4) mastering the agentic coding orchestration narrative. The formal title gap is real but addressable — the underlying capability is already there. With deliberate execution on these four priorities, Alan is well-positioned to land and excel in an Engineering Manager role at a leading Australian software company within 12 months, and a Head of Engineering role within 24–30 months.</w:t>
      </w:r>
    </w:p>
    <w:p>
      <w:pPr>
        <w:spacing w:after="180"/>
      </w:pPr>
    </w:p>
    <w:p>
      <w:pPr>
        <w:spacing w:after="140"/>
      </w:pPr>
      <w:r>
        <w:rPr>
          <w:rFonts w:ascii="Arial" w:cs="Arial" w:eastAsia="Arial" w:hAnsi="Arial"/>
          <w:color w:val="888888"/>
          <w:sz w:val="18"/>
          <w:szCs w:val="18"/>
        </w:rPr>
        <w:t xml:space="preserve">Report prepared: June 2026 (v2 — synthesised from dual-AI research pass). Sources: em-tools.io, Pragmatic Engineer State of the Job Market 2026, DORA Research (dora.dev), SEEK Australia, LinkedIn market data, Workforce.ai, Team Topologies (Skelton &amp; Pais), Jobs and Skills Australia, Velyq EM Interview Framework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jc w:val="right"/>
    </w:pPr>
    <w:r>
      <w:rPr>
        <w:rFonts w:ascii="Arial" w:cs="Arial" w:eastAsia="Arial" w:hAnsi="Arial"/>
        <w:color w:val="888888"/>
        <w:sz w:val="18"/>
        <w:szCs w:val="18"/>
      </w:rPr>
      <w:t xml:space="preserve">Alan Soto  |  EM / HoE Career Gap Analysis  |  June 2026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2026-06-18T22:07:58.069Z</dcterms:created>
  <dcterms:modified xsi:type="dcterms:W3CDTF">2026-06-18T22:07:58.069Z</dcterms:modified>
</cp:coreProperties>
</file>

<file path=docProps/custom.xml><?xml version="1.0" encoding="utf-8"?>
<Properties xmlns="http://schemas.openxmlformats.org/officeDocument/2006/custom-properties" xmlns:vt="http://schemas.openxmlformats.org/officeDocument/2006/docPropsVTypes"/>
</file>