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F3864"/>
          <w:sz w:val="48"/>
          <w:szCs w:val="48"/>
        </w:rPr>
        <w:t xml:space="preserve">CAREER GAP ANALYSIS</w:t>
      </w:r>
    </w:p>
    <w:p>
      <w:pPr>
        <w:spacing w:after="80"/>
      </w:pPr>
      <w:r>
        <w:rPr>
          <w:rFonts w:ascii="Arial" w:cs="Arial" w:eastAsia="Arial" w:hAnsi="Arial"/>
          <w:color w:val="2E5FA3"/>
          <w:sz w:val="32"/>
          <w:szCs w:val="32"/>
        </w:rPr>
        <w:t xml:space="preserve">Engineering Manager &amp; Head of Engineering</w:t>
      </w:r>
    </w:p>
    <w:p>
      <w:pPr>
        <w:spacing w:after="60"/>
      </w:pPr>
      <w:r>
        <w:rPr>
          <w:rFonts w:ascii="Arial" w:cs="Arial" w:eastAsia="Arial" w:hAnsi="Arial"/>
          <w:color w:val="555555"/>
          <w:sz w:val="22"/>
          <w:szCs w:val="22"/>
        </w:rPr>
        <w:t xml:space="preserve">Alan Soto  |  Brisbane, QLD  |  June 2026</w:t>
      </w:r>
    </w:p>
    <w:p>
      <w:pPr>
        <w:pBdr>
          <w:bottom w:val="single" w:color="2E5FA3" w:sz="12" w:space="4"/>
        </w:pBdr>
        <w:spacing w:after="400"/>
      </w:pPr>
    </w:p>
    <w:p>
      <w:pPr>
        <w:pStyle w:val="Heading1"/>
      </w:pPr>
      <w:r>
        <w:rPr>
          <w:rFonts w:ascii="Arial" w:cs="Arial" w:eastAsia="Arial" w:hAnsi="Arial"/>
          <w:b/>
          <w:bCs/>
          <w:color w:val="1F3864"/>
          <w:sz w:val="32"/>
          <w:szCs w:val="32"/>
        </w:rPr>
        <w:t xml:space="preserve">Executive Summary</w:t>
      </w:r>
    </w:p>
    <w:p>
      <w:pPr>
        <w:spacing w:after="120"/>
      </w:pPr>
      <w:r>
        <w:rPr>
          <w:rFonts w:ascii="Arial" w:cs="Arial" w:eastAsia="Arial" w:hAnsi="Arial"/>
          <w:sz w:val="22"/>
          <w:szCs w:val="22"/>
        </w:rPr>
        <w:t xml:space="preserve">Alan Soto is a highly capable technical leader with 20+ years of experience spanning software engineering, program management, product leadership, and team coaching. His goal is to land an Engineering Manager (EM) or Head of Engineering (HoE) role in the software industry.</w:t>
      </w:r>
    </w:p>
    <w:p>
      <w:pPr>
        <w:spacing w:after="160"/>
      </w:pPr>
    </w:p>
    <w:p>
      <w:pPr>
        <w:spacing w:after="120"/>
      </w:pPr>
      <w:r>
        <w:rPr>
          <w:rFonts w:ascii="Arial" w:cs="Arial" w:eastAsia="Arial" w:hAnsi="Arial"/>
          <w:sz w:val="22"/>
          <w:szCs w:val="22"/>
        </w:rPr>
        <w:t xml:space="preserve">This report benchmarks Alan's current profile against the skills consistently demanded by EM and HoE job postings in Australia and globally in 2026, then produces a prioritised learning plan to close the gaps.</w:t>
      </w:r>
    </w:p>
    <w:p>
      <w:pPr>
        <w:spacing w:after="160"/>
      </w:pPr>
    </w:p>
    <w:p>
      <w:pPr>
        <w:spacing w:after="120"/>
      </w:pPr>
      <w:r>
        <w:rPr>
          <w:rFonts w:ascii="Arial" w:cs="Arial" w:eastAsia="Arial" w:hAnsi="Arial"/>
          <w:b/>
          <w:bCs/>
          <w:sz w:val="22"/>
          <w:szCs w:val="22"/>
        </w:rPr>
        <w:t xml:space="preserve">Verdict: </w:t>
      </w:r>
      <w:r>
        <w:rPr>
          <w:rFonts w:ascii="Arial" w:cs="Arial" w:eastAsia="Arial" w:hAnsi="Arial"/>
          <w:sz w:val="22"/>
          <w:szCs w:val="22"/>
        </w:rPr>
        <w:t xml:space="preserve">Alan is well-positioned for this transition. He brings rare depth across delivery, coaching, technical background, and stakeholder management. His main gaps are specific people-management mechanics (performance reviews, PIPs, firing), direct budget accountability, cloud platform depth, and modern engineering health metrics — all of which are learnable and none of which require years to close.</w:t>
      </w:r>
    </w:p>
    <w:p>
      <w:pPr>
        <w:spacing w:after="160"/>
      </w:pPr>
    </w:p>
    <w:p>
      <w:r>
        <w:br w:type="page"/>
      </w:r>
    </w:p>
    <w:p>
      <w:pPr>
        <w:pStyle w:val="Heading1"/>
      </w:pPr>
      <w:r>
        <w:rPr>
          <w:rFonts w:ascii="Arial" w:cs="Arial" w:eastAsia="Arial" w:hAnsi="Arial"/>
          <w:b/>
          <w:bCs/>
          <w:color w:val="1F3864"/>
          <w:sz w:val="32"/>
          <w:szCs w:val="32"/>
        </w:rPr>
        <w:t xml:space="preserve">1. What the Market Expects</w:t>
      </w:r>
    </w:p>
    <w:p>
      <w:pPr>
        <w:spacing w:after="120"/>
      </w:pPr>
      <w:r>
        <w:rPr>
          <w:rFonts w:ascii="Arial" w:cs="Arial" w:eastAsia="Arial" w:hAnsi="Arial"/>
          <w:sz w:val="22"/>
          <w:szCs w:val="22"/>
        </w:rPr>
        <w:t xml:space="preserve">Before comparing Alan's profile, it helps to be precise about what EM and HoE roles actually require. These two titles are related but distinct.</w:t>
      </w:r>
    </w:p>
    <w:p>
      <w:pPr>
        <w:spacing w:after="160"/>
      </w:pPr>
    </w:p>
    <w:p>
      <w:pPr>
        <w:pStyle w:val="Heading2"/>
      </w:pPr>
      <w:r>
        <w:rPr>
          <w:rFonts w:ascii="Arial" w:cs="Arial" w:eastAsia="Arial" w:hAnsi="Arial"/>
          <w:b/>
          <w:bCs/>
          <w:color w:val="2E5FA3"/>
          <w:sz w:val="26"/>
          <w:szCs w:val="26"/>
        </w:rPr>
        <w:t xml:space="preserve">1.1 Engineering Manager</w:t>
      </w:r>
    </w:p>
    <w:p>
      <w:pPr>
        <w:spacing w:after="120"/>
      </w:pPr>
      <w:r>
        <w:rPr>
          <w:rFonts w:ascii="Arial" w:cs="Arial" w:eastAsia="Arial" w:hAnsi="Arial"/>
          <w:sz w:val="22"/>
          <w:szCs w:val="22"/>
        </w:rPr>
        <w:t xml:space="preserve">An Engineering Manager is a first-line people leader typically responsible for 5–8 direct reports. The role sits squarely at the intersection of four accountability areas: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5FA3" w:sz="4"/>
              <w:left w:val="single" w:color="2E5FA3" w:sz="4"/>
              <w:bottom w:val="single" w:color="2E5FA3" w:sz="4"/>
              <w:right w:val="single" w:color="2E5FA3" w:sz="4"/>
            </w:tcBorders>
            <w:shd w:fill="1F3864"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Area</w:t>
            </w:r>
          </w:p>
        </w:tc>
        <w:tc>
          <w:tcPr>
            <w:tcW w:type="dxa" w:w="7160"/>
            <w:tcBorders>
              <w:top w:val="single" w:color="2E5FA3" w:sz="4"/>
              <w:left w:val="single" w:color="2E5FA3" w:sz="4"/>
              <w:bottom w:val="single" w:color="2E5FA3" w:sz="4"/>
              <w:right w:val="single" w:color="2E5FA3" w:sz="4"/>
            </w:tcBorders>
            <w:shd w:fill="1F3864"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Core Responsibilities</w:t>
            </w:r>
          </w:p>
        </w:tc>
      </w:tr>
      <w:tr>
        <w:tc>
          <w:tcPr>
            <w:tcW w:type="dxa" w:w="2200"/>
            <w:tcBorders>
              <w:top w:val="single" w:color="C0C0C0" w:sz="4"/>
              <w:left w:val="single" w:color="C0C0C0" w:sz="4"/>
              <w:bottom w:val="single" w:color="C0C0C0" w:sz="4"/>
              <w:right w:val="single" w:color="C0C0C0" w:sz="4"/>
            </w:tcBorders>
            <w:shd w:fill="D6E4F7" w:val="clear"/>
            <w:tcMar>
              <w:top w:type="dxa" w:w="80"/>
              <w:left w:type="dxa" w:w="160"/>
              <w:bottom w:type="dxa" w:w="80"/>
              <w:right w:type="dxa" w:w="160"/>
            </w:tcMar>
          </w:tcPr>
          <w:p>
            <w:pPr>
              <w:spacing w:after="0"/>
            </w:pPr>
            <w:r>
              <w:rPr>
                <w:rFonts w:ascii="Arial" w:cs="Arial" w:eastAsia="Arial" w:hAnsi="Arial"/>
                <w:b/>
                <w:bCs/>
                <w:sz w:val="20"/>
                <w:szCs w:val="20"/>
              </w:rPr>
              <w:t xml:space="preserve">People &amp; Growth</w:t>
            </w:r>
          </w:p>
        </w:tc>
        <w:tc>
          <w:tcPr>
            <w:tcW w:type="dxa" w:w="7160"/>
            <w:tcBorders>
              <w:top w:val="single" w:color="C0C0C0" w:sz="4"/>
              <w:left w:val="single" w:color="C0C0C0" w:sz="4"/>
              <w:bottom w:val="single" w:color="C0C0C0" w:sz="4"/>
              <w:right w:val="single" w:color="C0C0C0" w:sz="4"/>
            </w:tcBorders>
            <w:shd w:fill="D6E4F7" w:val="clear"/>
            <w:tcMar>
              <w:top w:type="dxa" w:w="80"/>
              <w:left w:type="dxa" w:w="160"/>
              <w:bottom w:type="dxa" w:w="80"/>
              <w:right w:type="dxa" w:w="160"/>
            </w:tcMar>
          </w:tcPr>
          <w:p>
            <w:pPr>
              <w:spacing w:after="0"/>
            </w:pPr>
            <w:r>
              <w:rPr>
                <w:rFonts w:ascii="Arial" w:cs="Arial" w:eastAsia="Arial" w:hAnsi="Arial"/>
                <w:sz w:val="20"/>
                <w:szCs w:val="20"/>
              </w:rPr>
              <w:t xml:space="preserve">1:1s, performance reviews, career development, promotion decisions, compensation discussions, PIPs, hiring and onboarding, offboarding, psychological safety.</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60"/>
              <w:bottom w:type="dxa" w:w="80"/>
              <w:right w:type="dxa" w:w="160"/>
            </w:tcMar>
          </w:tcPr>
          <w:p>
            <w:pPr>
              <w:spacing w:after="0"/>
            </w:pPr>
            <w:r>
              <w:rPr>
                <w:rFonts w:ascii="Arial" w:cs="Arial" w:eastAsia="Arial" w:hAnsi="Arial"/>
                <w:b/>
                <w:bCs/>
                <w:sz w:val="20"/>
                <w:szCs w:val="20"/>
              </w:rPr>
              <w:t xml:space="preserve">Delivery &amp; Process</w:t>
            </w:r>
          </w:p>
        </w:tc>
        <w:tc>
          <w:tcPr>
            <w:tcW w:type="dxa" w:w="7160"/>
            <w:tcBorders>
              <w:top w:val="single" w:color="C0C0C0" w:sz="4"/>
              <w:left w:val="single" w:color="C0C0C0" w:sz="4"/>
              <w:bottom w:val="single" w:color="C0C0C0" w:sz="4"/>
              <w:right w:val="single" w:color="C0C0C0"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Sprint planning, roadmap planning, release management, incident management, retrospectives, process improvement. Owns the team's DORA metrics.</w:t>
            </w:r>
          </w:p>
        </w:tc>
      </w:tr>
      <w:tr>
        <w:tc>
          <w:tcPr>
            <w:tcW w:type="dxa" w:w="2200"/>
            <w:tcBorders>
              <w:top w:val="single" w:color="C0C0C0" w:sz="4"/>
              <w:left w:val="single" w:color="C0C0C0" w:sz="4"/>
              <w:bottom w:val="single" w:color="C0C0C0" w:sz="4"/>
              <w:right w:val="single" w:color="C0C0C0" w:sz="4"/>
            </w:tcBorders>
            <w:shd w:fill="D6E4F7" w:val="clear"/>
            <w:tcMar>
              <w:top w:type="dxa" w:w="80"/>
              <w:left w:type="dxa" w:w="160"/>
              <w:bottom w:type="dxa" w:w="80"/>
              <w:right w:type="dxa" w:w="160"/>
            </w:tcMar>
          </w:tcPr>
          <w:p>
            <w:pPr>
              <w:spacing w:after="0"/>
            </w:pPr>
            <w:r>
              <w:rPr>
                <w:rFonts w:ascii="Arial" w:cs="Arial" w:eastAsia="Arial" w:hAnsi="Arial"/>
                <w:b/>
                <w:bCs/>
                <w:sz w:val="20"/>
                <w:szCs w:val="20"/>
              </w:rPr>
              <w:t xml:space="preserve">Technical Leadership</w:t>
            </w:r>
          </w:p>
        </w:tc>
        <w:tc>
          <w:tcPr>
            <w:tcW w:type="dxa" w:w="7160"/>
            <w:tcBorders>
              <w:top w:val="single" w:color="C0C0C0" w:sz="4"/>
              <w:left w:val="single" w:color="C0C0C0" w:sz="4"/>
              <w:bottom w:val="single" w:color="C0C0C0" w:sz="4"/>
              <w:right w:val="single" w:color="C0C0C0" w:sz="4"/>
            </w:tcBorders>
            <w:shd w:fill="D6E4F7" w:val="clear"/>
            <w:tcMar>
              <w:top w:type="dxa" w:w="80"/>
              <w:left w:type="dxa" w:w="160"/>
              <w:bottom w:type="dxa" w:w="80"/>
              <w:right w:type="dxa" w:w="160"/>
            </w:tcMar>
          </w:tcPr>
          <w:p>
            <w:pPr>
              <w:spacing w:after="0"/>
            </w:pPr>
            <w:r>
              <w:rPr>
                <w:rFonts w:ascii="Arial" w:cs="Arial" w:eastAsia="Arial" w:hAnsi="Arial"/>
                <w:sz w:val="20"/>
                <w:szCs w:val="20"/>
              </w:rPr>
              <w:t xml:space="preserve">Technical strategy for the team, architecture decision support, code review culture, technical debt management, developer experience, security oversight.</w:t>
            </w:r>
          </w:p>
        </w:tc>
      </w:tr>
      <w:tr>
        <w:tc>
          <w:tcPr>
            <w:tcW w:type="dxa" w:w="2200"/>
            <w:tcBorders>
              <w:top w:val="single" w:color="C0C0C0" w:sz="4"/>
              <w:left w:val="single" w:color="C0C0C0" w:sz="4"/>
              <w:bottom w:val="single" w:color="C0C0C0" w:sz="4"/>
              <w:right w:val="single" w:color="C0C0C0" w:sz="4"/>
            </w:tcBorders>
            <w:shd w:fill="FFFFFF" w:val="clear"/>
            <w:tcMar>
              <w:top w:type="dxa" w:w="80"/>
              <w:left w:type="dxa" w:w="160"/>
              <w:bottom w:type="dxa" w:w="80"/>
              <w:right w:type="dxa" w:w="160"/>
            </w:tcMar>
          </w:tcPr>
          <w:p>
            <w:pPr>
              <w:spacing w:after="0"/>
            </w:pPr>
            <w:r>
              <w:rPr>
                <w:rFonts w:ascii="Arial" w:cs="Arial" w:eastAsia="Arial" w:hAnsi="Arial"/>
                <w:b/>
                <w:bCs/>
                <w:sz w:val="20"/>
                <w:szCs w:val="20"/>
              </w:rPr>
              <w:t xml:space="preserve">Stakeholder &amp; Org</w:t>
            </w:r>
          </w:p>
        </w:tc>
        <w:tc>
          <w:tcPr>
            <w:tcW w:type="dxa" w:w="7160"/>
            <w:tcBorders>
              <w:top w:val="single" w:color="C0C0C0" w:sz="4"/>
              <w:left w:val="single" w:color="C0C0C0" w:sz="4"/>
              <w:bottom w:val="single" w:color="C0C0C0" w:sz="4"/>
              <w:right w:val="single" w:color="C0C0C0" w:sz="4"/>
            </w:tcBorders>
            <w:shd w:fill="FFFFFF" w:val="clear"/>
            <w:tcMar>
              <w:top w:type="dxa" w:w="80"/>
              <w:left w:type="dxa" w:w="160"/>
              <w:bottom w:type="dxa" w:w="80"/>
              <w:right w:type="dxa" w:w="160"/>
            </w:tcMar>
          </w:tcPr>
          <w:p>
            <w:pPr>
              <w:spacing w:after="0"/>
            </w:pPr>
            <w:r>
              <w:rPr>
                <w:rFonts w:ascii="Arial" w:cs="Arial" w:eastAsia="Arial" w:hAnsi="Arial"/>
                <w:sz w:val="20"/>
                <w:szCs w:val="20"/>
              </w:rPr>
              <w:t xml:space="preserve">Cross-team coordination, executive communication, budget / headcount planning, OKR ownership, organisational design at team level.</w:t>
            </w:r>
          </w:p>
        </w:tc>
      </w:tr>
    </w:tbl>
    <w:p>
      <w:pPr>
        <w:spacing w:after="160"/>
      </w:pPr>
    </w:p>
    <w:p>
      <w:pPr>
        <w:spacing w:after="120"/>
      </w:pPr>
      <w:r>
        <w:rPr>
          <w:rFonts w:ascii="Arial" w:cs="Arial" w:eastAsia="Arial" w:hAnsi="Arial"/>
          <w:sz w:val="22"/>
          <w:szCs w:val="22"/>
        </w:rPr>
        <w:t xml:space="preserve">A new dimension hardened in 2026: managing AI-augmented teams. EM interview loops now include a sixth axis alongside the traditional five (people, technical judgment, project execution, cross-functional, culture) — assessing whether the manager can lead engineers who heavily use AI coding tools, evaluate AI-generated code quality, and help the team adapt to AI-driven velocity changes.</w:t>
      </w:r>
    </w:p>
    <w:p>
      <w:pPr>
        <w:spacing w:after="160"/>
      </w:pPr>
    </w:p>
    <w:p>
      <w:pPr>
        <w:pStyle w:val="Heading2"/>
      </w:pPr>
      <w:r>
        <w:rPr>
          <w:rFonts w:ascii="Arial" w:cs="Arial" w:eastAsia="Arial" w:hAnsi="Arial"/>
          <w:b/>
          <w:bCs/>
          <w:color w:val="2E5FA3"/>
          <w:sz w:val="26"/>
          <w:szCs w:val="26"/>
        </w:rPr>
        <w:t xml:space="preserve">1.2 Head of Engineering</w:t>
      </w:r>
    </w:p>
    <w:p>
      <w:pPr>
        <w:spacing w:after="120"/>
      </w:pPr>
      <w:r>
        <w:rPr>
          <w:rFonts w:ascii="Arial" w:cs="Arial" w:eastAsia="Arial" w:hAnsi="Arial"/>
          <w:sz w:val="22"/>
          <w:szCs w:val="22"/>
        </w:rPr>
        <w:t xml:space="preserve">The HoE sits one level above EM, typically managing multiple teams (directly or through EMs). The scope shifts from team-level to department-level:</w:t>
      </w:r>
    </w:p>
    <w:p>
      <w:pPr>
        <w:pStyle w:val="ListParagraph"/>
        <w:numPr>
          <w:ilvl w:val="0"/>
          <w:numId w:val="2"/>
        </w:numPr>
        <w:spacing w:after="80"/>
      </w:pPr>
      <w:r>
        <w:rPr>
          <w:rFonts w:ascii="Arial" w:cs="Arial" w:eastAsia="Arial" w:hAnsi="Arial"/>
          <w:sz w:val="22"/>
          <w:szCs w:val="22"/>
        </w:rPr>
        <w:t xml:space="preserve">Organisational design and team topology decisions.</w:t>
      </w:r>
    </w:p>
    <w:p>
      <w:pPr>
        <w:pStyle w:val="ListParagraph"/>
        <w:numPr>
          <w:ilvl w:val="0"/>
          <w:numId w:val="2"/>
        </w:numPr>
        <w:spacing w:after="80"/>
      </w:pPr>
      <w:r>
        <w:rPr>
          <w:rFonts w:ascii="Arial" w:cs="Arial" w:eastAsia="Arial" w:hAnsi="Arial"/>
          <w:sz w:val="22"/>
          <w:szCs w:val="22"/>
        </w:rPr>
        <w:t xml:space="preserve">Multi-team OKRs and engineering strategy that connects to business goals.</w:t>
      </w:r>
    </w:p>
    <w:p>
      <w:pPr>
        <w:pStyle w:val="ListParagraph"/>
        <w:numPr>
          <w:ilvl w:val="0"/>
          <w:numId w:val="2"/>
        </w:numPr>
        <w:spacing w:after="80"/>
      </w:pPr>
      <w:r>
        <w:rPr>
          <w:rFonts w:ascii="Arial" w:cs="Arial" w:eastAsia="Arial" w:hAnsi="Arial"/>
          <w:sz w:val="22"/>
          <w:szCs w:val="22"/>
        </w:rPr>
        <w:t xml:space="preserve">Budget ownership, headcount planning, and resource allocation across teams.</w:t>
      </w:r>
    </w:p>
    <w:p>
      <w:pPr>
        <w:pStyle w:val="ListParagraph"/>
        <w:numPr>
          <w:ilvl w:val="0"/>
          <w:numId w:val="2"/>
        </w:numPr>
        <w:spacing w:after="80"/>
      </w:pPr>
      <w:r>
        <w:rPr>
          <w:rFonts w:ascii="Arial" w:cs="Arial" w:eastAsia="Arial" w:hAnsi="Arial"/>
          <w:sz w:val="22"/>
          <w:szCs w:val="22"/>
        </w:rPr>
        <w:t xml:space="preserve">Hiring leadership — not just for individual contributors but for EMs and tech leads.</w:t>
      </w:r>
    </w:p>
    <w:p>
      <w:pPr>
        <w:pStyle w:val="ListParagraph"/>
        <w:numPr>
          <w:ilvl w:val="0"/>
          <w:numId w:val="2"/>
        </w:numPr>
        <w:spacing w:after="80"/>
      </w:pPr>
      <w:r>
        <w:rPr>
          <w:rFonts w:ascii="Arial" w:cs="Arial" w:eastAsia="Arial" w:hAnsi="Arial"/>
          <w:sz w:val="22"/>
          <w:szCs w:val="22"/>
        </w:rPr>
        <w:t xml:space="preserve">Engineering culture at scale: diversity &amp; inclusion programs, career frameworks, engineering levels.</w:t>
      </w:r>
    </w:p>
    <w:p>
      <w:pPr>
        <w:pStyle w:val="ListParagraph"/>
        <w:numPr>
          <w:ilvl w:val="0"/>
          <w:numId w:val="2"/>
        </w:numPr>
        <w:spacing w:after="80"/>
      </w:pPr>
      <w:r>
        <w:rPr>
          <w:rFonts w:ascii="Arial" w:cs="Arial" w:eastAsia="Arial" w:hAnsi="Arial"/>
          <w:sz w:val="22"/>
          <w:szCs w:val="22"/>
        </w:rPr>
        <w:t xml:space="preserve">Representing engineering in executive forums and board-level conversations.</w:t>
      </w:r>
    </w:p>
    <w:p>
      <w:pPr>
        <w:pStyle w:val="ListParagraph"/>
        <w:numPr>
          <w:ilvl w:val="0"/>
          <w:numId w:val="2"/>
        </w:numPr>
        <w:spacing w:after="80"/>
      </w:pPr>
      <w:r>
        <w:rPr>
          <w:rFonts w:ascii="Arial" w:cs="Arial" w:eastAsia="Arial" w:hAnsi="Arial"/>
          <w:sz w:val="22"/>
          <w:szCs w:val="22"/>
        </w:rPr>
        <w:t xml:space="preserve">Platform and infrastructure strategy decisions spanning the whole organisation.</w:t>
      </w:r>
    </w:p>
    <w:p>
      <w:pPr>
        <w:spacing w:after="160"/>
      </w:pPr>
    </w:p>
    <w:p>
      <w:pPr>
        <w:spacing w:after="120"/>
      </w:pPr>
      <w:r>
        <w:rPr>
          <w:rFonts w:ascii="Arial" w:cs="Arial" w:eastAsia="Arial" w:hAnsi="Arial"/>
          <w:sz w:val="22"/>
          <w:szCs w:val="22"/>
        </w:rPr>
        <w:t xml:space="preserve">Most HoE roles expect prior EM experience (or strong equivalent). For Alan, reaching EM first is the logical bridge.</w:t>
      </w:r>
    </w:p>
    <w:p>
      <w:pPr>
        <w:spacing w:after="160"/>
      </w:pPr>
    </w:p>
    <w:p>
      <w:pPr>
        <w:pStyle w:val="Heading2"/>
      </w:pPr>
      <w:r>
        <w:rPr>
          <w:rFonts w:ascii="Arial" w:cs="Arial" w:eastAsia="Arial" w:hAnsi="Arial"/>
          <w:b/>
          <w:bCs/>
          <w:color w:val="2E5FA3"/>
          <w:sz w:val="26"/>
          <w:szCs w:val="26"/>
        </w:rPr>
        <w:t xml:space="preserve">1.3 2026 Market Context</w:t>
      </w:r>
    </w:p>
    <w:p>
      <w:pPr>
        <w:spacing w:after="120"/>
      </w:pPr>
      <w:r>
        <w:rPr>
          <w:rFonts w:ascii="Arial" w:cs="Arial" w:eastAsia="Arial" w:hAnsi="Arial"/>
          <w:sz w:val="22"/>
          <w:szCs w:val="22"/>
        </w:rPr>
        <w:t xml:space="preserve">Key signals from the current job market relevant to Alan's target roles:</w:t>
      </w:r>
    </w:p>
    <w:p>
      <w:pPr>
        <w:pStyle w:val="ListParagraph"/>
        <w:numPr>
          <w:ilvl w:val="0"/>
          <w:numId w:val="2"/>
        </w:numPr>
        <w:spacing w:after="80"/>
      </w:pPr>
      <w:r>
        <w:rPr>
          <w:rFonts w:ascii="Arial" w:cs="Arial" w:eastAsia="Arial" w:hAnsi="Arial"/>
          <w:sz w:val="22"/>
          <w:szCs w:val="22"/>
        </w:rPr>
        <w:t xml:space="preserve">Management layers are thinning globally (-42% middle-management postings vs 2022). EMs are hired to amplify, not just coordinate — they must demonstrably improve team performance.</w:t>
      </w:r>
    </w:p>
    <w:p>
      <w:pPr>
        <w:pStyle w:val="ListParagraph"/>
        <w:numPr>
          <w:ilvl w:val="0"/>
          <w:numId w:val="2"/>
        </w:numPr>
        <w:spacing w:after="80"/>
      </w:pPr>
      <w:r>
        <w:rPr>
          <w:rFonts w:ascii="Arial" w:cs="Arial" w:eastAsia="Arial" w:hAnsi="Arial"/>
          <w:sz w:val="22"/>
          <w:szCs w:val="22"/>
        </w:rPr>
        <w:t xml:space="preserve">AI engineering demand has grown 74% YoY. EMs who can manage AI-augmented teams and evaluate AI-assisted code earn a ~15% salary premium.</w:t>
      </w:r>
    </w:p>
    <w:p>
      <w:pPr>
        <w:pStyle w:val="ListParagraph"/>
        <w:numPr>
          <w:ilvl w:val="0"/>
          <w:numId w:val="2"/>
        </w:numPr>
        <w:spacing w:after="80"/>
      </w:pPr>
      <w:r>
        <w:rPr>
          <w:rFonts w:ascii="Arial" w:cs="Arial" w:eastAsia="Arial" w:hAnsi="Arial"/>
          <w:sz w:val="22"/>
          <w:szCs w:val="22"/>
        </w:rPr>
        <w:t xml:space="preserve">Cloud platform literacy (AWS/Azure/GCP) is now a baseline expectation in most software EM roles, not a differentiator.</w:t>
      </w:r>
    </w:p>
    <w:p>
      <w:pPr>
        <w:pStyle w:val="ListParagraph"/>
        <w:numPr>
          <w:ilvl w:val="0"/>
          <w:numId w:val="2"/>
        </w:numPr>
        <w:spacing w:after="80"/>
      </w:pPr>
      <w:r>
        <w:rPr>
          <w:rFonts w:ascii="Arial" w:cs="Arial" w:eastAsia="Arial" w:hAnsi="Arial"/>
          <w:sz w:val="22"/>
          <w:szCs w:val="22"/>
        </w:rPr>
        <w:t xml:space="preserve">DORA metrics (deployment frequency, lead time, change fail rate, recovery time) are the standard lens for measuring engineering team health — expected vocabulary for any EM candidate.</w:t>
      </w:r>
    </w:p>
    <w:p>
      <w:pPr>
        <w:pStyle w:val="ListParagraph"/>
        <w:numPr>
          <w:ilvl w:val="0"/>
          <w:numId w:val="2"/>
        </w:numPr>
        <w:spacing w:after="80"/>
      </w:pPr>
      <w:r>
        <w:rPr>
          <w:rFonts w:ascii="Arial" w:cs="Arial" w:eastAsia="Arial" w:hAnsi="Arial"/>
          <w:sz w:val="22"/>
          <w:szCs w:val="22"/>
        </w:rPr>
        <w:t xml:space="preserve">Australia EM salaries range $180K–$200K on average; senior/HoE roles reach $220K–$280K+.</w:t>
      </w:r>
    </w:p>
    <w:p>
      <w:pPr>
        <w:spacing w:after="160"/>
      </w:pPr>
    </w:p>
    <w:p>
      <w:r>
        <w:br w:type="page"/>
      </w:r>
    </w:p>
    <w:p>
      <w:pPr>
        <w:pStyle w:val="Heading1"/>
      </w:pPr>
      <w:r>
        <w:rPr>
          <w:rFonts w:ascii="Arial" w:cs="Arial" w:eastAsia="Arial" w:hAnsi="Arial"/>
          <w:b/>
          <w:bCs/>
          <w:color w:val="1F3864"/>
          <w:sz w:val="32"/>
          <w:szCs w:val="32"/>
        </w:rPr>
        <w:t xml:space="preserve">2. Alan's Strengths (What Transfers Directly)</w:t>
      </w:r>
    </w:p>
    <w:p>
      <w:pPr>
        <w:spacing w:after="120"/>
      </w:pPr>
      <w:r>
        <w:rPr>
          <w:rFonts w:ascii="Arial" w:cs="Arial" w:eastAsia="Arial" w:hAnsi="Arial"/>
          <w:sz w:val="22"/>
          <w:szCs w:val="22"/>
        </w:rPr>
        <w:t xml:space="preserve">Alan's career has accumulated a substantial portfolio of skills that map directly to EM and HoE requirements. These are genuine advantages, not just partial credits.</w:t>
      </w:r>
    </w:p>
    <w:p>
      <w:pPr>
        <w:spacing w:after="160"/>
      </w:pPr>
    </w:p>
    <w:p>
      <w:pPr>
        <w:pStyle w:val="Heading2"/>
      </w:pPr>
      <w:r>
        <w:rPr>
          <w:rFonts w:ascii="Arial" w:cs="Arial" w:eastAsia="Arial" w:hAnsi="Arial"/>
          <w:b/>
          <w:bCs/>
          <w:color w:val="2E5FA3"/>
          <w:sz w:val="26"/>
          <w:szCs w:val="26"/>
        </w:rPr>
        <w:t xml:space="preserve">2.1 Delivery &amp; Process Mastery</w:t>
      </w:r>
    </w:p>
    <w:p>
      <w:pPr>
        <w:spacing w:after="120"/>
      </w:pPr>
      <w:r>
        <w:rPr>
          <w:rFonts w:ascii="Arial" w:cs="Arial" w:eastAsia="Arial" w:hAnsi="Arial"/>
          <w:sz w:val="22"/>
          <w:szCs w:val="22"/>
        </w:rPr>
        <w:t xml:space="preserve">This is Alan's deepest credential. He has spent 15+ years designing and running delivery systems — sprint planning, roadmap planning, dependency management, release management, retrospectives, and process improvement — at increasing scale:</w:t>
      </w:r>
    </w:p>
    <w:p>
      <w:pPr>
        <w:pStyle w:val="ListParagraph"/>
        <w:numPr>
          <w:ilvl w:val="0"/>
          <w:numId w:val="2"/>
        </w:numPr>
        <w:spacing w:after="80"/>
      </w:pPr>
      <w:r>
        <w:rPr>
          <w:rFonts w:ascii="Arial" w:cs="Arial" w:eastAsia="Arial" w:hAnsi="Arial"/>
          <w:sz w:val="22"/>
          <w:szCs w:val="22"/>
        </w:rPr>
        <w:t xml:space="preserve">At Xero: program-level delivery across dozens of engineering teams with EGM-level stakeholder visibility.</w:t>
      </w:r>
    </w:p>
    <w:p>
      <w:pPr>
        <w:pStyle w:val="ListParagraph"/>
        <w:numPr>
          <w:ilvl w:val="0"/>
          <w:numId w:val="2"/>
        </w:numPr>
        <w:spacing w:after="80"/>
      </w:pPr>
      <w:r>
        <w:rPr>
          <w:rFonts w:ascii="Arial" w:cs="Arial" w:eastAsia="Arial" w:hAnsi="Arial"/>
          <w:sz w:val="22"/>
          <w:szCs w:val="22"/>
        </w:rPr>
        <w:t xml:space="preserve">At Go1: built a common operating system from scratch in a hyper-growth environment.</w:t>
      </w:r>
    </w:p>
    <w:p>
      <w:pPr>
        <w:pStyle w:val="ListParagraph"/>
        <w:numPr>
          <w:ilvl w:val="0"/>
          <w:numId w:val="2"/>
        </w:numPr>
        <w:spacing w:after="80"/>
      </w:pPr>
      <w:r>
        <w:rPr>
          <w:rFonts w:ascii="Arial" w:cs="Arial" w:eastAsia="Arial" w:hAnsi="Arial"/>
          <w:sz w:val="22"/>
          <w:szCs w:val="22"/>
        </w:rPr>
        <w:t xml:space="preserve">At 2sol: transformed a reactive team into a predictable one via CI/CD, automated testing, and delivery metrics over 5 years.</w:t>
      </w:r>
    </w:p>
    <w:p>
      <w:pPr>
        <w:pStyle w:val="ListParagraph"/>
        <w:numPr>
          <w:ilvl w:val="0"/>
          <w:numId w:val="2"/>
        </w:numPr>
        <w:spacing w:after="80"/>
      </w:pPr>
      <w:r>
        <w:rPr>
          <w:rFonts w:ascii="Arial" w:cs="Arial" w:eastAsia="Arial" w:hAnsi="Arial"/>
          <w:sz w:val="22"/>
          <w:szCs w:val="22"/>
        </w:rPr>
        <w:t xml:space="preserve">At Virgin Australia: coached 4 Product Owners and ran 70+ person quarterly planning sessions.</w:t>
      </w:r>
    </w:p>
    <w:p>
      <w:pPr>
        <w:spacing w:after="120"/>
      </w:pPr>
      <w:r>
        <w:rPr>
          <w:rFonts w:ascii="Arial" w:cs="Arial" w:eastAsia="Arial" w:hAnsi="Arial"/>
          <w:sz w:val="22"/>
          <w:szCs w:val="22"/>
        </w:rPr>
        <w:t xml:space="preserve">This exceeds what most EM candidates bring to delivery and process. It is a strong hiring signal for organisations that need EMs who can quickly improve team throughput without adding bureaucracy.</w:t>
      </w:r>
    </w:p>
    <w:p>
      <w:pPr>
        <w:spacing w:after="160"/>
      </w:pPr>
    </w:p>
    <w:p>
      <w:pPr>
        <w:pStyle w:val="Heading2"/>
      </w:pPr>
      <w:r>
        <w:rPr>
          <w:rFonts w:ascii="Arial" w:cs="Arial" w:eastAsia="Arial" w:hAnsi="Arial"/>
          <w:b/>
          <w:bCs/>
          <w:color w:val="2E5FA3"/>
          <w:sz w:val="26"/>
          <w:szCs w:val="26"/>
        </w:rPr>
        <w:t xml:space="preserve">2.2 People Leadership (Partial, Not Formal EM)</w:t>
      </w:r>
    </w:p>
    <w:p>
      <w:pPr>
        <w:spacing w:after="120"/>
      </w:pPr>
      <w:r>
        <w:rPr>
          <w:rFonts w:ascii="Arial" w:cs="Arial" w:eastAsia="Arial" w:hAnsi="Arial"/>
          <w:sz w:val="22"/>
          <w:szCs w:val="22"/>
        </w:rPr>
        <w:t xml:space="preserve">Alan has direct people-management experience across multiple roles, though not always under the title of Engineering Manager:</w:t>
      </w:r>
    </w:p>
    <w:p>
      <w:pPr>
        <w:pStyle w:val="ListParagraph"/>
        <w:numPr>
          <w:ilvl w:val="0"/>
          <w:numId w:val="2"/>
        </w:numPr>
        <w:spacing w:after="80"/>
      </w:pPr>
      <w:r>
        <w:rPr>
          <w:rFonts w:ascii="Arial" w:cs="Arial" w:eastAsia="Arial" w:hAnsi="Arial"/>
          <w:sz w:val="22"/>
          <w:szCs w:val="22"/>
        </w:rPr>
        <w:t xml:space="preserve">Go1: Led a cross-functional squad of 8 (including 6 engineers) as team lead, including hiring, onboarding, performance, and team health.</w:t>
      </w:r>
    </w:p>
    <w:p>
      <w:pPr>
        <w:pStyle w:val="ListParagraph"/>
        <w:numPr>
          <w:ilvl w:val="0"/>
          <w:numId w:val="2"/>
        </w:numPr>
        <w:spacing w:after="80"/>
      </w:pPr>
      <w:r>
        <w:rPr>
          <w:rFonts w:ascii="Arial" w:cs="Arial" w:eastAsia="Arial" w:hAnsi="Arial"/>
          <w:sz w:val="22"/>
          <w:szCs w:val="22"/>
        </w:rPr>
        <w:t xml:space="preserve">intelliHR: Directly managed a product team of 5 (including a data engineer), including hiring from scratch.</w:t>
      </w:r>
    </w:p>
    <w:p>
      <w:pPr>
        <w:pStyle w:val="ListParagraph"/>
        <w:numPr>
          <w:ilvl w:val="0"/>
          <w:numId w:val="2"/>
        </w:numPr>
        <w:spacing w:after="80"/>
      </w:pPr>
      <w:r>
        <w:rPr>
          <w:rFonts w:ascii="Arial" w:cs="Arial" w:eastAsia="Arial" w:hAnsi="Arial"/>
          <w:sz w:val="22"/>
          <w:szCs w:val="22"/>
        </w:rPr>
        <w:t xml:space="preserve">2sol: Managed a team of 5 developers for ~5 years including end-to-end delivery accountability.</w:t>
      </w:r>
    </w:p>
    <w:p>
      <w:pPr>
        <w:pStyle w:val="ListParagraph"/>
        <w:numPr>
          <w:ilvl w:val="0"/>
          <w:numId w:val="2"/>
        </w:numPr>
        <w:spacing w:after="80"/>
      </w:pPr>
      <w:r>
        <w:rPr>
          <w:rFonts w:ascii="Arial" w:cs="Arial" w:eastAsia="Arial" w:hAnsi="Arial"/>
          <w:sz w:val="22"/>
          <w:szCs w:val="22"/>
        </w:rPr>
        <w:t xml:space="preserve">Xero: Coached EMs and tech leads across 10+ teams on delivery practices, cycle time, capacity planning, and team health.</w:t>
      </w:r>
    </w:p>
    <w:p>
      <w:pPr>
        <w:spacing w:after="120"/>
      </w:pPr>
      <w:r>
        <w:rPr>
          <w:rFonts w:ascii="Arial" w:cs="Arial" w:eastAsia="Arial" w:hAnsi="Arial"/>
          <w:sz w:val="22"/>
          <w:szCs w:val="22"/>
        </w:rPr>
        <w:t xml:space="preserve">The gap is not that Alan has never managed people — he clearly has. The gap is that he has not held a role where the formal people-management machinery (structured performance reviews, PIPs, compensation calibration, promotion decisions within an engineering career framework) was his explicit accountability.</w:t>
      </w:r>
    </w:p>
    <w:p>
      <w:pPr>
        <w:spacing w:after="160"/>
      </w:pPr>
    </w:p>
    <w:p>
      <w:pPr>
        <w:pStyle w:val="Heading2"/>
      </w:pPr>
      <w:r>
        <w:rPr>
          <w:rFonts w:ascii="Arial" w:cs="Arial" w:eastAsia="Arial" w:hAnsi="Arial"/>
          <w:b/>
          <w:bCs/>
          <w:color w:val="2E5FA3"/>
          <w:sz w:val="26"/>
          <w:szCs w:val="26"/>
        </w:rPr>
        <w:t xml:space="preserve">2.3 Technical Depth</w:t>
      </w:r>
    </w:p>
    <w:p>
      <w:pPr>
        <w:spacing w:after="120"/>
      </w:pPr>
      <w:r>
        <w:rPr>
          <w:rFonts w:ascii="Arial" w:cs="Arial" w:eastAsia="Arial" w:hAnsi="Arial"/>
          <w:sz w:val="22"/>
          <w:szCs w:val="22"/>
        </w:rPr>
        <w:t xml:space="preserve">Alan's 8+ year background as a software engineer and systems architect is a genuine credential that many TPMs-turned-EMs lack:</w:t>
      </w:r>
    </w:p>
    <w:p>
      <w:pPr>
        <w:pStyle w:val="ListParagraph"/>
        <w:numPr>
          <w:ilvl w:val="0"/>
          <w:numId w:val="2"/>
        </w:numPr>
        <w:spacing w:after="80"/>
      </w:pPr>
      <w:r>
        <w:rPr>
          <w:rFonts w:ascii="Arial" w:cs="Arial" w:eastAsia="Arial" w:hAnsi="Arial"/>
          <w:sz w:val="22"/>
          <w:szCs w:val="22"/>
        </w:rPr>
        <w:t xml:space="preserve">Designed and maintained high-availability ticketing, booking, and payment architectures at Emedia (stable under major event load: V8 Supercars, Byron Bay Blues Festival, Bridge to Brisbane).</w:t>
      </w:r>
    </w:p>
    <w:p>
      <w:pPr>
        <w:pStyle w:val="ListParagraph"/>
        <w:numPr>
          <w:ilvl w:val="0"/>
          <w:numId w:val="2"/>
        </w:numPr>
        <w:spacing w:after="80"/>
      </w:pPr>
      <w:r>
        <w:rPr>
          <w:rFonts w:ascii="Arial" w:cs="Arial" w:eastAsia="Arial" w:hAnsi="Arial"/>
          <w:sz w:val="22"/>
          <w:szCs w:val="22"/>
        </w:rPr>
        <w:t xml:space="preserve">Led engineering practice transformation at 2sol: introduced CI/CD, automated testing, pair programming, code reviews, and coding standards.</w:t>
      </w:r>
    </w:p>
    <w:p>
      <w:pPr>
        <w:pStyle w:val="ListParagraph"/>
        <w:numPr>
          <w:ilvl w:val="0"/>
          <w:numId w:val="2"/>
        </w:numPr>
        <w:spacing w:after="80"/>
      </w:pPr>
      <w:r>
        <w:rPr>
          <w:rFonts w:ascii="Arial" w:cs="Arial" w:eastAsia="Arial" w:hAnsi="Arial"/>
          <w:sz w:val="22"/>
          <w:szCs w:val="22"/>
        </w:rPr>
        <w:t xml:space="preserve">Applied technical fluency at Xero to engage meaningfully with engineers on GraphQL/Supergraph architecture, dependency sequencing, and graph contract design.</w:t>
      </w:r>
    </w:p>
    <w:p>
      <w:pPr>
        <w:spacing w:after="120"/>
      </w:pPr>
      <w:r>
        <w:rPr>
          <w:rFonts w:ascii="Arial" w:cs="Arial" w:eastAsia="Arial" w:hAnsi="Arial"/>
          <w:sz w:val="22"/>
          <w:szCs w:val="22"/>
        </w:rPr>
        <w:t xml:space="preserve">The caveat: this technical background is from 2006–2012 for hands-on engineering. Cloud platform specifics (AWS/Azure/GCP), modern frontend frameworks (React/TypeScript), and AI engineering patterns are not evidenced in current work. Technical credibility must be rebuilt through deliberate learning, not assumed.</w:t>
      </w:r>
    </w:p>
    <w:p>
      <w:pPr>
        <w:spacing w:after="160"/>
      </w:pPr>
    </w:p>
    <w:p>
      <w:pPr>
        <w:pStyle w:val="Heading2"/>
      </w:pPr>
      <w:r>
        <w:rPr>
          <w:rFonts w:ascii="Arial" w:cs="Arial" w:eastAsia="Arial" w:hAnsi="Arial"/>
          <w:b/>
          <w:bCs/>
          <w:color w:val="2E5FA3"/>
          <w:sz w:val="26"/>
          <w:szCs w:val="26"/>
        </w:rPr>
        <w:t xml:space="preserve">2.4 Coaching &amp; Engineering Culture</w:t>
      </w:r>
    </w:p>
    <w:p>
      <w:pPr>
        <w:spacing w:after="120"/>
      </w:pPr>
      <w:r>
        <w:rPr>
          <w:rFonts w:ascii="Arial" w:cs="Arial" w:eastAsia="Arial" w:hAnsi="Arial"/>
          <w:sz w:val="22"/>
          <w:szCs w:val="22"/>
        </w:rPr>
        <w:t xml:space="preserve">Alan has a documented track record of building team cultures and coaching engineering leaders:</w:t>
      </w:r>
    </w:p>
    <w:p>
      <w:pPr>
        <w:pStyle w:val="ListParagraph"/>
        <w:numPr>
          <w:ilvl w:val="0"/>
          <w:numId w:val="2"/>
        </w:numPr>
        <w:spacing w:after="80"/>
      </w:pPr>
      <w:r>
        <w:rPr>
          <w:rFonts w:ascii="Arial" w:cs="Arial" w:eastAsia="Arial" w:hAnsi="Arial"/>
          <w:sz w:val="22"/>
          <w:szCs w:val="22"/>
        </w:rPr>
        <w:t xml:space="preserve">Shifted multiple organisations from 'feature factory' to outcome-driven delivery (2sol, intelliHR, Go1).</w:t>
      </w:r>
    </w:p>
    <w:p>
      <w:pPr>
        <w:pStyle w:val="ListParagraph"/>
        <w:numPr>
          <w:ilvl w:val="0"/>
          <w:numId w:val="2"/>
        </w:numPr>
        <w:spacing w:after="80"/>
      </w:pPr>
      <w:r>
        <w:rPr>
          <w:rFonts w:ascii="Arial" w:cs="Arial" w:eastAsia="Arial" w:hAnsi="Arial"/>
          <w:sz w:val="22"/>
          <w:szCs w:val="22"/>
        </w:rPr>
        <w:t xml:space="preserve">Designed cross-functional ways of working that separated planning, execution, discovery, and communication clearly (Quokkas, Go1, Virgin).</w:t>
      </w:r>
    </w:p>
    <w:p>
      <w:pPr>
        <w:pStyle w:val="ListParagraph"/>
        <w:numPr>
          <w:ilvl w:val="0"/>
          <w:numId w:val="2"/>
        </w:numPr>
        <w:spacing w:after="80"/>
      </w:pPr>
      <w:r>
        <w:rPr>
          <w:rFonts w:ascii="Arial" w:cs="Arial" w:eastAsia="Arial" w:hAnsi="Arial"/>
          <w:sz w:val="22"/>
          <w:szCs w:val="22"/>
        </w:rPr>
        <w:t xml:space="preserve">Facilitated structured retrospectives and continuous improvement rhythms consistently across his career.</w:t>
      </w:r>
    </w:p>
    <w:p>
      <w:pPr>
        <w:spacing w:after="120"/>
      </w:pPr>
      <w:r>
        <w:rPr>
          <w:rFonts w:ascii="Arial" w:cs="Arial" w:eastAsia="Arial" w:hAnsi="Arial"/>
          <w:sz w:val="22"/>
          <w:szCs w:val="22"/>
        </w:rPr>
        <w:t xml:space="preserve">This is the cultural leadership dimension that many technically strong EMs lack. It is a material advantage.</w:t>
      </w:r>
    </w:p>
    <w:p>
      <w:pPr>
        <w:spacing w:after="160"/>
      </w:pPr>
    </w:p>
    <w:p>
      <w:pPr>
        <w:pStyle w:val="Heading2"/>
      </w:pPr>
      <w:r>
        <w:rPr>
          <w:rFonts w:ascii="Arial" w:cs="Arial" w:eastAsia="Arial" w:hAnsi="Arial"/>
          <w:b/>
          <w:bCs/>
          <w:color w:val="2E5FA3"/>
          <w:sz w:val="26"/>
          <w:szCs w:val="26"/>
        </w:rPr>
        <w:t xml:space="preserve">2.5 Stakeholder Management &amp; Executive Communication</w:t>
      </w:r>
    </w:p>
    <w:p>
      <w:pPr>
        <w:spacing w:after="120"/>
      </w:pPr>
      <w:r>
        <w:rPr>
          <w:rFonts w:ascii="Arial" w:cs="Arial" w:eastAsia="Arial" w:hAnsi="Arial"/>
          <w:sz w:val="22"/>
          <w:szCs w:val="22"/>
        </w:rPr>
        <w:t xml:space="preserve">Alan operates confidently at EGM and GM level. His Xero API Program work involved EGM-level milestone reporting, dependency escalation, and cross-divisional alignment. This is above-average for a first-time EM candidate and directly relevant to HoE-level communication expectations.</w:t>
      </w:r>
    </w:p>
    <w:p>
      <w:pPr>
        <w:spacing w:after="160"/>
      </w:pPr>
    </w:p>
    <w:p>
      <w:pPr>
        <w:pStyle w:val="Heading2"/>
      </w:pPr>
      <w:r>
        <w:rPr>
          <w:rFonts w:ascii="Arial" w:cs="Arial" w:eastAsia="Arial" w:hAnsi="Arial"/>
          <w:b/>
          <w:bCs/>
          <w:color w:val="2E5FA3"/>
          <w:sz w:val="26"/>
          <w:szCs w:val="26"/>
        </w:rPr>
        <w:t xml:space="preserve">2.6 AI &amp; Product Fluency</w:t>
      </w:r>
    </w:p>
    <w:p>
      <w:pPr>
        <w:spacing w:after="120"/>
      </w:pPr>
      <w:r>
        <w:rPr>
          <w:rFonts w:ascii="Arial" w:cs="Arial" w:eastAsia="Arial" w:hAnsi="Arial"/>
          <w:sz w:val="22"/>
          <w:szCs w:val="22"/>
        </w:rPr>
        <w:t xml:space="preserve">Alan's AI for Customers program at Xero (3M+ customers) and the NLP/ML people analytics work at intelliHR give him a product-level understanding of AI/ML systems — how they are built, coordinated, and aligned to customer needs. This maps well to the emerging EM expectation of managing AI-augmented engineering teams.</w:t>
      </w:r>
    </w:p>
    <w:p>
      <w:pPr>
        <w:spacing w:after="160"/>
      </w:pPr>
    </w:p>
    <w:p>
      <w:r>
        <w:br w:type="page"/>
      </w:r>
    </w:p>
    <w:p>
      <w:pPr>
        <w:pStyle w:val="Heading1"/>
      </w:pPr>
      <w:r>
        <w:rPr>
          <w:rFonts w:ascii="Arial" w:cs="Arial" w:eastAsia="Arial" w:hAnsi="Arial"/>
          <w:b/>
          <w:bCs/>
          <w:color w:val="1F3864"/>
          <w:sz w:val="32"/>
          <w:szCs w:val="32"/>
        </w:rPr>
        <w:t xml:space="preserve">3. Gap Analysis Summary</w:t>
      </w:r>
    </w:p>
    <w:p>
      <w:pPr>
        <w:spacing w:after="120"/>
      </w:pPr>
      <w:r>
        <w:rPr>
          <w:rFonts w:ascii="Arial" w:cs="Arial" w:eastAsia="Arial" w:hAnsi="Arial"/>
          <w:sz w:val="22"/>
          <w:szCs w:val="22"/>
        </w:rPr>
        <w:t xml:space="preserve">The table below rates each EM/HoE skill area against Alan's current state. Use this as a quick reference; the following sections explain each gap in depth.</w:t>
      </w:r>
    </w:p>
    <w:p>
      <w:pPr>
        <w:spacing w:after="160"/>
      </w:pPr>
    </w:p>
    <w:p>
      <w:pPr>
        <w:spacing w:after="120"/>
      </w:pPr>
      <w:r>
        <w:rPr>
          <w:rFonts w:ascii="Arial" w:cs="Arial" w:eastAsia="Arial" w:hAnsi="Arial"/>
          <w:sz w:val="22"/>
          <w:szCs w:val="22"/>
        </w:rPr>
        <w:t xml:space="preserve">Legend:</w:t>
      </w:r>
    </w:p>
    <w:p>
      <w:pPr>
        <w:pStyle w:val="ListParagraph"/>
        <w:numPr>
          <w:ilvl w:val="0"/>
          <w:numId w:val="2"/>
        </w:numPr>
        <w:spacing w:after="80"/>
      </w:pPr>
      <w:r>
        <w:rPr>
          <w:rFonts w:ascii="Arial" w:cs="Arial" w:eastAsia="Arial" w:hAnsi="Arial"/>
          <w:sz w:val="22"/>
          <w:szCs w:val="22"/>
        </w:rPr>
        <w:t xml:space="preserve">STRONG — Directly evidenced, above-average for role level.</w:t>
      </w:r>
    </w:p>
    <w:p>
      <w:pPr>
        <w:pStyle w:val="ListParagraph"/>
        <w:numPr>
          <w:ilvl w:val="0"/>
          <w:numId w:val="2"/>
        </w:numPr>
        <w:spacing w:after="80"/>
      </w:pPr>
      <w:r>
        <w:rPr>
          <w:rFonts w:ascii="Arial" w:cs="Arial" w:eastAsia="Arial" w:hAnsi="Arial"/>
          <w:sz w:val="22"/>
          <w:szCs w:val="22"/>
        </w:rPr>
        <w:t xml:space="preserve">GOOD — Evidenced, meets minimum bar. Minor polish needed.</w:t>
      </w:r>
    </w:p>
    <w:p>
      <w:pPr>
        <w:pStyle w:val="ListParagraph"/>
        <w:numPr>
          <w:ilvl w:val="0"/>
          <w:numId w:val="2"/>
        </w:numPr>
        <w:spacing w:after="80"/>
      </w:pPr>
      <w:r>
        <w:rPr>
          <w:rFonts w:ascii="Arial" w:cs="Arial" w:eastAsia="Arial" w:hAnsi="Arial"/>
          <w:sz w:val="22"/>
          <w:szCs w:val="22"/>
        </w:rPr>
        <w:t xml:space="preserve">PARTIAL — Some evidence but not the full EM accountability version. Active development needed.</w:t>
      </w:r>
    </w:p>
    <w:p>
      <w:pPr>
        <w:pStyle w:val="ListParagraph"/>
        <w:numPr>
          <w:ilvl w:val="0"/>
          <w:numId w:val="2"/>
        </w:numPr>
        <w:spacing w:after="80"/>
      </w:pPr>
      <w:r>
        <w:rPr>
          <w:rFonts w:ascii="Arial" w:cs="Arial" w:eastAsia="Arial" w:hAnsi="Arial"/>
          <w:sz w:val="22"/>
          <w:szCs w:val="22"/>
        </w:rPr>
        <w:t xml:space="preserve">GAP — Not evidenced or outdated. Requires deliberate learning and/or real reps.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c>
          <w:tcPr>
            <w:tcW w:type="dxa" w:w="3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Skill / Capability Area</w:t>
            </w:r>
          </w:p>
        </w:tc>
        <w:tc>
          <w:tcPr>
            <w:tcW w:type="dxa" w:w="4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Alan's Current State</w:t>
            </w:r>
          </w:p>
        </w:tc>
        <w:tc>
          <w:tcPr>
            <w:tcW w:type="dxa" w:w="1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Gap Status</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1:1s &amp; Ongoing Feedback</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Done informally; coached EMs but not as direct line manager at scale.</w:t>
            </w:r>
          </w:p>
        </w:tc>
        <w:tc>
          <w:tcPr>
            <w:tcW w:type="dxa" w:w="1960"/>
            <w:tcBorders>
              <w:top w:val="single" w:color="C0C0C0" w:sz="4"/>
              <w:left w:val="single" w:color="C0C0C0" w:sz="4"/>
              <w:bottom w:val="single" w:color="C0C0C0" w:sz="4"/>
              <w:right w:val="single" w:color="C0C0C0" w:sz="4"/>
            </w:tcBorders>
            <w:shd w:fill="FFF3CD" w:val="clear"/>
            <w:tcMar>
              <w:top w:type="dxa" w:w="80"/>
              <w:left w:type="dxa" w:w="120"/>
              <w:bottom w:type="dxa" w:w="80"/>
              <w:right w:type="dxa" w:w="120"/>
            </w:tcMar>
            <w:vAlign w:val="center"/>
          </w:tcPr>
          <w:p>
            <w:pPr>
              <w:spacing w:after="0"/>
              <w:jc w:val="center"/>
            </w:pPr>
            <w:r>
              <w:rPr>
                <w:rFonts w:ascii="Arial" w:cs="Arial" w:eastAsia="Arial" w:hAnsi="Arial"/>
                <w:b/>
                <w:bCs/>
                <w:color w:val="7B5E00"/>
                <w:sz w:val="20"/>
                <w:szCs w:val="20"/>
              </w:rPr>
              <w:t xml:space="preserve">PARTIAL</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Performance Reviews (formal)</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Not evidenced as formal EM accountability with structured frameworks.</w:t>
            </w:r>
          </w:p>
        </w:tc>
        <w:tc>
          <w:tcPr>
            <w:tcW w:type="dxa" w:w="1960"/>
            <w:tcBorders>
              <w:top w:val="single" w:color="C0C0C0" w:sz="4"/>
              <w:left w:val="single" w:color="C0C0C0" w:sz="4"/>
              <w:bottom w:val="single" w:color="C0C0C0" w:sz="4"/>
              <w:right w:val="single" w:color="C0C0C0" w:sz="4"/>
            </w:tcBorders>
            <w:shd w:fill="FADBD8" w:val="clear"/>
            <w:tcMar>
              <w:top w:type="dxa" w:w="80"/>
              <w:left w:type="dxa" w:w="120"/>
              <w:bottom w:type="dxa" w:w="80"/>
              <w:right w:type="dxa" w:w="120"/>
            </w:tcMar>
            <w:vAlign w:val="center"/>
          </w:tcPr>
          <w:p>
            <w:pPr>
              <w:spacing w:after="0"/>
              <w:jc w:val="center"/>
            </w:pPr>
            <w:r>
              <w:rPr>
                <w:rFonts w:ascii="Arial" w:cs="Arial" w:eastAsia="Arial" w:hAnsi="Arial"/>
                <w:b/>
                <w:bCs/>
                <w:color w:val="7B1A1A"/>
                <w:sz w:val="20"/>
                <w:szCs w:val="20"/>
              </w:rPr>
              <w:t xml:space="preserve">GAP</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PIPs &amp; Difficult Conversations</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No evidenced experience with formal PIPs or structured underperformance management.</w:t>
            </w:r>
          </w:p>
        </w:tc>
        <w:tc>
          <w:tcPr>
            <w:tcW w:type="dxa" w:w="1960"/>
            <w:tcBorders>
              <w:top w:val="single" w:color="C0C0C0" w:sz="4"/>
              <w:left w:val="single" w:color="C0C0C0" w:sz="4"/>
              <w:bottom w:val="single" w:color="C0C0C0" w:sz="4"/>
              <w:right w:val="single" w:color="C0C0C0" w:sz="4"/>
            </w:tcBorders>
            <w:shd w:fill="FADBD8" w:val="clear"/>
            <w:tcMar>
              <w:top w:type="dxa" w:w="80"/>
              <w:left w:type="dxa" w:w="120"/>
              <w:bottom w:type="dxa" w:w="80"/>
              <w:right w:type="dxa" w:w="120"/>
            </w:tcMar>
            <w:vAlign w:val="center"/>
          </w:tcPr>
          <w:p>
            <w:pPr>
              <w:spacing w:after="0"/>
              <w:jc w:val="center"/>
            </w:pPr>
            <w:r>
              <w:rPr>
                <w:rFonts w:ascii="Arial" w:cs="Arial" w:eastAsia="Arial" w:hAnsi="Arial"/>
                <w:b/>
                <w:bCs/>
                <w:color w:val="7B1A1A"/>
                <w:sz w:val="20"/>
                <w:szCs w:val="20"/>
              </w:rPr>
              <w:t xml:space="preserve">GAP</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Hiring (EM loop design)</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Involved in hiring but not as primary EM designing structured interview loops.</w:t>
            </w:r>
          </w:p>
        </w:tc>
        <w:tc>
          <w:tcPr>
            <w:tcW w:type="dxa" w:w="1960"/>
            <w:tcBorders>
              <w:top w:val="single" w:color="C0C0C0" w:sz="4"/>
              <w:left w:val="single" w:color="C0C0C0" w:sz="4"/>
              <w:bottom w:val="single" w:color="C0C0C0" w:sz="4"/>
              <w:right w:val="single" w:color="C0C0C0" w:sz="4"/>
            </w:tcBorders>
            <w:shd w:fill="FFF3CD" w:val="clear"/>
            <w:tcMar>
              <w:top w:type="dxa" w:w="80"/>
              <w:left w:type="dxa" w:w="120"/>
              <w:bottom w:type="dxa" w:w="80"/>
              <w:right w:type="dxa" w:w="120"/>
            </w:tcMar>
            <w:vAlign w:val="center"/>
          </w:tcPr>
          <w:p>
            <w:pPr>
              <w:spacing w:after="0"/>
              <w:jc w:val="center"/>
            </w:pPr>
            <w:r>
              <w:rPr>
                <w:rFonts w:ascii="Arial" w:cs="Arial" w:eastAsia="Arial" w:hAnsi="Arial"/>
                <w:b/>
                <w:bCs/>
                <w:color w:val="7B5E00"/>
                <w:sz w:val="20"/>
                <w:szCs w:val="20"/>
              </w:rPr>
              <w:t xml:space="preserve">PARTIAL</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Career Frameworks &amp; Promotion</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No evidence of navigating formal engineering career ladders/calibration.</w:t>
            </w:r>
          </w:p>
        </w:tc>
        <w:tc>
          <w:tcPr>
            <w:tcW w:type="dxa" w:w="1960"/>
            <w:tcBorders>
              <w:top w:val="single" w:color="C0C0C0" w:sz="4"/>
              <w:left w:val="single" w:color="C0C0C0" w:sz="4"/>
              <w:bottom w:val="single" w:color="C0C0C0" w:sz="4"/>
              <w:right w:val="single" w:color="C0C0C0" w:sz="4"/>
            </w:tcBorders>
            <w:shd w:fill="FADBD8" w:val="clear"/>
            <w:tcMar>
              <w:top w:type="dxa" w:w="80"/>
              <w:left w:type="dxa" w:w="120"/>
              <w:bottom w:type="dxa" w:w="80"/>
              <w:right w:type="dxa" w:w="120"/>
            </w:tcMar>
            <w:vAlign w:val="center"/>
          </w:tcPr>
          <w:p>
            <w:pPr>
              <w:spacing w:after="0"/>
              <w:jc w:val="center"/>
            </w:pPr>
            <w:r>
              <w:rPr>
                <w:rFonts w:ascii="Arial" w:cs="Arial" w:eastAsia="Arial" w:hAnsi="Arial"/>
                <w:b/>
                <w:bCs/>
                <w:color w:val="7B1A1A"/>
                <w:sz w:val="20"/>
                <w:szCs w:val="20"/>
              </w:rPr>
              <w:t xml:space="preserve">GAP</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Compensation Discussions</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Not evidenced.</w:t>
            </w:r>
          </w:p>
        </w:tc>
        <w:tc>
          <w:tcPr>
            <w:tcW w:type="dxa" w:w="1960"/>
            <w:tcBorders>
              <w:top w:val="single" w:color="C0C0C0" w:sz="4"/>
              <w:left w:val="single" w:color="C0C0C0" w:sz="4"/>
              <w:bottom w:val="single" w:color="C0C0C0" w:sz="4"/>
              <w:right w:val="single" w:color="C0C0C0" w:sz="4"/>
            </w:tcBorders>
            <w:shd w:fill="FADBD8" w:val="clear"/>
            <w:tcMar>
              <w:top w:type="dxa" w:w="80"/>
              <w:left w:type="dxa" w:w="120"/>
              <w:bottom w:type="dxa" w:w="80"/>
              <w:right w:type="dxa" w:w="120"/>
            </w:tcMar>
            <w:vAlign w:val="center"/>
          </w:tcPr>
          <w:p>
            <w:pPr>
              <w:spacing w:after="0"/>
              <w:jc w:val="center"/>
            </w:pPr>
            <w:r>
              <w:rPr>
                <w:rFonts w:ascii="Arial" w:cs="Arial" w:eastAsia="Arial" w:hAnsi="Arial"/>
                <w:b/>
                <w:bCs/>
                <w:color w:val="7B1A1A"/>
                <w:sz w:val="20"/>
                <w:szCs w:val="20"/>
              </w:rPr>
              <w:t xml:space="preserve">GAP</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Team Health &amp; Culture</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Strong — working agreements, retrospectives, psychological safety clearly evidenced.</w:t>
            </w:r>
          </w:p>
        </w:tc>
        <w:tc>
          <w:tcPr>
            <w:tcW w:type="dxa" w:w="1960"/>
            <w:tcBorders>
              <w:top w:val="single" w:color="C0C0C0" w:sz="4"/>
              <w:left w:val="single" w:color="C0C0C0" w:sz="4"/>
              <w:bottom w:val="single" w:color="C0C0C0" w:sz="4"/>
              <w:right w:val="single" w:color="C0C0C0" w:sz="4"/>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D6B3A"/>
                <w:sz w:val="20"/>
                <w:szCs w:val="20"/>
              </w:rPr>
              <w:t xml:space="preserve">STRONG</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Coaching Engineers</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Strong — coached EMs and tech leads across 10+ teams at Xero.</w:t>
            </w:r>
          </w:p>
        </w:tc>
        <w:tc>
          <w:tcPr>
            <w:tcW w:type="dxa" w:w="1960"/>
            <w:tcBorders>
              <w:top w:val="single" w:color="C0C0C0" w:sz="4"/>
              <w:left w:val="single" w:color="C0C0C0" w:sz="4"/>
              <w:bottom w:val="single" w:color="C0C0C0" w:sz="4"/>
              <w:right w:val="single" w:color="C0C0C0" w:sz="4"/>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D6B3A"/>
                <w:sz w:val="20"/>
                <w:szCs w:val="20"/>
              </w:rPr>
              <w:t xml:space="preserve">STRONG</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Sprint Planning &amp; Roadmaps</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Expert. Core of career across all roles.</w:t>
            </w:r>
          </w:p>
        </w:tc>
        <w:tc>
          <w:tcPr>
            <w:tcW w:type="dxa" w:w="1960"/>
            <w:tcBorders>
              <w:top w:val="single" w:color="C0C0C0" w:sz="4"/>
              <w:left w:val="single" w:color="C0C0C0" w:sz="4"/>
              <w:bottom w:val="single" w:color="C0C0C0" w:sz="4"/>
              <w:right w:val="single" w:color="C0C0C0" w:sz="4"/>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D6B3A"/>
                <w:sz w:val="20"/>
                <w:szCs w:val="20"/>
              </w:rPr>
              <w:t xml:space="preserve">STRONG</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Release Management</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Expert. CI/CD introduced at 2sol; Xero API Program governance.</w:t>
            </w:r>
          </w:p>
        </w:tc>
        <w:tc>
          <w:tcPr>
            <w:tcW w:type="dxa" w:w="1960"/>
            <w:tcBorders>
              <w:top w:val="single" w:color="C0C0C0" w:sz="4"/>
              <w:left w:val="single" w:color="C0C0C0" w:sz="4"/>
              <w:bottom w:val="single" w:color="C0C0C0" w:sz="4"/>
              <w:right w:val="single" w:color="C0C0C0" w:sz="4"/>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D6B3A"/>
                <w:sz w:val="20"/>
                <w:szCs w:val="20"/>
              </w:rPr>
              <w:t xml:space="preserve">STRONG</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Incident Management</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Not evidenced as EM responsibility. On-call design, SLOs, post-mortems gap.</w:t>
            </w:r>
          </w:p>
        </w:tc>
        <w:tc>
          <w:tcPr>
            <w:tcW w:type="dxa" w:w="1960"/>
            <w:tcBorders>
              <w:top w:val="single" w:color="C0C0C0" w:sz="4"/>
              <w:left w:val="single" w:color="C0C0C0" w:sz="4"/>
              <w:bottom w:val="single" w:color="C0C0C0" w:sz="4"/>
              <w:right w:val="single" w:color="C0C0C0" w:sz="4"/>
            </w:tcBorders>
            <w:shd w:fill="FADBD8" w:val="clear"/>
            <w:tcMar>
              <w:top w:type="dxa" w:w="80"/>
              <w:left w:type="dxa" w:w="120"/>
              <w:bottom w:type="dxa" w:w="80"/>
              <w:right w:type="dxa" w:w="120"/>
            </w:tcMar>
            <w:vAlign w:val="center"/>
          </w:tcPr>
          <w:p>
            <w:pPr>
              <w:spacing w:after="0"/>
              <w:jc w:val="center"/>
            </w:pPr>
            <w:r>
              <w:rPr>
                <w:rFonts w:ascii="Arial" w:cs="Arial" w:eastAsia="Arial" w:hAnsi="Arial"/>
                <w:b/>
                <w:bCs/>
                <w:color w:val="7B1A1A"/>
                <w:sz w:val="20"/>
                <w:szCs w:val="20"/>
              </w:rPr>
              <w:t xml:space="preserve">GAP</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DORA Metrics</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Not explicitly evidenced. Delivery metrics used but DORA framework not named.</w:t>
            </w:r>
          </w:p>
        </w:tc>
        <w:tc>
          <w:tcPr>
            <w:tcW w:type="dxa" w:w="1960"/>
            <w:tcBorders>
              <w:top w:val="single" w:color="C0C0C0" w:sz="4"/>
              <w:left w:val="single" w:color="C0C0C0" w:sz="4"/>
              <w:bottom w:val="single" w:color="C0C0C0" w:sz="4"/>
              <w:right w:val="single" w:color="C0C0C0" w:sz="4"/>
            </w:tcBorders>
            <w:shd w:fill="FFF3CD" w:val="clear"/>
            <w:tcMar>
              <w:top w:type="dxa" w:w="80"/>
              <w:left w:type="dxa" w:w="120"/>
              <w:bottom w:type="dxa" w:w="80"/>
              <w:right w:type="dxa" w:w="120"/>
            </w:tcMar>
            <w:vAlign w:val="center"/>
          </w:tcPr>
          <w:p>
            <w:pPr>
              <w:spacing w:after="0"/>
              <w:jc w:val="center"/>
            </w:pPr>
            <w:r>
              <w:rPr>
                <w:rFonts w:ascii="Arial" w:cs="Arial" w:eastAsia="Arial" w:hAnsi="Arial"/>
                <w:b/>
                <w:bCs/>
                <w:color w:val="7B5E00"/>
                <w:sz w:val="20"/>
                <w:szCs w:val="20"/>
              </w:rPr>
              <w:t xml:space="preserve">PARTIAL</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Process Improvement</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Expert. Core differentiator across all roles.</w:t>
            </w:r>
          </w:p>
        </w:tc>
        <w:tc>
          <w:tcPr>
            <w:tcW w:type="dxa" w:w="1960"/>
            <w:tcBorders>
              <w:top w:val="single" w:color="C0C0C0" w:sz="4"/>
              <w:left w:val="single" w:color="C0C0C0" w:sz="4"/>
              <w:bottom w:val="single" w:color="C0C0C0" w:sz="4"/>
              <w:right w:val="single" w:color="C0C0C0" w:sz="4"/>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D6B3A"/>
                <w:sz w:val="20"/>
                <w:szCs w:val="20"/>
              </w:rPr>
              <w:t xml:space="preserve">STRONG</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Technical Strategy (team level)</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Good conceptual foundation from TPM/architect background. Not recent hands-on.</w:t>
            </w:r>
          </w:p>
        </w:tc>
        <w:tc>
          <w:tcPr>
            <w:tcW w:type="dxa" w:w="1960"/>
            <w:tcBorders>
              <w:top w:val="single" w:color="C0C0C0" w:sz="4"/>
              <w:left w:val="single" w:color="C0C0C0" w:sz="4"/>
              <w:bottom w:val="single" w:color="C0C0C0" w:sz="4"/>
              <w:right w:val="single" w:color="C0C0C0" w:sz="4"/>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D6B3A"/>
                <w:sz w:val="20"/>
                <w:szCs w:val="20"/>
              </w:rPr>
              <w:t xml:space="preserve">GOOD</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Architecture Decision Support</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Systems architect background (2006–2012). Engaged on Supergraph design at Xero.</w:t>
            </w:r>
          </w:p>
        </w:tc>
        <w:tc>
          <w:tcPr>
            <w:tcW w:type="dxa" w:w="1960"/>
            <w:tcBorders>
              <w:top w:val="single" w:color="C0C0C0" w:sz="4"/>
              <w:left w:val="single" w:color="C0C0C0" w:sz="4"/>
              <w:bottom w:val="single" w:color="C0C0C0" w:sz="4"/>
              <w:right w:val="single" w:color="C0C0C0" w:sz="4"/>
            </w:tcBorders>
            <w:shd w:fill="FFF3CD" w:val="clear"/>
            <w:tcMar>
              <w:top w:type="dxa" w:w="80"/>
              <w:left w:type="dxa" w:w="120"/>
              <w:bottom w:type="dxa" w:w="80"/>
              <w:right w:type="dxa" w:w="120"/>
            </w:tcMar>
            <w:vAlign w:val="center"/>
          </w:tcPr>
          <w:p>
            <w:pPr>
              <w:spacing w:after="0"/>
              <w:jc w:val="center"/>
            </w:pPr>
            <w:r>
              <w:rPr>
                <w:rFonts w:ascii="Arial" w:cs="Arial" w:eastAsia="Arial" w:hAnsi="Arial"/>
                <w:b/>
                <w:bCs/>
                <w:color w:val="7B5E00"/>
                <w:sz w:val="20"/>
                <w:szCs w:val="20"/>
              </w:rPr>
              <w:t xml:space="preserve">PARTIAL</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Cloud Platform (AWS/Azure/GCP)</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No named platform experience. 'Experienced in cloud-based systems' only.</w:t>
            </w:r>
          </w:p>
        </w:tc>
        <w:tc>
          <w:tcPr>
            <w:tcW w:type="dxa" w:w="1960"/>
            <w:tcBorders>
              <w:top w:val="single" w:color="C0C0C0" w:sz="4"/>
              <w:left w:val="single" w:color="C0C0C0" w:sz="4"/>
              <w:bottom w:val="single" w:color="C0C0C0" w:sz="4"/>
              <w:right w:val="single" w:color="C0C0C0" w:sz="4"/>
            </w:tcBorders>
            <w:shd w:fill="FADBD8" w:val="clear"/>
            <w:tcMar>
              <w:top w:type="dxa" w:w="80"/>
              <w:left w:type="dxa" w:w="120"/>
              <w:bottom w:type="dxa" w:w="80"/>
              <w:right w:type="dxa" w:w="120"/>
            </w:tcMar>
            <w:vAlign w:val="center"/>
          </w:tcPr>
          <w:p>
            <w:pPr>
              <w:spacing w:after="0"/>
              <w:jc w:val="center"/>
            </w:pPr>
            <w:r>
              <w:rPr>
                <w:rFonts w:ascii="Arial" w:cs="Arial" w:eastAsia="Arial" w:hAnsi="Arial"/>
                <w:b/>
                <w:bCs/>
                <w:color w:val="7B1A1A"/>
                <w:sz w:val="20"/>
                <w:szCs w:val="20"/>
              </w:rPr>
              <w:t xml:space="preserve">GAP</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Technical Debt Management</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Introduced at 2sol. Not evidenced as explicit EM responsibility recently.</w:t>
            </w:r>
          </w:p>
        </w:tc>
        <w:tc>
          <w:tcPr>
            <w:tcW w:type="dxa" w:w="1960"/>
            <w:tcBorders>
              <w:top w:val="single" w:color="C0C0C0" w:sz="4"/>
              <w:left w:val="single" w:color="C0C0C0" w:sz="4"/>
              <w:bottom w:val="single" w:color="C0C0C0" w:sz="4"/>
              <w:right w:val="single" w:color="C0C0C0" w:sz="4"/>
            </w:tcBorders>
            <w:shd w:fill="FFF3CD" w:val="clear"/>
            <w:tcMar>
              <w:top w:type="dxa" w:w="80"/>
              <w:left w:type="dxa" w:w="120"/>
              <w:bottom w:type="dxa" w:w="80"/>
              <w:right w:type="dxa" w:w="120"/>
            </w:tcMar>
            <w:vAlign w:val="center"/>
          </w:tcPr>
          <w:p>
            <w:pPr>
              <w:spacing w:after="0"/>
              <w:jc w:val="center"/>
            </w:pPr>
            <w:r>
              <w:rPr>
                <w:rFonts w:ascii="Arial" w:cs="Arial" w:eastAsia="Arial" w:hAnsi="Arial"/>
                <w:b/>
                <w:bCs/>
                <w:color w:val="7B5E00"/>
                <w:sz w:val="20"/>
                <w:szCs w:val="20"/>
              </w:rPr>
              <w:t xml:space="preserve">PARTIAL</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Developer Experience / CI/CD</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Introduced CI/CD at 2sol. Not evidenced in recent roles.</w:t>
            </w:r>
          </w:p>
        </w:tc>
        <w:tc>
          <w:tcPr>
            <w:tcW w:type="dxa" w:w="1960"/>
            <w:tcBorders>
              <w:top w:val="single" w:color="C0C0C0" w:sz="4"/>
              <w:left w:val="single" w:color="C0C0C0" w:sz="4"/>
              <w:bottom w:val="single" w:color="C0C0C0" w:sz="4"/>
              <w:right w:val="single" w:color="C0C0C0" w:sz="4"/>
            </w:tcBorders>
            <w:shd w:fill="FFF3CD" w:val="clear"/>
            <w:tcMar>
              <w:top w:type="dxa" w:w="80"/>
              <w:left w:type="dxa" w:w="120"/>
              <w:bottom w:type="dxa" w:w="80"/>
              <w:right w:type="dxa" w:w="120"/>
            </w:tcMar>
            <w:vAlign w:val="center"/>
          </w:tcPr>
          <w:p>
            <w:pPr>
              <w:spacing w:after="0"/>
              <w:jc w:val="center"/>
            </w:pPr>
            <w:r>
              <w:rPr>
                <w:rFonts w:ascii="Arial" w:cs="Arial" w:eastAsia="Arial" w:hAnsi="Arial"/>
                <w:b/>
                <w:bCs/>
                <w:color w:val="7B5E00"/>
                <w:sz w:val="20"/>
                <w:szCs w:val="20"/>
              </w:rPr>
              <w:t xml:space="preserve">PARTIAL</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AI-Augmented Team Management</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AI product/program experience strong. AI coding tools / team management dimension emerging.</w:t>
            </w:r>
          </w:p>
        </w:tc>
        <w:tc>
          <w:tcPr>
            <w:tcW w:type="dxa" w:w="1960"/>
            <w:tcBorders>
              <w:top w:val="single" w:color="C0C0C0" w:sz="4"/>
              <w:left w:val="single" w:color="C0C0C0" w:sz="4"/>
              <w:bottom w:val="single" w:color="C0C0C0" w:sz="4"/>
              <w:right w:val="single" w:color="C0C0C0" w:sz="4"/>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D6B3A"/>
                <w:sz w:val="20"/>
                <w:szCs w:val="20"/>
              </w:rPr>
              <w:t xml:space="preserve">GOOD</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Modern Tech Literacy (stack)</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Engineering background dated (2006–2012). No named modern stack (React/TypeScript/Go).</w:t>
            </w:r>
          </w:p>
        </w:tc>
        <w:tc>
          <w:tcPr>
            <w:tcW w:type="dxa" w:w="1960"/>
            <w:tcBorders>
              <w:top w:val="single" w:color="C0C0C0" w:sz="4"/>
              <w:left w:val="single" w:color="C0C0C0" w:sz="4"/>
              <w:bottom w:val="single" w:color="C0C0C0" w:sz="4"/>
              <w:right w:val="single" w:color="C0C0C0" w:sz="4"/>
            </w:tcBorders>
            <w:shd w:fill="FADBD8" w:val="clear"/>
            <w:tcMar>
              <w:top w:type="dxa" w:w="80"/>
              <w:left w:type="dxa" w:w="120"/>
              <w:bottom w:type="dxa" w:w="80"/>
              <w:right w:type="dxa" w:w="120"/>
            </w:tcMar>
            <w:vAlign w:val="center"/>
          </w:tcPr>
          <w:p>
            <w:pPr>
              <w:spacing w:after="0"/>
              <w:jc w:val="center"/>
            </w:pPr>
            <w:r>
              <w:rPr>
                <w:rFonts w:ascii="Arial" w:cs="Arial" w:eastAsia="Arial" w:hAnsi="Arial"/>
                <w:b/>
                <w:bCs/>
                <w:color w:val="7B1A1A"/>
                <w:sz w:val="20"/>
                <w:szCs w:val="20"/>
              </w:rPr>
              <w:t xml:space="preserve">GAP</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OKR Setting &amp; Management</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Not explicitly evidenced. Delivery metrics and roadmaps strong but not OKR framing.</w:t>
            </w:r>
          </w:p>
        </w:tc>
        <w:tc>
          <w:tcPr>
            <w:tcW w:type="dxa" w:w="1960"/>
            <w:tcBorders>
              <w:top w:val="single" w:color="C0C0C0" w:sz="4"/>
              <w:left w:val="single" w:color="C0C0C0" w:sz="4"/>
              <w:bottom w:val="single" w:color="C0C0C0" w:sz="4"/>
              <w:right w:val="single" w:color="C0C0C0" w:sz="4"/>
            </w:tcBorders>
            <w:shd w:fill="FFF3CD" w:val="clear"/>
            <w:tcMar>
              <w:top w:type="dxa" w:w="80"/>
              <w:left w:type="dxa" w:w="120"/>
              <w:bottom w:type="dxa" w:w="80"/>
              <w:right w:type="dxa" w:w="120"/>
            </w:tcMar>
            <w:vAlign w:val="center"/>
          </w:tcPr>
          <w:p>
            <w:pPr>
              <w:spacing w:after="0"/>
              <w:jc w:val="center"/>
            </w:pPr>
            <w:r>
              <w:rPr>
                <w:rFonts w:ascii="Arial" w:cs="Arial" w:eastAsia="Arial" w:hAnsi="Arial"/>
                <w:b/>
                <w:bCs/>
                <w:color w:val="7B5E00"/>
                <w:sz w:val="20"/>
                <w:szCs w:val="20"/>
              </w:rPr>
              <w:t xml:space="preserve">PARTIAL</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Budget / Headcount Planning</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Not evidenced as direct accountability.</w:t>
            </w:r>
          </w:p>
        </w:tc>
        <w:tc>
          <w:tcPr>
            <w:tcW w:type="dxa" w:w="1960"/>
            <w:tcBorders>
              <w:top w:val="single" w:color="C0C0C0" w:sz="4"/>
              <w:left w:val="single" w:color="C0C0C0" w:sz="4"/>
              <w:bottom w:val="single" w:color="C0C0C0" w:sz="4"/>
              <w:right w:val="single" w:color="C0C0C0" w:sz="4"/>
            </w:tcBorders>
            <w:shd w:fill="FADBD8" w:val="clear"/>
            <w:tcMar>
              <w:top w:type="dxa" w:w="80"/>
              <w:left w:type="dxa" w:w="120"/>
              <w:bottom w:type="dxa" w:w="80"/>
              <w:right w:type="dxa" w:w="120"/>
            </w:tcMar>
            <w:vAlign w:val="center"/>
          </w:tcPr>
          <w:p>
            <w:pPr>
              <w:spacing w:after="0"/>
              <w:jc w:val="center"/>
            </w:pPr>
            <w:r>
              <w:rPr>
                <w:rFonts w:ascii="Arial" w:cs="Arial" w:eastAsia="Arial" w:hAnsi="Arial"/>
                <w:b/>
                <w:bCs/>
                <w:color w:val="7B1A1A"/>
                <w:sz w:val="20"/>
                <w:szCs w:val="20"/>
              </w:rPr>
              <w:t xml:space="preserve">GAP</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Stakeholder &amp; Exec Comms</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Expert. EGM-level at Xero. Major advantage.</w:t>
            </w:r>
          </w:p>
        </w:tc>
        <w:tc>
          <w:tcPr>
            <w:tcW w:type="dxa" w:w="1960"/>
            <w:tcBorders>
              <w:top w:val="single" w:color="C0C0C0" w:sz="4"/>
              <w:left w:val="single" w:color="C0C0C0" w:sz="4"/>
              <w:bottom w:val="single" w:color="C0C0C0" w:sz="4"/>
              <w:right w:val="single" w:color="C0C0C0" w:sz="4"/>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D6B3A"/>
                <w:sz w:val="20"/>
                <w:szCs w:val="20"/>
              </w:rPr>
              <w:t xml:space="preserve">STRONG</w:t>
            </w:r>
          </w:p>
        </w:tc>
      </w:tr>
      <w:tr>
        <w:tc>
          <w:tcPr>
            <w:tcW w:type="dxa" w:w="3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Cross-Team Coordination</w:t>
            </w:r>
          </w:p>
        </w:tc>
        <w:tc>
          <w:tcPr>
            <w:tcW w:type="dxa" w:w="4200"/>
            <w:tcBorders>
              <w:top w:val="single" w:color="C0C0C0" w:sz="4"/>
              <w:left w:val="single" w:color="C0C0C0" w:sz="4"/>
              <w:bottom w:val="single" w:color="C0C0C0" w:sz="4"/>
              <w:right w:val="single" w:color="C0C0C0" w:sz="4"/>
            </w:tcBorders>
            <w:tcMar>
              <w:top w:type="dxa" w:w="80"/>
              <w:left w:type="dxa" w:w="120"/>
              <w:bottom w:type="dxa" w:w="80"/>
              <w:right w:type="dxa" w:w="120"/>
            </w:tcMar>
            <w:vAlign w:val="center"/>
          </w:tcPr>
          <w:p>
            <w:pPr>
              <w:spacing w:after="0"/>
            </w:pPr>
            <w:r>
              <w:rPr>
                <w:rFonts w:ascii="Arial" w:cs="Arial" w:eastAsia="Arial" w:hAnsi="Arial"/>
                <w:sz w:val="20"/>
                <w:szCs w:val="20"/>
              </w:rPr>
              <w:t xml:space="preserve">Expert. API Program = dozens of teams. Core strength.</w:t>
            </w:r>
          </w:p>
        </w:tc>
        <w:tc>
          <w:tcPr>
            <w:tcW w:type="dxa" w:w="1960"/>
            <w:tcBorders>
              <w:top w:val="single" w:color="C0C0C0" w:sz="4"/>
              <w:left w:val="single" w:color="C0C0C0" w:sz="4"/>
              <w:bottom w:val="single" w:color="C0C0C0" w:sz="4"/>
              <w:right w:val="single" w:color="C0C0C0" w:sz="4"/>
            </w:tcBorders>
            <w:shd w:fill="D4EDDA" w:val="clear"/>
            <w:tcMar>
              <w:top w:type="dxa" w:w="80"/>
              <w:left w:type="dxa" w:w="120"/>
              <w:bottom w:type="dxa" w:w="80"/>
              <w:right w:type="dxa" w:w="120"/>
            </w:tcMar>
            <w:vAlign w:val="center"/>
          </w:tcPr>
          <w:p>
            <w:pPr>
              <w:spacing w:after="0"/>
              <w:jc w:val="center"/>
            </w:pPr>
            <w:r>
              <w:rPr>
                <w:rFonts w:ascii="Arial" w:cs="Arial" w:eastAsia="Arial" w:hAnsi="Arial"/>
                <w:b/>
                <w:bCs/>
                <w:color w:val="1D6B3A"/>
                <w:sz w:val="20"/>
                <w:szCs w:val="20"/>
              </w:rPr>
              <w:t xml:space="preserve">STRONG</w:t>
            </w:r>
          </w:p>
        </w:tc>
      </w:tr>
    </w:tbl>
    <w:p>
      <w:pPr>
        <w:spacing w:after="160"/>
      </w:pPr>
    </w:p>
    <w:p>
      <w:r>
        <w:br w:type="page"/>
      </w:r>
    </w:p>
    <w:p>
      <w:pPr>
        <w:pStyle w:val="Heading1"/>
      </w:pPr>
      <w:r>
        <w:rPr>
          <w:rFonts w:ascii="Arial" w:cs="Arial" w:eastAsia="Arial" w:hAnsi="Arial"/>
          <w:b/>
          <w:bCs/>
          <w:color w:val="1F3864"/>
          <w:sz w:val="32"/>
          <w:szCs w:val="32"/>
        </w:rPr>
        <w:t xml:space="preserve">4. Critical Gaps — Deep Dive</w:t>
      </w:r>
    </w:p>
    <w:p>
      <w:pPr>
        <w:spacing w:after="120"/>
      </w:pPr>
      <w:r>
        <w:rPr>
          <w:rFonts w:ascii="Arial" w:cs="Arial" w:eastAsia="Arial" w:hAnsi="Arial"/>
          <w:sz w:val="22"/>
          <w:szCs w:val="22"/>
        </w:rPr>
        <w:t xml:space="preserve">This section explains the most important gaps and why they matter for Alan's transition.</w:t>
      </w:r>
    </w:p>
    <w:p>
      <w:pPr>
        <w:spacing w:after="160"/>
      </w:pPr>
    </w:p>
    <w:p>
      <w:pPr>
        <w:pStyle w:val="Heading2"/>
      </w:pPr>
      <w:r>
        <w:rPr>
          <w:rFonts w:ascii="Arial" w:cs="Arial" w:eastAsia="Arial" w:hAnsi="Arial"/>
          <w:b/>
          <w:bCs/>
          <w:color w:val="2E5FA3"/>
          <w:sz w:val="26"/>
          <w:szCs w:val="26"/>
        </w:rPr>
        <w:t xml:space="preserve">4.1 Formal People Management Mechanics</w:t>
      </w:r>
    </w:p>
    <w:p>
      <w:pPr>
        <w:spacing w:after="120"/>
      </w:pPr>
      <w:r>
        <w:rPr>
          <w:rFonts w:ascii="Arial" w:cs="Arial" w:eastAsia="Arial" w:hAnsi="Arial"/>
          <w:sz w:val="22"/>
          <w:szCs w:val="22"/>
        </w:rPr>
        <w:t xml:space="preserve">This is the single biggest gap. The difference between Alan's current role and an Engineering Manager is not whether he can lead people — he clearly can — but whether he has operated with formal HR accountability: structured performance reviews tied to engineering career frameworks, calibration with peer managers, PIPs for underperformers, compensation conversations, and the paperwork trail that comes with all of it.</w:t>
      </w:r>
    </w:p>
    <w:p>
      <w:pPr>
        <w:spacing w:after="160"/>
      </w:pPr>
    </w:p>
    <w:p>
      <w:pPr>
        <w:spacing w:after="120"/>
      </w:pPr>
      <w:r>
        <w:rPr>
          <w:rFonts w:ascii="Arial" w:cs="Arial" w:eastAsia="Arial" w:hAnsi="Arial"/>
          <w:sz w:val="22"/>
          <w:szCs w:val="22"/>
        </w:rPr>
        <w:t xml:space="preserve">Why it matters: Hiring managers at software companies will probe this directly in interviews. They will ask for specific examples of PIPs you have run, promotions you have advocated for, difficult conversations about performance gaps. 'I coached an EM on this' is not the same answer as 'I ran this process myself.'</w:t>
      </w:r>
    </w:p>
    <w:p>
      <w:pPr>
        <w:spacing w:after="160"/>
      </w:pPr>
    </w:p>
    <w:p>
      <w:pPr>
        <w:spacing w:after="120"/>
      </w:pPr>
      <w:r>
        <w:rPr>
          <w:rFonts w:ascii="Arial" w:cs="Arial" w:eastAsia="Arial" w:hAnsi="Arial"/>
          <w:sz w:val="22"/>
          <w:szCs w:val="22"/>
        </w:rPr>
        <w:t xml:space="preserve">Bridging options:</w:t>
      </w:r>
    </w:p>
    <w:p>
      <w:pPr>
        <w:pStyle w:val="ListParagraph"/>
        <w:numPr>
          <w:ilvl w:val="0"/>
          <w:numId w:val="2"/>
        </w:numPr>
        <w:spacing w:after="80"/>
      </w:pPr>
      <w:r>
        <w:rPr>
          <w:rFonts w:ascii="Arial" w:cs="Arial" w:eastAsia="Arial" w:hAnsi="Arial"/>
          <w:sz w:val="22"/>
          <w:szCs w:val="22"/>
        </w:rPr>
        <w:t xml:space="preserve">Seek a formal EM title internally at Xero — there may be an opportunity to take on direct engineering reports alongside or following the API Program work.</w:t>
      </w:r>
    </w:p>
    <w:p>
      <w:pPr>
        <w:pStyle w:val="ListParagraph"/>
        <w:numPr>
          <w:ilvl w:val="0"/>
          <w:numId w:val="2"/>
        </w:numPr>
        <w:spacing w:after="80"/>
      </w:pPr>
      <w:r>
        <w:rPr>
          <w:rFonts w:ascii="Arial" w:cs="Arial" w:eastAsia="Arial" w:hAnsi="Arial"/>
          <w:sz w:val="22"/>
          <w:szCs w:val="22"/>
        </w:rPr>
        <w:t xml:space="preserve">Volunteer to co-own or shadow performance review cycles with an EM at Xero.</w:t>
      </w:r>
    </w:p>
    <w:p>
      <w:pPr>
        <w:pStyle w:val="ListParagraph"/>
        <w:numPr>
          <w:ilvl w:val="0"/>
          <w:numId w:val="2"/>
        </w:numPr>
        <w:spacing w:after="80"/>
      </w:pPr>
      <w:r>
        <w:rPr>
          <w:rFonts w:ascii="Arial" w:cs="Arial" w:eastAsia="Arial" w:hAnsi="Arial"/>
          <w:sz w:val="22"/>
          <w:szCs w:val="22"/>
        </w:rPr>
        <w:t xml:space="preserve">Study the mechanics: read The Manager's Path (Fournier), An Elegant Puzzle (Larson), and Radical Candor (Scott) specifically for the structured review and difficult conversation frameworks.</w:t>
      </w:r>
    </w:p>
    <w:p>
      <w:pPr>
        <w:pStyle w:val="ListParagraph"/>
        <w:numPr>
          <w:ilvl w:val="0"/>
          <w:numId w:val="2"/>
        </w:numPr>
        <w:spacing w:after="80"/>
      </w:pPr>
      <w:r>
        <w:rPr>
          <w:rFonts w:ascii="Arial" w:cs="Arial" w:eastAsia="Arial" w:hAnsi="Arial"/>
          <w:sz w:val="22"/>
          <w:szCs w:val="22"/>
        </w:rPr>
        <w:t xml:space="preserve">Practice the language in mock EM interviews — use the STAR format to tell the people-management stories you do have (Go1, intelliHR, 2sol) at the highest fidelity.</w:t>
      </w:r>
    </w:p>
    <w:p>
      <w:pPr>
        <w:spacing w:after="160"/>
      </w:pPr>
    </w:p>
    <w:p>
      <w:pPr>
        <w:pStyle w:val="Heading2"/>
      </w:pPr>
      <w:r>
        <w:rPr>
          <w:rFonts w:ascii="Arial" w:cs="Arial" w:eastAsia="Arial" w:hAnsi="Arial"/>
          <w:b/>
          <w:bCs/>
          <w:color w:val="2E5FA3"/>
          <w:sz w:val="26"/>
          <w:szCs w:val="26"/>
        </w:rPr>
        <w:t xml:space="preserve">4.2 Hiring Loop Design (as Primary EM)</w:t>
      </w:r>
    </w:p>
    <w:p>
      <w:pPr>
        <w:spacing w:after="120"/>
      </w:pPr>
      <w:r>
        <w:rPr>
          <w:rFonts w:ascii="Arial" w:cs="Arial" w:eastAsia="Arial" w:hAnsi="Arial"/>
          <w:sz w:val="22"/>
          <w:szCs w:val="22"/>
        </w:rPr>
        <w:t xml:space="preserve">Alan has been involved in hiring across his career. The gap is specifically: designing a structured interview loop, writing a hiring rubric, calibrating across a panel, making a final hiring decision, and closing a competitive candidate. These are mechanics most EMs learn by doing, not observing.</w:t>
      </w:r>
    </w:p>
    <w:p>
      <w:pPr>
        <w:spacing w:after="160"/>
      </w:pPr>
    </w:p>
    <w:p>
      <w:pPr>
        <w:spacing w:after="120"/>
      </w:pPr>
      <w:r>
        <w:rPr>
          <w:rFonts w:ascii="Arial" w:cs="Arial" w:eastAsia="Arial" w:hAnsi="Arial"/>
          <w:sz w:val="22"/>
          <w:szCs w:val="22"/>
        </w:rPr>
        <w:t xml:space="preserve">Bridging options:</w:t>
      </w:r>
    </w:p>
    <w:p>
      <w:pPr>
        <w:pStyle w:val="ListParagraph"/>
        <w:numPr>
          <w:ilvl w:val="0"/>
          <w:numId w:val="2"/>
        </w:numPr>
        <w:spacing w:after="80"/>
      </w:pPr>
      <w:r>
        <w:rPr>
          <w:rFonts w:ascii="Arial" w:cs="Arial" w:eastAsia="Arial" w:hAnsi="Arial"/>
          <w:sz w:val="22"/>
          <w:szCs w:val="22"/>
        </w:rPr>
        <w:t xml:space="preserve">Ask to be the primary hiring manager on the next engineering role at Xero, even informally.</w:t>
      </w:r>
    </w:p>
    <w:p>
      <w:pPr>
        <w:pStyle w:val="ListParagraph"/>
        <w:numPr>
          <w:ilvl w:val="0"/>
          <w:numId w:val="2"/>
        </w:numPr>
        <w:spacing w:after="80"/>
      </w:pPr>
      <w:r>
        <w:rPr>
          <w:rFonts w:ascii="Arial" w:cs="Arial" w:eastAsia="Arial" w:hAnsi="Arial"/>
          <w:sz w:val="22"/>
          <w:szCs w:val="22"/>
        </w:rPr>
        <w:t xml:space="preserve">Build a sample interview loop for a hypothetical role and have it reviewed by a peer EM.</w:t>
      </w:r>
    </w:p>
    <w:p>
      <w:pPr>
        <w:pStyle w:val="ListParagraph"/>
        <w:numPr>
          <w:ilvl w:val="0"/>
          <w:numId w:val="2"/>
        </w:numPr>
        <w:spacing w:after="80"/>
      </w:pPr>
      <w:r>
        <w:rPr>
          <w:rFonts w:ascii="Arial" w:cs="Arial" w:eastAsia="Arial" w:hAnsi="Arial"/>
          <w:sz w:val="22"/>
          <w:szCs w:val="22"/>
        </w:rPr>
        <w:t xml:space="preserve">Read the hiring chapter in An Elegant Puzzle or the Engineering Manager Tools guide for structured loop design.</w:t>
      </w:r>
    </w:p>
    <w:p>
      <w:pPr>
        <w:spacing w:after="160"/>
      </w:pPr>
    </w:p>
    <w:p>
      <w:pPr>
        <w:pStyle w:val="Heading2"/>
      </w:pPr>
      <w:r>
        <w:rPr>
          <w:rFonts w:ascii="Arial" w:cs="Arial" w:eastAsia="Arial" w:hAnsi="Arial"/>
          <w:b/>
          <w:bCs/>
          <w:color w:val="2E5FA3"/>
          <w:sz w:val="26"/>
          <w:szCs w:val="26"/>
        </w:rPr>
        <w:t xml:space="preserve">4.3 Cloud Platform Depth</w:t>
      </w:r>
    </w:p>
    <w:p>
      <w:pPr>
        <w:spacing w:after="120"/>
      </w:pPr>
      <w:r>
        <w:rPr>
          <w:rFonts w:ascii="Arial" w:cs="Arial" w:eastAsia="Arial" w:hAnsi="Arial"/>
          <w:sz w:val="22"/>
          <w:szCs w:val="22"/>
        </w:rPr>
        <w:t xml:space="preserve">Almost every software EM job description in Australia now lists AWS, Azure, or GCP familiarity as an expectation. Not hands-on infrastructure coding — but enough architectural literacy to: understand what the team's cloud spend covers, make informed decisions about build vs managed service, and evaluate architectural proposals from tech leads.</w:t>
      </w:r>
    </w:p>
    <w:p>
      <w:pPr>
        <w:spacing w:after="160"/>
      </w:pPr>
    </w:p>
    <w:p>
      <w:pPr>
        <w:spacing w:after="120"/>
      </w:pPr>
      <w:r>
        <w:rPr>
          <w:rFonts w:ascii="Arial" w:cs="Arial" w:eastAsia="Arial" w:hAnsi="Arial"/>
          <w:sz w:val="22"/>
          <w:szCs w:val="22"/>
        </w:rPr>
        <w:t xml:space="preserve">Alan's current listed evidence is 'cloud-based systems — Experienced' with no named platform. This is the easiest factual gap to close and should be prioritised before starting the job search seriously.</w:t>
      </w:r>
    </w:p>
    <w:p>
      <w:pPr>
        <w:spacing w:after="160"/>
      </w:pPr>
    </w:p>
    <w:p>
      <w:pPr>
        <w:spacing w:after="120"/>
      </w:pPr>
      <w:r>
        <w:rPr>
          <w:rFonts w:ascii="Arial" w:cs="Arial" w:eastAsia="Arial" w:hAnsi="Arial"/>
          <w:sz w:val="22"/>
          <w:szCs w:val="22"/>
        </w:rPr>
        <w:t xml:space="preserve">Bridging options:</w:t>
      </w:r>
    </w:p>
    <w:p>
      <w:pPr>
        <w:pStyle w:val="ListParagraph"/>
        <w:numPr>
          <w:ilvl w:val="0"/>
          <w:numId w:val="2"/>
        </w:numPr>
        <w:spacing w:after="80"/>
      </w:pPr>
      <w:r>
        <w:rPr>
          <w:rFonts w:ascii="Arial" w:cs="Arial" w:eastAsia="Arial" w:hAnsi="Arial"/>
          <w:sz w:val="22"/>
          <w:szCs w:val="22"/>
        </w:rPr>
        <w:t xml:space="preserve">AWS Certified Cloud Practitioner (CLF-C02) — 10–15 hours of study, online exam. Gives named credential and conceptual foundation.</w:t>
      </w:r>
    </w:p>
    <w:p>
      <w:pPr>
        <w:pStyle w:val="ListParagraph"/>
        <w:numPr>
          <w:ilvl w:val="0"/>
          <w:numId w:val="2"/>
        </w:numPr>
        <w:spacing w:after="80"/>
      </w:pPr>
      <w:r>
        <w:rPr>
          <w:rFonts w:ascii="Arial" w:cs="Arial" w:eastAsia="Arial" w:hAnsi="Arial"/>
          <w:sz w:val="22"/>
          <w:szCs w:val="22"/>
        </w:rPr>
        <w:t xml:space="preserve">AWS Solutions Architect Associate (SAA-C03) — more substantial (40–60 hrs) but signals architectural literacy. Strongly recommended if time allows.</w:t>
      </w:r>
    </w:p>
    <w:p>
      <w:pPr>
        <w:pStyle w:val="ListParagraph"/>
        <w:numPr>
          <w:ilvl w:val="0"/>
          <w:numId w:val="2"/>
        </w:numPr>
        <w:spacing w:after="80"/>
      </w:pPr>
      <w:r>
        <w:rPr>
          <w:rFonts w:ascii="Arial" w:cs="Arial" w:eastAsia="Arial" w:hAnsi="Arial"/>
          <w:sz w:val="22"/>
          <w:szCs w:val="22"/>
        </w:rPr>
        <w:t xml:space="preserve">At Xero: engage with the cloud architecture of the API Program. Ask the platform team to walk you through the infrastructure. Document what you learn.</w:t>
      </w:r>
    </w:p>
    <w:p>
      <w:pPr>
        <w:spacing w:after="160"/>
      </w:pPr>
    </w:p>
    <w:p>
      <w:pPr>
        <w:pStyle w:val="Heading2"/>
      </w:pPr>
      <w:r>
        <w:rPr>
          <w:rFonts w:ascii="Arial" w:cs="Arial" w:eastAsia="Arial" w:hAnsi="Arial"/>
          <w:b/>
          <w:bCs/>
          <w:color w:val="2E5FA3"/>
          <w:sz w:val="26"/>
          <w:szCs w:val="26"/>
        </w:rPr>
        <w:t xml:space="preserve">4.4 Incident Management &amp; Reliability Engineering</w:t>
      </w:r>
    </w:p>
    <w:p>
      <w:pPr>
        <w:spacing w:after="120"/>
      </w:pPr>
      <w:r>
        <w:rPr>
          <w:rFonts w:ascii="Arial" w:cs="Arial" w:eastAsia="Arial" w:hAnsi="Arial"/>
          <w:sz w:val="22"/>
          <w:szCs w:val="22"/>
        </w:rPr>
        <w:t xml:space="preserve">EMs own the team's on-call health. This includes: maintaining runbooks, defining on-call rotations, running blameless post-mortems, tracking SLOs, and ensuring incidents lead to systemic improvements. Alan has no explicit evidence in this area — it is simply not part of his TPM scope.</w:t>
      </w:r>
    </w:p>
    <w:p>
      <w:pPr>
        <w:spacing w:after="160"/>
      </w:pPr>
    </w:p>
    <w:p>
      <w:pPr>
        <w:spacing w:after="120"/>
      </w:pPr>
      <w:r>
        <w:rPr>
          <w:rFonts w:ascii="Arial" w:cs="Arial" w:eastAsia="Arial" w:hAnsi="Arial"/>
          <w:sz w:val="22"/>
          <w:szCs w:val="22"/>
        </w:rPr>
        <w:t xml:space="preserve">Bridging options:</w:t>
      </w:r>
    </w:p>
    <w:p>
      <w:pPr>
        <w:pStyle w:val="ListParagraph"/>
        <w:numPr>
          <w:ilvl w:val="0"/>
          <w:numId w:val="2"/>
        </w:numPr>
        <w:spacing w:after="80"/>
      </w:pPr>
      <w:r>
        <w:rPr>
          <w:rFonts w:ascii="Arial" w:cs="Arial" w:eastAsia="Arial" w:hAnsi="Arial"/>
          <w:sz w:val="22"/>
          <w:szCs w:val="22"/>
        </w:rPr>
        <w:t xml:space="preserve">Read the Google SRE Book (free online) — particularly the chapters on SLOs, incident response, and blameless post-mortems.</w:t>
      </w:r>
    </w:p>
    <w:p>
      <w:pPr>
        <w:pStyle w:val="ListParagraph"/>
        <w:numPr>
          <w:ilvl w:val="0"/>
          <w:numId w:val="2"/>
        </w:numPr>
        <w:spacing w:after="80"/>
      </w:pPr>
      <w:r>
        <w:rPr>
          <w:rFonts w:ascii="Arial" w:cs="Arial" w:eastAsia="Arial" w:hAnsi="Arial"/>
          <w:sz w:val="22"/>
          <w:szCs w:val="22"/>
        </w:rPr>
        <w:t xml:space="preserve">Engage with Xero's incident management process: attend a post-mortem, review the runbook format, understand how on-call is structured for the teams you work with.</w:t>
      </w:r>
    </w:p>
    <w:p>
      <w:pPr>
        <w:pStyle w:val="ListParagraph"/>
        <w:numPr>
          <w:ilvl w:val="0"/>
          <w:numId w:val="2"/>
        </w:numPr>
        <w:spacing w:after="80"/>
      </w:pPr>
      <w:r>
        <w:rPr>
          <w:rFonts w:ascii="Arial" w:cs="Arial" w:eastAsia="Arial" w:hAnsi="Arial"/>
          <w:sz w:val="22"/>
          <w:szCs w:val="22"/>
        </w:rPr>
        <w:t xml:space="preserve">Prepare one strong story for interviews: even if not direct ownership, demonstrate understanding of what good incident management looks like and what you would do differently.</w:t>
      </w:r>
    </w:p>
    <w:p>
      <w:pPr>
        <w:spacing w:after="160"/>
      </w:pPr>
    </w:p>
    <w:p>
      <w:pPr>
        <w:pStyle w:val="Heading2"/>
      </w:pPr>
      <w:r>
        <w:rPr>
          <w:rFonts w:ascii="Arial" w:cs="Arial" w:eastAsia="Arial" w:hAnsi="Arial"/>
          <w:b/>
          <w:bCs/>
          <w:color w:val="2E5FA3"/>
          <w:sz w:val="26"/>
          <w:szCs w:val="26"/>
        </w:rPr>
        <w:t xml:space="preserve">4.5 DORA Metrics &amp; Engineering Health Measurement</w:t>
      </w:r>
    </w:p>
    <w:p>
      <w:pPr>
        <w:spacing w:after="120"/>
      </w:pPr>
      <w:r>
        <w:rPr>
          <w:rFonts w:ascii="Arial" w:cs="Arial" w:eastAsia="Arial" w:hAnsi="Arial"/>
          <w:sz w:val="22"/>
          <w:szCs w:val="22"/>
        </w:rPr>
        <w:t xml:space="preserve">DORA metrics (deployment frequency, lead time for changes, change failure rate, failed deployment recovery time) are now the baseline language for engineering team health. Candidates who cannot speak fluently about these metrics — what they measure, how to improve them, and what the data means for team investment decisions — miss an important signal in EM interviews.</w:t>
      </w:r>
    </w:p>
    <w:p>
      <w:pPr>
        <w:spacing w:after="160"/>
      </w:pPr>
    </w:p>
    <w:p>
      <w:pPr>
        <w:spacing w:after="120"/>
      </w:pPr>
      <w:r>
        <w:rPr>
          <w:rFonts w:ascii="Arial" w:cs="Arial" w:eastAsia="Arial" w:hAnsi="Arial"/>
          <w:sz w:val="22"/>
          <w:szCs w:val="22"/>
        </w:rPr>
        <w:t xml:space="preserve">Alan uses delivery metrics (cycle time, throughput, forecasting) which are adjacent but not identical. The gap is vocabulary and DORA-specific framing.</w:t>
      </w:r>
    </w:p>
    <w:p>
      <w:pPr>
        <w:spacing w:after="160"/>
      </w:pPr>
    </w:p>
    <w:p>
      <w:pPr>
        <w:spacing w:after="120"/>
      </w:pPr>
      <w:r>
        <w:rPr>
          <w:rFonts w:ascii="Arial" w:cs="Arial" w:eastAsia="Arial" w:hAnsi="Arial"/>
          <w:sz w:val="22"/>
          <w:szCs w:val="22"/>
        </w:rPr>
        <w:t xml:space="preserve">Bridging options:</w:t>
      </w:r>
    </w:p>
    <w:p>
      <w:pPr>
        <w:pStyle w:val="ListParagraph"/>
        <w:numPr>
          <w:ilvl w:val="0"/>
          <w:numId w:val="2"/>
        </w:numPr>
        <w:spacing w:after="80"/>
      </w:pPr>
      <w:r>
        <w:rPr>
          <w:rFonts w:ascii="Arial" w:cs="Arial" w:eastAsia="Arial" w:hAnsi="Arial"/>
          <w:sz w:val="22"/>
          <w:szCs w:val="22"/>
        </w:rPr>
        <w:t xml:space="preserve">Read the Google DORA research summary and the Atlassian DORA Metrics guide (both free).</w:t>
      </w:r>
    </w:p>
    <w:p>
      <w:pPr>
        <w:pStyle w:val="ListParagraph"/>
        <w:numPr>
          <w:ilvl w:val="0"/>
          <w:numId w:val="2"/>
        </w:numPr>
        <w:spacing w:after="80"/>
      </w:pPr>
      <w:r>
        <w:rPr>
          <w:rFonts w:ascii="Arial" w:cs="Arial" w:eastAsia="Arial" w:hAnsi="Arial"/>
          <w:sz w:val="22"/>
          <w:szCs w:val="22"/>
        </w:rPr>
        <w:t xml:space="preserve">Map Alan's existing delivery metrics work at 2sol and Xero to DORA language — cycle time maps to lead time, throughput maps to deployment frequency, etc.</w:t>
      </w:r>
    </w:p>
    <w:p>
      <w:pPr>
        <w:pStyle w:val="ListParagraph"/>
        <w:numPr>
          <w:ilvl w:val="0"/>
          <w:numId w:val="2"/>
        </w:numPr>
        <w:spacing w:after="80"/>
      </w:pPr>
      <w:r>
        <w:rPr>
          <w:rFonts w:ascii="Arial" w:cs="Arial" w:eastAsia="Arial" w:hAnsi="Arial"/>
          <w:sz w:val="22"/>
          <w:szCs w:val="22"/>
        </w:rPr>
        <w:t xml:space="preserve">At Xero: ask what DORA metrics the engineering teams track and how they are reported. If they are not tracked, propose a lightweight tracking initiative — this becomes interview evidence.</w:t>
      </w:r>
    </w:p>
    <w:p>
      <w:pPr>
        <w:spacing w:after="160"/>
      </w:pPr>
    </w:p>
    <w:p>
      <w:pPr>
        <w:pStyle w:val="Heading2"/>
      </w:pPr>
      <w:r>
        <w:rPr>
          <w:rFonts w:ascii="Arial" w:cs="Arial" w:eastAsia="Arial" w:hAnsi="Arial"/>
          <w:b/>
          <w:bCs/>
          <w:color w:val="2E5FA3"/>
          <w:sz w:val="26"/>
          <w:szCs w:val="26"/>
        </w:rPr>
        <w:t xml:space="preserve">4.6 Budget &amp; Headcount Planning</w:t>
      </w:r>
    </w:p>
    <w:p>
      <w:pPr>
        <w:spacing w:after="120"/>
      </w:pPr>
      <w:r>
        <w:rPr>
          <w:rFonts w:ascii="Arial" w:cs="Arial" w:eastAsia="Arial" w:hAnsi="Arial"/>
          <w:sz w:val="22"/>
          <w:szCs w:val="22"/>
        </w:rPr>
        <w:t xml:space="preserve">HoE roles (and some senior EM roles) involve owning a team or department budget: headcount requests, opex/capex allocation, tool spend. This is typically learned on the job, but candidates should demonstrate familiarity with the concepts and be able to describe how they would approach it.</w:t>
      </w:r>
    </w:p>
    <w:p>
      <w:pPr>
        <w:spacing w:after="160"/>
      </w:pPr>
    </w:p>
    <w:p>
      <w:pPr>
        <w:spacing w:after="120"/>
      </w:pPr>
      <w:r>
        <w:rPr>
          <w:rFonts w:ascii="Arial" w:cs="Arial" w:eastAsia="Arial" w:hAnsi="Arial"/>
          <w:sz w:val="22"/>
          <w:szCs w:val="22"/>
        </w:rPr>
        <w:t xml:space="preserve">Bridging options:</w:t>
      </w:r>
    </w:p>
    <w:p>
      <w:pPr>
        <w:pStyle w:val="ListParagraph"/>
        <w:numPr>
          <w:ilvl w:val="0"/>
          <w:numId w:val="2"/>
        </w:numPr>
        <w:spacing w:after="80"/>
      </w:pPr>
      <w:r>
        <w:rPr>
          <w:rFonts w:ascii="Arial" w:cs="Arial" w:eastAsia="Arial" w:hAnsi="Arial"/>
          <w:sz w:val="22"/>
          <w:szCs w:val="22"/>
        </w:rPr>
        <w:t xml:space="preserve">Ask to be involved in Xero's next headcount planning cycle — even in an advisory or analytical capacity.</w:t>
      </w:r>
    </w:p>
    <w:p>
      <w:pPr>
        <w:pStyle w:val="ListParagraph"/>
        <w:numPr>
          <w:ilvl w:val="0"/>
          <w:numId w:val="2"/>
        </w:numPr>
        <w:spacing w:after="80"/>
      </w:pPr>
      <w:r>
        <w:rPr>
          <w:rFonts w:ascii="Arial" w:cs="Arial" w:eastAsia="Arial" w:hAnsi="Arial"/>
          <w:sz w:val="22"/>
          <w:szCs w:val="22"/>
        </w:rPr>
        <w:t xml:space="preserve">Build a sample team budget template as a learning exercise (headcount x seniority x role, tooling, training, contractor allocation).</w:t>
      </w:r>
    </w:p>
    <w:p>
      <w:pPr>
        <w:pStyle w:val="ListParagraph"/>
        <w:numPr>
          <w:ilvl w:val="0"/>
          <w:numId w:val="2"/>
        </w:numPr>
        <w:spacing w:after="80"/>
      </w:pPr>
      <w:r>
        <w:rPr>
          <w:rFonts w:ascii="Arial" w:cs="Arial" w:eastAsia="Arial" w:hAnsi="Arial"/>
          <w:sz w:val="22"/>
          <w:szCs w:val="22"/>
        </w:rPr>
        <w:t xml:space="preserve">Study how OKRs connect to resource allocation — read Measure What Matters (Doerr).</w:t>
      </w:r>
    </w:p>
    <w:p>
      <w:pPr>
        <w:spacing w:after="160"/>
      </w:pPr>
    </w:p>
    <w:p>
      <w:pPr>
        <w:pStyle w:val="Heading2"/>
      </w:pPr>
      <w:r>
        <w:rPr>
          <w:rFonts w:ascii="Arial" w:cs="Arial" w:eastAsia="Arial" w:hAnsi="Arial"/>
          <w:b/>
          <w:bCs/>
          <w:color w:val="2E5FA3"/>
          <w:sz w:val="26"/>
          <w:szCs w:val="26"/>
        </w:rPr>
        <w:t xml:space="preserve">4.7 Modern Technical Currency</w:t>
      </w:r>
    </w:p>
    <w:p>
      <w:pPr>
        <w:spacing w:after="120"/>
      </w:pPr>
      <w:r>
        <w:rPr>
          <w:rFonts w:ascii="Arial" w:cs="Arial" w:eastAsia="Arial" w:hAnsi="Arial"/>
          <w:sz w:val="22"/>
          <w:szCs w:val="22"/>
        </w:rPr>
        <w:t xml:space="preserve">Alan's engineering background (2003–2012) is genuine and should not be understated. However, the tech stack has evolved substantially. Not knowing the names of modern tools and frameworks creates a credibility gap when interviewing for EM roles at product companies. Alan does not need to write code — but he needs to be able to have a conversation about React vs Vue, TypeScript, Go, Rust, LLM APIs, vector databases, and agentic AI patterns without confusion.</w:t>
      </w:r>
    </w:p>
    <w:p>
      <w:pPr>
        <w:spacing w:after="160"/>
      </w:pPr>
    </w:p>
    <w:p>
      <w:pPr>
        <w:spacing w:after="120"/>
      </w:pPr>
      <w:r>
        <w:rPr>
          <w:rFonts w:ascii="Arial" w:cs="Arial" w:eastAsia="Arial" w:hAnsi="Arial"/>
          <w:sz w:val="22"/>
          <w:szCs w:val="22"/>
        </w:rPr>
        <w:t xml:space="preserve">Bridging options:</w:t>
      </w:r>
    </w:p>
    <w:p>
      <w:pPr>
        <w:pStyle w:val="ListParagraph"/>
        <w:numPr>
          <w:ilvl w:val="0"/>
          <w:numId w:val="2"/>
        </w:numPr>
        <w:spacing w:after="80"/>
      </w:pPr>
      <w:r>
        <w:rPr>
          <w:rFonts w:ascii="Arial" w:cs="Arial" w:eastAsia="Arial" w:hAnsi="Arial"/>
          <w:sz w:val="22"/>
          <w:szCs w:val="22"/>
        </w:rPr>
        <w:t xml:space="preserve">Follow The Pragmatic Engineer newsletter (Gergely Orosz) — consistently covers engineering leadership and technical trends at the right level for an EM.</w:t>
      </w:r>
    </w:p>
    <w:p>
      <w:pPr>
        <w:pStyle w:val="ListParagraph"/>
        <w:numPr>
          <w:ilvl w:val="0"/>
          <w:numId w:val="2"/>
        </w:numPr>
        <w:spacing w:after="80"/>
      </w:pPr>
      <w:r>
        <w:rPr>
          <w:rFonts w:ascii="Arial" w:cs="Arial" w:eastAsia="Arial" w:hAnsi="Arial"/>
          <w:sz w:val="22"/>
          <w:szCs w:val="22"/>
        </w:rPr>
        <w:t xml:space="preserve">Read system design resources (Designing Data-Intensive Applications by Kleppmann, or ByteByteGo on YouTube) to refresh architectural thinking in modern terms.</w:t>
      </w:r>
    </w:p>
    <w:p>
      <w:pPr>
        <w:pStyle w:val="ListParagraph"/>
        <w:numPr>
          <w:ilvl w:val="0"/>
          <w:numId w:val="2"/>
        </w:numPr>
        <w:spacing w:after="80"/>
      </w:pPr>
      <w:r>
        <w:rPr>
          <w:rFonts w:ascii="Arial" w:cs="Arial" w:eastAsia="Arial" w:hAnsi="Arial"/>
          <w:sz w:val="22"/>
          <w:szCs w:val="22"/>
        </w:rPr>
        <w:t xml:space="preserve">Spend one hour per week with the engineers in the Xero API Program asking about the technical choices they make and why. Treat it as deliberate learning.</w:t>
      </w:r>
    </w:p>
    <w:p>
      <w:pPr>
        <w:pStyle w:val="ListParagraph"/>
        <w:numPr>
          <w:ilvl w:val="0"/>
          <w:numId w:val="2"/>
        </w:numPr>
        <w:spacing w:after="80"/>
      </w:pPr>
      <w:r>
        <w:rPr>
          <w:rFonts w:ascii="Arial" w:cs="Arial" w:eastAsia="Arial" w:hAnsi="Arial"/>
          <w:sz w:val="22"/>
          <w:szCs w:val="22"/>
        </w:rPr>
        <w:t xml:space="preserve">Build something small: a personal project using an LLM API, a REST service in Python or Go, a simple React component. Even 20 hours of hands-on coding restores confidence in technical conversations.</w:t>
      </w:r>
    </w:p>
    <w:p>
      <w:pPr>
        <w:spacing w:after="160"/>
      </w:pPr>
    </w:p>
    <w:p>
      <w:r>
        <w:br w:type="page"/>
      </w:r>
    </w:p>
    <w:p>
      <w:pPr>
        <w:pStyle w:val="Heading1"/>
      </w:pPr>
      <w:r>
        <w:rPr>
          <w:rFonts w:ascii="Arial" w:cs="Arial" w:eastAsia="Arial" w:hAnsi="Arial"/>
          <w:b/>
          <w:bCs/>
          <w:color w:val="1F3864"/>
          <w:sz w:val="32"/>
          <w:szCs w:val="32"/>
        </w:rPr>
        <w:t xml:space="preserve">5. Prioritised Learning Plan</w:t>
      </w:r>
    </w:p>
    <w:p>
      <w:pPr>
        <w:spacing w:after="120"/>
      </w:pPr>
      <w:r>
        <w:rPr>
          <w:rFonts w:ascii="Arial" w:cs="Arial" w:eastAsia="Arial" w:hAnsi="Arial"/>
          <w:sz w:val="22"/>
          <w:szCs w:val="22"/>
        </w:rPr>
        <w:t xml:space="preserve">The following table organises the gaps into a sequenced development plan. Priorities 1–3 are the highest-leverage investments before actively applying for EM roles. Priorities 4–7 are important but can run in parallel or follow job-market re-entry.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00"/>
        <w:gridCol w:w="2460"/>
      </w:tblGrid>
      <w:tr>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Priority</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Gap Area</w:t>
            </w:r>
          </w:p>
        </w:tc>
        <w:tc>
          <w:tcPr>
            <w:tcW w:type="dxa" w:w="33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to Learn / Do</w:t>
            </w:r>
          </w:p>
        </w:tc>
        <w:tc>
          <w:tcPr>
            <w:tcW w:type="dxa" w:w="24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Resources</w:t>
            </w:r>
          </w:p>
        </w:tc>
      </w:tr>
      <w:tr>
        <w:tc>
          <w:tcPr>
            <w:tcW w:type="dxa" w:w="1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P1 — Critical</w:t>
            </w:r>
          </w:p>
        </w:tc>
        <w:tc>
          <w:tcPr>
            <w:tcW w:type="dxa" w:w="2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People Mgmt Mechanics</w:t>
            </w:r>
          </w:p>
        </w:tc>
        <w:tc>
          <w:tcPr>
            <w:tcW w:type="dxa" w:w="33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 real reps in performance reviews and difficult conversations. Shadow or co-own a review cycle at Xero. Study structured EM frameworks.</w:t>
            </w:r>
          </w:p>
        </w:tc>
        <w:tc>
          <w:tcPr>
            <w:tcW w:type="dxa" w:w="246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The Manager's Path (Fournier); An Elegant Puzzle (Larson); Radical Candor (Scott)</w:t>
            </w:r>
          </w:p>
        </w:tc>
      </w:tr>
      <w:tr>
        <w:tc>
          <w:tcPr>
            <w:tcW w:type="dxa" w:w="1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P1 — Critical</w:t>
            </w:r>
          </w:p>
        </w:tc>
        <w:tc>
          <w:tcPr>
            <w:tcW w:type="dxa" w:w="2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Cloud Platform Literacy</w:t>
            </w:r>
          </w:p>
        </w:tc>
        <w:tc>
          <w:tcPr>
            <w:tcW w:type="dxa" w:w="33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Complete AWS Cloud Practitioner (CLF-C02) certification. Progress to Solutions Architect Associate if time allows.</w:t>
            </w:r>
          </w:p>
        </w:tc>
        <w:tc>
          <w:tcPr>
            <w:tcW w:type="dxa" w:w="246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AWS Skill Builder (free tier); A Cloud Guru; Adrian Cantrill's SAA course</w:t>
            </w:r>
          </w:p>
        </w:tc>
      </w:tr>
      <w:tr>
        <w:tc>
          <w:tcPr>
            <w:tcW w:type="dxa" w:w="1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P2 — High</w:t>
            </w:r>
          </w:p>
        </w:tc>
        <w:tc>
          <w:tcPr>
            <w:tcW w:type="dxa" w:w="2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DORA Metrics</w:t>
            </w:r>
          </w:p>
        </w:tc>
        <w:tc>
          <w:tcPr>
            <w:tcW w:type="dxa" w:w="33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Learn the 5 DORA metrics, map Alan's existing delivery work to DORA language, propose a DORA dashboard initiative at Xero.</w:t>
            </w:r>
          </w:p>
        </w:tc>
        <w:tc>
          <w:tcPr>
            <w:tcW w:type="dxa" w:w="246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dora.dev; Atlassian DORA guide; Accelerate (Forsgren, Humble, Kim)</w:t>
            </w:r>
          </w:p>
        </w:tc>
      </w:tr>
      <w:tr>
        <w:tc>
          <w:tcPr>
            <w:tcW w:type="dxa" w:w="1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P2 — High</w:t>
            </w:r>
          </w:p>
        </w:tc>
        <w:tc>
          <w:tcPr>
            <w:tcW w:type="dxa" w:w="2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Hiring Loop Design</w:t>
            </w:r>
          </w:p>
        </w:tc>
        <w:tc>
          <w:tcPr>
            <w:tcW w:type="dxa" w:w="33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Design a sample EM hiring loop with a rubric. Ask to be primary hiring manager on next engineering vacancy at Xero.</w:t>
            </w:r>
          </w:p>
        </w:tc>
        <w:tc>
          <w:tcPr>
            <w:tcW w:type="dxa" w:w="246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Engineering Manager Tools (em-tools.io); Who (Sullivan &amp; Smart)</w:t>
            </w:r>
          </w:p>
        </w:tc>
      </w:tr>
      <w:tr>
        <w:tc>
          <w:tcPr>
            <w:tcW w:type="dxa" w:w="1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P3 — Important</w:t>
            </w:r>
          </w:p>
        </w:tc>
        <w:tc>
          <w:tcPr>
            <w:tcW w:type="dxa" w:w="2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Incident Management</w:t>
            </w:r>
          </w:p>
        </w:tc>
        <w:tc>
          <w:tcPr>
            <w:tcW w:type="dxa" w:w="33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Read SRE fundamentals. Attend a Xero post-mortem. Develop vocabulary: SLO, SLI, blameless retro, runbook, on-call rotation.</w:t>
            </w:r>
          </w:p>
        </w:tc>
        <w:tc>
          <w:tcPr>
            <w:tcW w:type="dxa" w:w="246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Google SRE Book (free online); PagerDuty Incident Response guide</w:t>
            </w:r>
          </w:p>
        </w:tc>
      </w:tr>
      <w:tr>
        <w:tc>
          <w:tcPr>
            <w:tcW w:type="dxa" w:w="1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P3 — Important</w:t>
            </w:r>
          </w:p>
        </w:tc>
        <w:tc>
          <w:tcPr>
            <w:tcW w:type="dxa" w:w="2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OKR Management</w:t>
            </w:r>
          </w:p>
        </w:tc>
        <w:tc>
          <w:tcPr>
            <w:tcW w:type="dxa" w:w="33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Learn OKR mechanics and connect them to engineering roadmap decisions. Map past delivery work to OKR framing.</w:t>
            </w:r>
          </w:p>
        </w:tc>
        <w:tc>
          <w:tcPr>
            <w:tcW w:type="dxa" w:w="246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Measure What Matters (Doerr); What Matters (whatmatters.com)</w:t>
            </w:r>
          </w:p>
        </w:tc>
      </w:tr>
      <w:tr>
        <w:tc>
          <w:tcPr>
            <w:tcW w:type="dxa" w:w="1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P4 — Valuable</w:t>
            </w:r>
          </w:p>
        </w:tc>
        <w:tc>
          <w:tcPr>
            <w:tcW w:type="dxa" w:w="2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Modern Tech Currency</w:t>
            </w:r>
          </w:p>
        </w:tc>
        <w:tc>
          <w:tcPr>
            <w:tcW w:type="dxa" w:w="33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Follow The Pragmatic Engineer. Read Designing Data-Intensive Applications. Do a small personal coding project.</w:t>
            </w:r>
          </w:p>
        </w:tc>
        <w:tc>
          <w:tcPr>
            <w:tcW w:type="dxa" w:w="246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The Pragmatic Engineer newsletter; ByteByteGo (YouTube); DDIA (Kleppmann)</w:t>
            </w:r>
          </w:p>
        </w:tc>
      </w:tr>
      <w:tr>
        <w:tc>
          <w:tcPr>
            <w:tcW w:type="dxa" w:w="1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P4 — Valuable</w:t>
            </w:r>
          </w:p>
        </w:tc>
        <w:tc>
          <w:tcPr>
            <w:tcW w:type="dxa" w:w="2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Budget &amp; HC Planning</w:t>
            </w:r>
          </w:p>
        </w:tc>
        <w:tc>
          <w:tcPr>
            <w:tcW w:type="dxa" w:w="33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Ask to be involved in next headcount planning cycle at Xero. Build a sample team budget template.</w:t>
            </w:r>
          </w:p>
        </w:tc>
        <w:tc>
          <w:tcPr>
            <w:tcW w:type="dxa" w:w="246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Reforge (Growth &amp; Strategy courses); internal Xero finance team</w:t>
            </w:r>
          </w:p>
        </w:tc>
      </w:tr>
      <w:tr>
        <w:tc>
          <w:tcPr>
            <w:tcW w:type="dxa" w:w="12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P5 — Ongoing</w:t>
            </w:r>
          </w:p>
        </w:tc>
        <w:tc>
          <w:tcPr>
            <w:tcW w:type="dxa" w:w="24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EM Interview Prep</w:t>
            </w:r>
          </w:p>
        </w:tc>
        <w:tc>
          <w:tcPr>
            <w:tcW w:type="dxa" w:w="330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Practice the EM interview loop (6 axes: people, technical judgment, delivery, cross-functional, culture, AI-augmented). Use STAR for every story.</w:t>
            </w:r>
          </w:p>
        </w:tc>
        <w:tc>
          <w:tcPr>
            <w:tcW w:type="dxa" w:w="2460"/>
            <w:tcBorders>
              <w:top w:val="single" w:color="C0C0C0" w:sz="4"/>
              <w:left w:val="single" w:color="C0C0C0" w:sz="4"/>
              <w:bottom w:val="single" w:color="C0C0C0" w:sz="4"/>
              <w:right w:val="single" w:color="C0C0C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Velyq EM interview framework; em-tools.io interview prep; Leetcode (system design)</w:t>
            </w:r>
          </w:p>
        </w:tc>
      </w:tr>
    </w:tbl>
    <w:p>
      <w:pPr>
        <w:spacing w:after="160"/>
      </w:pPr>
    </w:p>
    <w:p>
      <w:pPr>
        <w:pStyle w:val="Heading2"/>
      </w:pPr>
      <w:r>
        <w:rPr>
          <w:rFonts w:ascii="Arial" w:cs="Arial" w:eastAsia="Arial" w:hAnsi="Arial"/>
          <w:b/>
          <w:bCs/>
          <w:color w:val="2E5FA3"/>
          <w:sz w:val="26"/>
          <w:szCs w:val="26"/>
        </w:rPr>
        <w:t xml:space="preserve">5.1 Timeframe Guidance</w:t>
      </w:r>
    </w:p>
    <w:p>
      <w:pPr>
        <w:spacing w:after="120"/>
      </w:pPr>
      <w:r>
        <w:rPr>
          <w:rFonts w:ascii="Arial" w:cs="Arial" w:eastAsia="Arial" w:hAnsi="Arial"/>
          <w:sz w:val="22"/>
          <w:szCs w:val="22"/>
        </w:rPr>
        <w:t xml:space="preserve">Based on the gaps identified, here is a realistic timeline to be credible for EM and HoE applications:</w:t>
      </w:r>
    </w:p>
    <w:p>
      <w:pPr>
        <w:spacing w:after="160"/>
      </w:pPr>
    </w:p>
    <w:p>
      <w:pPr>
        <w:pStyle w:val="ListParagraph"/>
        <w:numPr>
          <w:ilvl w:val="0"/>
          <w:numId w:val="2"/>
        </w:numPr>
        <w:spacing w:after="80"/>
      </w:pPr>
      <w:r>
        <w:rPr>
          <w:rFonts w:ascii="Arial" w:cs="Arial" w:eastAsia="Arial" w:hAnsi="Arial"/>
          <w:b/>
          <w:bCs/>
          <w:sz w:val="22"/>
          <w:szCs w:val="22"/>
        </w:rPr>
        <w:t xml:space="preserve">AWS Cloud Practitioner certification. DORA metrics study. Begin shadowing performance review cycle at Xero. Read The Manager's Path.</w:t>
      </w:r>
      <w:r>
        <w:rPr>
          <w:rFonts w:ascii="Arial" w:cs="Arial" w:eastAsia="Arial" w:hAnsi="Arial"/>
          <w:sz w:val="22"/>
          <w:szCs w:val="22"/>
        </w:rPr>
        <w:t xml:space="preserve">0–3 months: </w:t>
      </w:r>
    </w:p>
    <w:p>
      <w:pPr>
        <w:pStyle w:val="ListParagraph"/>
        <w:numPr>
          <w:ilvl w:val="0"/>
          <w:numId w:val="2"/>
        </w:numPr>
        <w:spacing w:after="80"/>
      </w:pPr>
      <w:r>
        <w:rPr>
          <w:rFonts w:ascii="Arial" w:cs="Arial" w:eastAsia="Arial" w:hAnsi="Arial"/>
          <w:b/>
          <w:bCs/>
          <w:sz w:val="22"/>
          <w:szCs w:val="22"/>
        </w:rPr>
        <w:t xml:space="preserve">AWS Solutions Architect Associate (if pursuing). Incident management fundamentals. OKR framing practice. Begin EM interview prep in earnest.</w:t>
      </w:r>
      <w:r>
        <w:rPr>
          <w:rFonts w:ascii="Arial" w:cs="Arial" w:eastAsia="Arial" w:hAnsi="Arial"/>
          <w:sz w:val="22"/>
          <w:szCs w:val="22"/>
        </w:rPr>
        <w:t xml:space="preserve">3–6 months: </w:t>
      </w:r>
    </w:p>
    <w:p>
      <w:pPr>
        <w:pStyle w:val="ListParagraph"/>
        <w:numPr>
          <w:ilvl w:val="0"/>
          <w:numId w:val="2"/>
        </w:numPr>
        <w:spacing w:after="80"/>
      </w:pPr>
      <w:r>
        <w:rPr>
          <w:rFonts w:ascii="Arial" w:cs="Arial" w:eastAsia="Arial" w:hAnsi="Arial"/>
          <w:b/>
          <w:bCs/>
          <w:sz w:val="22"/>
          <w:szCs w:val="22"/>
        </w:rPr>
        <w:t xml:space="preserve">Active job applications. If an internal EM opportunity at Xero arises, take it — even a 6-month formal EM stint changes the hiring conversation significantly.</w:t>
      </w:r>
      <w:r>
        <w:rPr>
          <w:rFonts w:ascii="Arial" w:cs="Arial" w:eastAsia="Arial" w:hAnsi="Arial"/>
          <w:sz w:val="22"/>
          <w:szCs w:val="22"/>
        </w:rPr>
        <w:t xml:space="preserve">6–12 months: </w:t>
      </w:r>
    </w:p>
    <w:p>
      <w:pPr>
        <w:pStyle w:val="ListParagraph"/>
        <w:numPr>
          <w:ilvl w:val="0"/>
          <w:numId w:val="2"/>
        </w:numPr>
        <w:spacing w:after="80"/>
      </w:pPr>
      <w:r>
        <w:rPr>
          <w:rFonts w:ascii="Arial" w:cs="Arial" w:eastAsia="Arial" w:hAnsi="Arial"/>
          <w:b/>
          <w:bCs/>
          <w:sz w:val="22"/>
          <w:szCs w:val="22"/>
        </w:rPr>
        <w:t xml:space="preserve">HoE applications with EM experience logged. Budget and HC planning exposure likely to come naturally with EM role.</w:t>
      </w:r>
      <w:r>
        <w:rPr>
          <w:rFonts w:ascii="Arial" w:cs="Arial" w:eastAsia="Arial" w:hAnsi="Arial"/>
          <w:sz w:val="22"/>
          <w:szCs w:val="22"/>
        </w:rPr>
        <w:t xml:space="preserve">12 months+: </w:t>
      </w:r>
    </w:p>
    <w:p>
      <w:pPr>
        <w:spacing w:after="160"/>
      </w:pPr>
    </w:p>
    <w:p>
      <w:r>
        <w:br w:type="page"/>
      </w:r>
    </w:p>
    <w:p>
      <w:pPr>
        <w:pStyle w:val="Heading1"/>
      </w:pPr>
      <w:r>
        <w:rPr>
          <w:rFonts w:ascii="Arial" w:cs="Arial" w:eastAsia="Arial" w:hAnsi="Arial"/>
          <w:b/>
          <w:bCs/>
          <w:color w:val="1F3864"/>
          <w:sz w:val="32"/>
          <w:szCs w:val="32"/>
        </w:rPr>
        <w:t xml:space="preserve">6. Positioning Notes for Applications</w:t>
      </w:r>
    </w:p>
    <w:p>
      <w:pPr>
        <w:spacing w:after="120"/>
      </w:pPr>
      <w:r>
        <w:rPr>
          <w:rFonts w:ascii="Arial" w:cs="Arial" w:eastAsia="Arial" w:hAnsi="Arial"/>
          <w:sz w:val="22"/>
          <w:szCs w:val="22"/>
        </w:rPr>
        <w:t xml:space="preserve">Alan's transition narrative needs to be framed carefully to avoid the TPM-to-EM translation problem (hiring managers who wonder whether a TPM can really manage people). These notes build on the existing wiki positioning.</w:t>
      </w:r>
    </w:p>
    <w:p>
      <w:pPr>
        <w:spacing w:after="160"/>
      </w:pPr>
    </w:p>
    <w:p>
      <w:pPr>
        <w:pStyle w:val="Heading2"/>
      </w:pPr>
      <w:r>
        <w:rPr>
          <w:rFonts w:ascii="Arial" w:cs="Arial" w:eastAsia="Arial" w:hAnsi="Arial"/>
          <w:b/>
          <w:bCs/>
          <w:color w:val="2E5FA3"/>
          <w:sz w:val="26"/>
          <w:szCs w:val="26"/>
        </w:rPr>
        <w:t xml:space="preserve">6.1 Lead With the Engineering Manager Framing, Not TPM</w:t>
      </w:r>
    </w:p>
    <w:p>
      <w:pPr>
        <w:spacing w:after="120"/>
      </w:pPr>
      <w:r>
        <w:rPr>
          <w:rFonts w:ascii="Arial" w:cs="Arial" w:eastAsia="Arial" w:hAnsi="Arial"/>
          <w:sz w:val="22"/>
          <w:szCs w:val="22"/>
        </w:rPr>
        <w:t xml:space="preserve">The Lead TPM title is accurate but creates friction. In the EM resume and summary, the framing should emphasise what Alan actually does as an EM:</w:t>
      </w:r>
    </w:p>
    <w:p>
      <w:pPr>
        <w:pStyle w:val="ListParagraph"/>
        <w:numPr>
          <w:ilvl w:val="0"/>
          <w:numId w:val="2"/>
        </w:numPr>
        <w:spacing w:after="80"/>
      </w:pPr>
      <w:r>
        <w:rPr>
          <w:rFonts w:ascii="Arial" w:cs="Arial" w:eastAsia="Arial" w:hAnsi="Arial"/>
          <w:sz w:val="22"/>
          <w:szCs w:val="22"/>
        </w:rPr>
        <w:t xml:space="preserve">Direct management of engineers (Go1, intelliHR, 2sol).</w:t>
      </w:r>
    </w:p>
    <w:p>
      <w:pPr>
        <w:pStyle w:val="ListParagraph"/>
        <w:numPr>
          <w:ilvl w:val="0"/>
          <w:numId w:val="2"/>
        </w:numPr>
        <w:spacing w:after="80"/>
      </w:pPr>
      <w:r>
        <w:rPr>
          <w:rFonts w:ascii="Arial" w:cs="Arial" w:eastAsia="Arial" w:hAnsi="Arial"/>
          <w:sz w:val="22"/>
          <w:szCs w:val="22"/>
        </w:rPr>
        <w:t xml:space="preserve">Coaching EMs and tech leads (Xero — 10+ teams).</w:t>
      </w:r>
    </w:p>
    <w:p>
      <w:pPr>
        <w:pStyle w:val="ListParagraph"/>
        <w:numPr>
          <w:ilvl w:val="0"/>
          <w:numId w:val="2"/>
        </w:numPr>
        <w:spacing w:after="80"/>
      </w:pPr>
      <w:r>
        <w:rPr>
          <w:rFonts w:ascii="Arial" w:cs="Arial" w:eastAsia="Arial" w:hAnsi="Arial"/>
          <w:sz w:val="22"/>
          <w:szCs w:val="22"/>
        </w:rPr>
        <w:t xml:space="preserve">Engineering practice transformation (2sol CI/CD, Go1 operating model).</w:t>
      </w:r>
    </w:p>
    <w:p>
      <w:pPr>
        <w:pStyle w:val="ListParagraph"/>
        <w:numPr>
          <w:ilvl w:val="0"/>
          <w:numId w:val="2"/>
        </w:numPr>
        <w:spacing w:after="80"/>
      </w:pPr>
      <w:r>
        <w:rPr>
          <w:rFonts w:ascii="Arial" w:cs="Arial" w:eastAsia="Arial" w:hAnsi="Arial"/>
          <w:sz w:val="22"/>
          <w:szCs w:val="22"/>
        </w:rPr>
        <w:t xml:space="preserve">Delivery ownership, not just coordination.</w:t>
      </w:r>
    </w:p>
    <w:p>
      <w:pPr>
        <w:spacing w:after="120"/>
      </w:pPr>
      <w:r>
        <w:rPr>
          <w:rFonts w:ascii="Arial" w:cs="Arial" w:eastAsia="Arial" w:hAnsi="Arial"/>
          <w:sz w:val="22"/>
          <w:szCs w:val="22"/>
        </w:rPr>
        <w:t xml:space="preserve">The 'operating system builder' framing from the wiki is strong and should be the anchor.</w:t>
      </w:r>
    </w:p>
    <w:p>
      <w:pPr>
        <w:spacing w:after="160"/>
      </w:pPr>
    </w:p>
    <w:p>
      <w:pPr>
        <w:pStyle w:val="Heading2"/>
      </w:pPr>
      <w:r>
        <w:rPr>
          <w:rFonts w:ascii="Arial" w:cs="Arial" w:eastAsia="Arial" w:hAnsi="Arial"/>
          <w:b/>
          <w:bCs/>
          <w:color w:val="2E5FA3"/>
          <w:sz w:val="26"/>
          <w:szCs w:val="26"/>
        </w:rPr>
        <w:t xml:space="preserve">6.2 Address the People Management Question Head-On</w:t>
      </w:r>
    </w:p>
    <w:p>
      <w:pPr>
        <w:spacing w:after="120"/>
      </w:pPr>
      <w:r>
        <w:rPr>
          <w:rFonts w:ascii="Arial" w:cs="Arial" w:eastAsia="Arial" w:hAnsi="Arial"/>
          <w:sz w:val="22"/>
          <w:szCs w:val="22"/>
        </w:rPr>
        <w:t xml:space="preserve">Do not let interviewers assume Alan has never managed people. The first 30 seconds of every EM interview answer about people leadership should reference specific examples: the Go1 squad of 8 (including hiring and performance), the intelliHR team of 5 (built from scratch), and the 2sol team of 5 developers (5 years of direct leadership). These are real and strong.</w:t>
      </w:r>
    </w:p>
    <w:p>
      <w:pPr>
        <w:spacing w:after="160"/>
      </w:pPr>
    </w:p>
    <w:p>
      <w:pPr>
        <w:pStyle w:val="Heading2"/>
      </w:pPr>
      <w:r>
        <w:rPr>
          <w:rFonts w:ascii="Arial" w:cs="Arial" w:eastAsia="Arial" w:hAnsi="Arial"/>
          <w:b/>
          <w:bCs/>
          <w:color w:val="2E5FA3"/>
          <w:sz w:val="26"/>
          <w:szCs w:val="26"/>
        </w:rPr>
        <w:t xml:space="preserve">6.3 Target Profile: Software EM at SaaS / Scale-Up</w:t>
      </w:r>
    </w:p>
    <w:p>
      <w:pPr>
        <w:spacing w:after="120"/>
      </w:pPr>
      <w:r>
        <w:rPr>
          <w:rFonts w:ascii="Arial" w:cs="Arial" w:eastAsia="Arial" w:hAnsi="Arial"/>
          <w:sz w:val="22"/>
          <w:szCs w:val="22"/>
        </w:rPr>
        <w:t xml:space="preserve">Alan's profile is strongest for:</w:t>
      </w:r>
    </w:p>
    <w:p>
      <w:pPr>
        <w:pStyle w:val="ListParagraph"/>
        <w:numPr>
          <w:ilvl w:val="0"/>
          <w:numId w:val="2"/>
        </w:numPr>
        <w:spacing w:after="80"/>
      </w:pPr>
      <w:r>
        <w:rPr>
          <w:rFonts w:ascii="Arial" w:cs="Arial" w:eastAsia="Arial" w:hAnsi="Arial"/>
          <w:sz w:val="22"/>
          <w:szCs w:val="22"/>
        </w:rPr>
        <w:t xml:space="preserve">SaaS companies in growth or scale-up phase (Go1, intelliHR, Console/Reapit experience is directly relevant).</w:t>
      </w:r>
    </w:p>
    <w:p>
      <w:pPr>
        <w:pStyle w:val="ListParagraph"/>
        <w:numPr>
          <w:ilvl w:val="0"/>
          <w:numId w:val="2"/>
        </w:numPr>
        <w:spacing w:after="80"/>
      </w:pPr>
      <w:r>
        <w:rPr>
          <w:rFonts w:ascii="Arial" w:cs="Arial" w:eastAsia="Arial" w:hAnsi="Arial"/>
          <w:sz w:val="22"/>
          <w:szCs w:val="22"/>
        </w:rPr>
        <w:t xml:space="preserve">Organisations going through delivery transformation or operating model reform.</w:t>
      </w:r>
    </w:p>
    <w:p>
      <w:pPr>
        <w:pStyle w:val="ListParagraph"/>
        <w:numPr>
          <w:ilvl w:val="0"/>
          <w:numId w:val="2"/>
        </w:numPr>
        <w:spacing w:after="80"/>
      </w:pPr>
      <w:r>
        <w:rPr>
          <w:rFonts w:ascii="Arial" w:cs="Arial" w:eastAsia="Arial" w:hAnsi="Arial"/>
          <w:sz w:val="22"/>
          <w:szCs w:val="22"/>
        </w:rPr>
        <w:t xml:space="preserve">Companies building AI-adjacent products where Alan's AI for Customers and NLP experience adds signal.</w:t>
      </w:r>
    </w:p>
    <w:p>
      <w:pPr>
        <w:pStyle w:val="ListParagraph"/>
        <w:numPr>
          <w:ilvl w:val="0"/>
          <w:numId w:val="2"/>
        </w:numPr>
        <w:spacing w:after="80"/>
      </w:pPr>
      <w:r>
        <w:rPr>
          <w:rFonts w:ascii="Arial" w:cs="Arial" w:eastAsia="Arial" w:hAnsi="Arial"/>
          <w:sz w:val="22"/>
          <w:szCs w:val="22"/>
        </w:rPr>
        <w:t xml:space="preserve">Organisations that value a player-coach: someone who can set engineering strategy and stay hands-on with delivery.</w:t>
      </w:r>
    </w:p>
    <w:p>
      <w:pPr>
        <w:spacing w:after="160"/>
      </w:pPr>
    </w:p>
    <w:p>
      <w:pPr>
        <w:pStyle w:val="Heading2"/>
      </w:pPr>
      <w:r>
        <w:rPr>
          <w:rFonts w:ascii="Arial" w:cs="Arial" w:eastAsia="Arial" w:hAnsi="Arial"/>
          <w:b/>
          <w:bCs/>
          <w:color w:val="2E5FA3"/>
          <w:sz w:val="26"/>
          <w:szCs w:val="26"/>
        </w:rPr>
        <w:t xml:space="preserve">6.4 Industries with Strongest Fit</w:t>
      </w:r>
    </w:p>
    <w:p>
      <w:pPr>
        <w:spacing w:after="120"/>
      </w:pPr>
      <w:r>
        <w:rPr>
          <w:rFonts w:ascii="Arial" w:cs="Arial" w:eastAsia="Arial" w:hAnsi="Arial"/>
          <w:sz w:val="22"/>
          <w:szCs w:val="22"/>
        </w:rPr>
        <w:t xml:space="preserve">Based on Alan's background and 2026 hiring trends:</w:t>
      </w:r>
    </w:p>
    <w:p>
      <w:pPr>
        <w:pStyle w:val="ListParagraph"/>
        <w:numPr>
          <w:ilvl w:val="0"/>
          <w:numId w:val="2"/>
        </w:numPr>
        <w:spacing w:after="80"/>
      </w:pPr>
      <w:r>
        <w:rPr>
          <w:rFonts w:ascii="Arial" w:cs="Arial" w:eastAsia="Arial" w:hAnsi="Arial"/>
          <w:sz w:val="22"/>
          <w:szCs w:val="22"/>
        </w:rPr>
        <w:t xml:space="preserve">SaaS — HR tech, e-learning, accounting, payments. Alan has lived these industries.</w:t>
      </w:r>
    </w:p>
    <w:p>
      <w:pPr>
        <w:pStyle w:val="ListParagraph"/>
        <w:numPr>
          <w:ilvl w:val="0"/>
          <w:numId w:val="2"/>
        </w:numPr>
        <w:spacing w:after="80"/>
      </w:pPr>
      <w:r>
        <w:rPr>
          <w:rFonts w:ascii="Arial" w:cs="Arial" w:eastAsia="Arial" w:hAnsi="Arial"/>
          <w:sz w:val="22"/>
          <w:szCs w:val="22"/>
        </w:rPr>
        <w:t xml:space="preserve">Fintech — Suncorp + Xero + payment integrations form a credible thread.</w:t>
      </w:r>
    </w:p>
    <w:p>
      <w:pPr>
        <w:pStyle w:val="ListParagraph"/>
        <w:numPr>
          <w:ilvl w:val="0"/>
          <w:numId w:val="2"/>
        </w:numPr>
        <w:spacing w:after="80"/>
      </w:pPr>
      <w:r>
        <w:rPr>
          <w:rFonts w:ascii="Arial" w:cs="Arial" w:eastAsia="Arial" w:hAnsi="Arial"/>
          <w:sz w:val="22"/>
          <w:szCs w:val="22"/>
        </w:rPr>
        <w:t xml:space="preserve">AI product companies — AI for Customers + intelliHR NLP is differentiated.</w:t>
      </w:r>
    </w:p>
    <w:p>
      <w:pPr>
        <w:pStyle w:val="ListParagraph"/>
        <w:numPr>
          <w:ilvl w:val="0"/>
          <w:numId w:val="2"/>
        </w:numPr>
        <w:spacing w:after="80"/>
      </w:pPr>
      <w:r>
        <w:rPr>
          <w:rFonts w:ascii="Arial" w:cs="Arial" w:eastAsia="Arial" w:hAnsi="Arial"/>
          <w:sz w:val="22"/>
          <w:szCs w:val="22"/>
        </w:rPr>
        <w:t xml:space="preserve">Platform / developer tools — Xero API/Supergraph program experience is directly transferable.</w:t>
      </w:r>
    </w:p>
    <w:p>
      <w:pPr>
        <w:spacing w:after="160"/>
      </w:pPr>
    </w:p>
    <w:p>
      <w:pPr>
        <w:pStyle w:val="Heading1"/>
      </w:pPr>
      <w:r>
        <w:rPr>
          <w:rFonts w:ascii="Arial" w:cs="Arial" w:eastAsia="Arial" w:hAnsi="Arial"/>
          <w:b/>
          <w:bCs/>
          <w:color w:val="1F3864"/>
          <w:sz w:val="32"/>
          <w:szCs w:val="32"/>
        </w:rPr>
        <w:t xml:space="preserve">7. What 'Excellent' Looks Like</w:t>
      </w:r>
    </w:p>
    <w:p>
      <w:pPr>
        <w:spacing w:after="120"/>
      </w:pPr>
      <w:r>
        <w:rPr>
          <w:rFonts w:ascii="Arial" w:cs="Arial" w:eastAsia="Arial" w:hAnsi="Arial"/>
          <w:sz w:val="22"/>
          <w:szCs w:val="22"/>
        </w:rPr>
        <w:t xml:space="preserve">Alan's goal is not just to get an EM title — it is to be an excellent Technical Engineering Leader. Here is what that looks like across the capability areas, as the target state to work toward:</w:t>
      </w:r>
    </w:p>
    <w:p>
      <w:pPr>
        <w:spacing w:after="160"/>
      </w:pPr>
    </w:p>
    <w:p>
      <w:pPr>
        <w:pStyle w:val="ListParagraph"/>
        <w:numPr>
          <w:ilvl w:val="0"/>
          <w:numId w:val="2"/>
        </w:numPr>
        <w:spacing w:after="80"/>
      </w:pPr>
      <w:r>
        <w:rPr>
          <w:rFonts w:ascii="Arial" w:cs="Arial" w:eastAsia="Arial" w:hAnsi="Arial"/>
          <w:b/>
          <w:bCs/>
          <w:sz w:val="22"/>
          <w:szCs w:val="22"/>
        </w:rPr>
        <w:t xml:space="preserve">Every direct report has a documented development plan and understands exactly what they need to do to reach the next level. Performance conversations happen continuously, not just at review time. Difficult conversations are handled early and directly. The team has zero attrition surprises.</w:t>
      </w:r>
      <w:r>
        <w:rPr>
          <w:rFonts w:ascii="Arial" w:cs="Arial" w:eastAsia="Arial" w:hAnsi="Arial"/>
          <w:sz w:val="22"/>
          <w:szCs w:val="22"/>
        </w:rPr>
        <w:t xml:space="preserve">People: </w:t>
      </w:r>
    </w:p>
    <w:p>
      <w:pPr>
        <w:pStyle w:val="ListParagraph"/>
        <w:numPr>
          <w:ilvl w:val="0"/>
          <w:numId w:val="2"/>
        </w:numPr>
        <w:spacing w:after="80"/>
      </w:pPr>
      <w:r>
        <w:rPr>
          <w:rFonts w:ascii="Arial" w:cs="Arial" w:eastAsia="Arial" w:hAnsi="Arial"/>
          <w:b/>
          <w:bCs/>
          <w:sz w:val="22"/>
          <w:szCs w:val="22"/>
        </w:rPr>
        <w:t xml:space="preserve">The team ships predictably, at a pace that is sustainable. DORA metrics are tracked and improving quarter over quarter. The roadmap balances feature work, tech debt, and operational investment at roughly 70/20/10. Stakeholders trust the team's forecasts.</w:t>
      </w:r>
      <w:r>
        <w:rPr>
          <w:rFonts w:ascii="Arial" w:cs="Arial" w:eastAsia="Arial" w:hAnsi="Arial"/>
          <w:sz w:val="22"/>
          <w:szCs w:val="22"/>
        </w:rPr>
        <w:t xml:space="preserve">Delivery: </w:t>
      </w:r>
    </w:p>
    <w:p>
      <w:pPr>
        <w:pStyle w:val="ListParagraph"/>
        <w:numPr>
          <w:ilvl w:val="0"/>
          <w:numId w:val="2"/>
        </w:numPr>
        <w:spacing w:after="80"/>
      </w:pPr>
      <w:r>
        <w:rPr>
          <w:rFonts w:ascii="Arial" w:cs="Arial" w:eastAsia="Arial" w:hAnsi="Arial"/>
          <w:b/>
          <w:bCs/>
          <w:sz w:val="22"/>
          <w:szCs w:val="22"/>
        </w:rPr>
        <w:t xml:space="preserve">The manager does not write production code daily but can engage deeply on architecture decisions, review PRs for design patterns, and call out technical debt risks before they become incidents. Cloud architecture is understood well enough to evaluate cost and risk trade-offs.</w:t>
      </w:r>
      <w:r>
        <w:rPr>
          <w:rFonts w:ascii="Arial" w:cs="Arial" w:eastAsia="Arial" w:hAnsi="Arial"/>
          <w:sz w:val="22"/>
          <w:szCs w:val="22"/>
        </w:rPr>
        <w:t xml:space="preserve">Technical: </w:t>
      </w:r>
    </w:p>
    <w:p>
      <w:pPr>
        <w:pStyle w:val="ListParagraph"/>
        <w:numPr>
          <w:ilvl w:val="0"/>
          <w:numId w:val="2"/>
        </w:numPr>
        <w:spacing w:after="80"/>
      </w:pPr>
      <w:r>
        <w:rPr>
          <w:rFonts w:ascii="Arial" w:cs="Arial" w:eastAsia="Arial" w:hAnsi="Arial"/>
          <w:b/>
          <w:bCs/>
          <w:sz w:val="22"/>
          <w:szCs w:val="22"/>
        </w:rPr>
        <w:t xml:space="preserve">Engineers on the team feel psychologically safe to raise problems, disagree with leadership, and take calculated risks. The team has a reputation inside the company as a place where people grow fast.</w:t>
      </w:r>
      <w:r>
        <w:rPr>
          <w:rFonts w:ascii="Arial" w:cs="Arial" w:eastAsia="Arial" w:hAnsi="Arial"/>
          <w:sz w:val="22"/>
          <w:szCs w:val="22"/>
        </w:rPr>
        <w:t xml:space="preserve">Culture: </w:t>
      </w:r>
    </w:p>
    <w:p>
      <w:pPr>
        <w:pStyle w:val="ListParagraph"/>
        <w:numPr>
          <w:ilvl w:val="0"/>
          <w:numId w:val="2"/>
        </w:numPr>
        <w:spacing w:after="80"/>
      </w:pPr>
      <w:r>
        <w:rPr>
          <w:rFonts w:ascii="Arial" w:cs="Arial" w:eastAsia="Arial" w:hAnsi="Arial"/>
          <w:b/>
          <w:bCs/>
          <w:sz w:val="22"/>
          <w:szCs w:val="22"/>
        </w:rPr>
        <w:t xml:space="preserve">The manager understands how engineers are using AI coding tools, can evaluate whether AI-generated code meets quality standards, and helps the team adapt its review and testing practices for an AI-assisted workflow.</w:t>
      </w:r>
      <w:r>
        <w:rPr>
          <w:rFonts w:ascii="Arial" w:cs="Arial" w:eastAsia="Arial" w:hAnsi="Arial"/>
          <w:sz w:val="22"/>
          <w:szCs w:val="22"/>
        </w:rPr>
        <w:t xml:space="preserve">AI Fluency: </w:t>
      </w:r>
    </w:p>
    <w:p>
      <w:pPr>
        <w:spacing w:after="160"/>
      </w:pPr>
    </w:p>
    <w:p>
      <w:pPr>
        <w:pBdr>
          <w:top w:val="single" w:color="2E5FA3" w:sz="6" w:space="4"/>
        </w:pBdr>
        <w:spacing w:after="80" w:before="240"/>
      </w:pPr>
    </w:p>
    <w:p>
      <w:pPr>
        <w:spacing w:after="120"/>
      </w:pPr>
      <w:r>
        <w:rPr>
          <w:rFonts w:ascii="Arial" w:cs="Arial" w:eastAsia="Arial" w:hAnsi="Arial"/>
          <w:b/>
          <w:bCs/>
          <w:sz w:val="22"/>
          <w:szCs w:val="22"/>
        </w:rPr>
        <w:t xml:space="preserve">Summary: </w:t>
      </w:r>
      <w:r>
        <w:rPr>
          <w:rFonts w:ascii="Arial" w:cs="Arial" w:eastAsia="Arial" w:hAnsi="Arial"/>
          <w:sz w:val="22"/>
          <w:szCs w:val="22"/>
        </w:rPr>
        <w:t xml:space="preserve">Alan has a genuinely differentiated profile for an EM / HoE transition — rare technical depth combined with delivery mastery and executive-level communication. The gaps are specific, addressable, and not unusual for someone making this move from a TPM track. The highest-leverage investments are: (1) getting formal people management reps, ideally inside Xero before job-searching, (2) earning an AWS certification, and (3) building fluency in DORA metrics and incident management language. With 6–12 months of targeted development, Alan is well-positioned to land and excel in an Engineering Manager role at a leading Australian software company.</w:t>
      </w:r>
    </w:p>
    <w:p>
      <w:pPr>
        <w:spacing w:after="160"/>
      </w:pPr>
    </w:p>
    <w:p>
      <w:pPr>
        <w:spacing w:after="120"/>
      </w:pPr>
      <w:r>
        <w:rPr>
          <w:rFonts w:ascii="Arial" w:cs="Arial" w:eastAsia="Arial" w:hAnsi="Arial"/>
          <w:color w:val="888888"/>
          <w:sz w:val="18"/>
          <w:szCs w:val="18"/>
        </w:rPr>
        <w:t xml:space="preserve">Report prepared: June 2026. Sources: SEEK Australia job listings, LinkedIn job market data, em-tools.io Engineering Manager Responsibilities Guide (June 2026), Pragmatic Engineer State of the Job Market 2026, Workforce.ai, Jobs and Skills Australia, Velyq EM Interview Framework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before="80"/>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0"/>
      <w:jc w:val="right"/>
    </w:pPr>
    <w:r>
      <w:rPr>
        <w:rFonts w:ascii="Arial" w:cs="Arial" w:eastAsia="Arial" w:hAnsi="Arial"/>
        <w:color w:val="888888"/>
        <w:sz w:val="18"/>
        <w:szCs w:val="18"/>
      </w:rPr>
      <w:t xml:space="preserve">Alan Soto  |  Career Gap Analysis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3"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2026-06-18T12:22:31.654Z</dcterms:created>
  <dcterms:modified xsi:type="dcterms:W3CDTF">2026-06-18T12:22:31.654Z</dcterms:modified>
</cp:coreProperties>
</file>

<file path=docProps/custom.xml><?xml version="1.0" encoding="utf-8"?>
<Properties xmlns="http://schemas.openxmlformats.org/officeDocument/2006/custom-properties" xmlns:vt="http://schemas.openxmlformats.org/officeDocument/2006/docPropsVTypes"/>
</file>