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57BA" w14:textId="77777777" w:rsidR="009A3C22" w:rsidRDefault="00000000">
      <w:pPr>
        <w:spacing w:after="40"/>
        <w:jc w:val="center"/>
      </w:pPr>
      <w:r>
        <w:rPr>
          <w:b/>
          <w:color w:val="1A56DB"/>
          <w:sz w:val="44"/>
        </w:rPr>
        <w:t>MedGemma Triage System</w:t>
      </w:r>
    </w:p>
    <w:p w14:paraId="0F5647AD" w14:textId="77777777" w:rsidR="009A3C22" w:rsidRDefault="00000000">
      <w:pPr>
        <w:spacing w:after="40"/>
        <w:jc w:val="center"/>
      </w:pPr>
      <w:r>
        <w:rPr>
          <w:color w:val="555555"/>
          <w:sz w:val="24"/>
        </w:rPr>
        <w:t>Autonomous Medical Report Triage with Edge-Deployed AI</w:t>
      </w:r>
    </w:p>
    <w:p w14:paraId="7C0867CC" w14:textId="77777777" w:rsidR="009A3C22" w:rsidRPr="00AA3A24" w:rsidRDefault="00AA3A24">
      <w:pPr>
        <w:spacing w:after="40"/>
        <w:jc w:val="center"/>
        <w:rPr>
          <w:iCs/>
          <w:color w:val="4F81BD" w:themeColor="accent1"/>
        </w:rPr>
      </w:pPr>
      <w:r w:rsidRPr="00AA3A24">
        <w:rPr>
          <w:iCs/>
          <w:color w:val="4F81BD" w:themeColor="accent1"/>
        </w:rPr>
        <w:t>Alan T. Andrea / OptiMLX Medical</w:t>
      </w:r>
    </w:p>
    <w:p w14:paraId="698306E6" w14:textId="77777777" w:rsidR="009A3C22" w:rsidRDefault="00000000">
      <w:pPr>
        <w:spacing w:after="40"/>
        <w:jc w:val="center"/>
      </w:pPr>
      <w:r>
        <w:rPr>
          <w:color w:val="999999"/>
          <w:sz w:val="18"/>
        </w:rPr>
        <w:t>Google MedGemma Impact Challenge  |  Kaggle 2026</w:t>
      </w:r>
    </w:p>
    <w:p w14:paraId="62ACA741" w14:textId="77777777" w:rsidR="009A3C22" w:rsidRDefault="009A3C22">
      <w:pPr>
        <w:pBdr>
          <w:bottom w:val="single" w:sz="8" w:space="1" w:color="1A56DB"/>
        </w:pBdr>
        <w:spacing w:before="40" w:after="120"/>
      </w:pPr>
    </w:p>
    <w:p w14:paraId="14995291" w14:textId="77777777" w:rsidR="009A3C22" w:rsidRDefault="00000000">
      <w:pPr>
        <w:pStyle w:val="Heading1"/>
      </w:pPr>
      <w:r>
        <w:t>1. Problem &amp; Approach</w:t>
      </w:r>
    </w:p>
    <w:p w14:paraId="59013202" w14:textId="77777777" w:rsidR="009A3C22" w:rsidRDefault="00000000">
      <w:pPr>
        <w:pStyle w:val="Heading2"/>
      </w:pPr>
      <w:r>
        <w:t>The Problem</w:t>
      </w:r>
    </w:p>
    <w:p w14:paraId="1DE84C72" w14:textId="77777777" w:rsidR="00B12B73" w:rsidRPr="009A23BC" w:rsidRDefault="006F11ED">
      <w:pPr>
        <w:rPr>
          <w:iCs/>
          <w:color w:val="000000" w:themeColor="text1"/>
        </w:rPr>
      </w:pPr>
      <w:r w:rsidRPr="009A23BC">
        <w:rPr>
          <w:iCs/>
          <w:color w:val="000000" w:themeColor="text1"/>
          <w:sz w:val="20"/>
        </w:rPr>
        <w:t xml:space="preserve">In a busy </w:t>
      </w:r>
      <w:r w:rsidR="00B12B73" w:rsidRPr="009A23BC">
        <w:rPr>
          <w:iCs/>
          <w:color w:val="000000" w:themeColor="text1"/>
          <w:sz w:val="20"/>
        </w:rPr>
        <w:t>practice</w:t>
      </w:r>
      <w:r w:rsidRPr="009A23BC">
        <w:rPr>
          <w:iCs/>
          <w:color w:val="000000" w:themeColor="text1"/>
          <w:sz w:val="20"/>
        </w:rPr>
        <w:t>, patient la</w:t>
      </w:r>
      <w:r w:rsidR="00B12B73" w:rsidRPr="009A23BC">
        <w:rPr>
          <w:iCs/>
          <w:color w:val="000000" w:themeColor="text1"/>
          <w:sz w:val="20"/>
        </w:rPr>
        <w:t>b,</w:t>
      </w:r>
      <w:r w:rsidRPr="009A23BC">
        <w:rPr>
          <w:iCs/>
          <w:color w:val="000000" w:themeColor="text1"/>
          <w:sz w:val="20"/>
        </w:rPr>
        <w:t xml:space="preserve"> radiology, pathology and other results are constantly being </w:t>
      </w:r>
      <w:r w:rsidR="00C838B9" w:rsidRPr="009A23BC">
        <w:rPr>
          <w:iCs/>
          <w:color w:val="000000" w:themeColor="text1"/>
          <w:sz w:val="20"/>
        </w:rPr>
        <w:t>ordered</w:t>
      </w:r>
      <w:r w:rsidRPr="009A23BC">
        <w:rPr>
          <w:iCs/>
          <w:color w:val="000000" w:themeColor="text1"/>
          <w:sz w:val="20"/>
        </w:rPr>
        <w:t xml:space="preserve"> </w:t>
      </w:r>
      <w:r w:rsidR="00B12B73" w:rsidRPr="009A23BC">
        <w:rPr>
          <w:iCs/>
          <w:color w:val="000000" w:themeColor="text1"/>
          <w:sz w:val="20"/>
        </w:rPr>
        <w:t>and the corresponding results come back to the doctor to review</w:t>
      </w:r>
      <w:r w:rsidRPr="009A23BC">
        <w:rPr>
          <w:iCs/>
          <w:color w:val="000000" w:themeColor="text1"/>
          <w:sz w:val="20"/>
        </w:rPr>
        <w:t xml:space="preserve">.  Many times, neither </w:t>
      </w:r>
      <w:r w:rsidR="00B12B73" w:rsidRPr="009A23BC">
        <w:rPr>
          <w:iCs/>
          <w:color w:val="000000" w:themeColor="text1"/>
          <w:sz w:val="20"/>
        </w:rPr>
        <w:t>the</w:t>
      </w:r>
      <w:r w:rsidRPr="009A23BC">
        <w:rPr>
          <w:iCs/>
          <w:color w:val="000000" w:themeColor="text1"/>
          <w:sz w:val="20"/>
        </w:rPr>
        <w:t xml:space="preserve"> patient nor their doctor will know the results until the patient schedules an appointment with their physician. This might result in delays where critical findings are </w:t>
      </w:r>
      <w:r w:rsidR="00B12B73" w:rsidRPr="009A23BC">
        <w:rPr>
          <w:iCs/>
          <w:color w:val="000000" w:themeColor="text1"/>
          <w:sz w:val="20"/>
        </w:rPr>
        <w:t>overlooked for far too long until patient and doctor finally meet to discuss.  Consequently, these critical results might result in delays that could potentially affect the patient’s outcome or possibly even their lives. Furthermore, given the volume of these reports and this data, manual review is time-consuming and error-prone — critical findings like a ruptured aortic aneurysm on a CT scan or dangerously low blood sugar in a diabetic patient can be buried in a queue of routine results. Delayed triage leads to missed diagnoses and preventable harm.</w:t>
      </w:r>
      <w:r w:rsidR="00B12B73" w:rsidRPr="009A23BC">
        <w:rPr>
          <w:iCs/>
          <w:color w:val="000000" w:themeColor="text1"/>
        </w:rPr>
        <w:t xml:space="preserve">  </w:t>
      </w:r>
    </w:p>
    <w:p w14:paraId="73C98375" w14:textId="77777777" w:rsidR="00B12B73" w:rsidRPr="00B12B73" w:rsidRDefault="00B12B73">
      <w:pPr>
        <w:rPr>
          <w:iCs/>
        </w:rPr>
      </w:pPr>
    </w:p>
    <w:p w14:paraId="14C51BBD" w14:textId="77777777" w:rsidR="009A3C22" w:rsidRPr="009A23BC" w:rsidRDefault="00000000">
      <w:pPr>
        <w:rPr>
          <w:iCs/>
          <w:color w:val="000000" w:themeColor="text1"/>
        </w:rPr>
      </w:pPr>
      <w:r w:rsidRPr="009A23BC">
        <w:rPr>
          <w:iCs/>
          <w:color w:val="000000" w:themeColor="text1"/>
          <w:sz w:val="20"/>
        </w:rPr>
        <w:t xml:space="preserve">Primary care </w:t>
      </w:r>
    </w:p>
    <w:p w14:paraId="68C5DB6D" w14:textId="77777777" w:rsidR="009A3C22" w:rsidRPr="009A23BC" w:rsidRDefault="00000000">
      <w:pPr>
        <w:rPr>
          <w:iCs/>
          <w:color w:val="000000" w:themeColor="text1"/>
        </w:rPr>
      </w:pPr>
      <w:r w:rsidRPr="009A23BC">
        <w:rPr>
          <w:iCs/>
          <w:color w:val="000000" w:themeColor="text1"/>
          <w:sz w:val="20"/>
        </w:rPr>
        <w:t>Research published in the Archives of Internal Medicine found that approximately 7.1% of abnormal test results were not followed up in a timely manner across multiple primary care practices. In high-volume settings, physicians may review hundreds of results per week, and studies have shown that delayed follow-up on critical lab values contributes to diagnostic errors — the leading cause of malpractice claims in outpatient medicine. A system that autonomously triages and prioritizes these results by clinical urgency could meaningfully reduce the window between result availability and physician action.</w:t>
      </w:r>
    </w:p>
    <w:p w14:paraId="097FE687" w14:textId="77777777" w:rsidR="009A3C22" w:rsidRDefault="00000000">
      <w:pPr>
        <w:pStyle w:val="Heading2"/>
      </w:pPr>
      <w:r>
        <w:t>Current State</w:t>
      </w:r>
    </w:p>
    <w:p w14:paraId="0ABB7B2C" w14:textId="77777777" w:rsidR="009A3C22" w:rsidRPr="009A23BC" w:rsidRDefault="00000000">
      <w:pPr>
        <w:rPr>
          <w:iCs/>
          <w:color w:val="000000" w:themeColor="text1"/>
        </w:rPr>
      </w:pPr>
      <w:r w:rsidRPr="009A23BC">
        <w:rPr>
          <w:iCs/>
          <w:color w:val="000000" w:themeColor="text1"/>
          <w:sz w:val="20"/>
        </w:rPr>
        <w:t>In the current manual workflow, a physician opens their EHR inbox each morning to find dozens — sometimes hundreds — of pending results. They scroll through each one sequentially: lab panels, radiology reads, pathology reports, and patient messages. Abnormal values must be mentally flagged and cross-referenced against the patient's history. There is no automated prioritization — a routine lipid panel sits in the same queue as a critically low hemoglobin. There is no trend analysis across historical values, so a steadily rising creatinine over three visits may go unnoticed until it crosses a critical threshold. There is no real-time alerting — a tension pneumothorax finding on a CT scan waits in the queue until the doctor gets to it. When the physician is overloaded, items get missed. This is the gap our system addresses.</w:t>
      </w:r>
    </w:p>
    <w:p w14:paraId="55710E51" w14:textId="77777777" w:rsidR="009A3C22" w:rsidRDefault="00000000">
      <w:pPr>
        <w:pStyle w:val="Heading2"/>
      </w:pPr>
      <w:r>
        <w:t>Our Solution</w:t>
      </w:r>
    </w:p>
    <w:p w14:paraId="6D3F1044" w14:textId="77777777" w:rsidR="009A3C22" w:rsidRDefault="00E55B0E">
      <w:pPr>
        <w:rPr>
          <w:iCs/>
          <w:color w:val="888888"/>
          <w:sz w:val="20"/>
        </w:rPr>
      </w:pPr>
      <w:r w:rsidRPr="009A23BC">
        <w:rPr>
          <w:iCs/>
          <w:color w:val="000000" w:themeColor="text1"/>
          <w:sz w:val="20"/>
        </w:rPr>
        <w:t xml:space="preserve">I built an automated AI driven pipeline that continuously monitors incoming medical data — lab results, radiology reports, pathology findings, and patient-submitted health notes and prioritizes them by clinical urgency.  Essentially, this AI application triages them and then sends summarized alerts to the physician with the pertinent details so that they can be made aware of significant findings in a timely manner and take the appropriate actions for their patients.  The system runs entirely on edge hardware (NVIDIA DGX Spark) with no cloud dependency for inference, making it suitable for privacy-sensitive clinical environments.  Furthermore, I build a backend cloud driven service to serve up realistic mock medical reports including: Lab results, radiology results, pathology results, and notes from patients.  Essentially, this mocks up the </w:t>
      </w:r>
      <w:r w:rsidR="00B7592F" w:rsidRPr="009A23BC">
        <w:rPr>
          <w:iCs/>
          <w:color w:val="000000" w:themeColor="text1"/>
          <w:sz w:val="20"/>
        </w:rPr>
        <w:t>patient’s</w:t>
      </w:r>
      <w:r w:rsidRPr="009A23BC">
        <w:rPr>
          <w:iCs/>
          <w:color w:val="000000" w:themeColor="text1"/>
          <w:sz w:val="20"/>
        </w:rPr>
        <w:t xml:space="preserve"> ability to report symptoms and issues they are experiencing so they can be added to the patients’ local records and analyzed to determine their significance.  As part of this pipeline, all data will be intelligently parsed and included into a local MongoDB database.  This database is essential for computing the rates of change of labs, radiology results and </w:t>
      </w:r>
      <w:r w:rsidRPr="009A23BC">
        <w:rPr>
          <w:iCs/>
          <w:color w:val="000000" w:themeColor="text1"/>
          <w:sz w:val="20"/>
        </w:rPr>
        <w:lastRenderedPageBreak/>
        <w:t>other findings to further enhance the overall effectiveness and provide a greater amount of depth to the physician. For example, a lab might be within the normal range, however, its velocity might be so extreme that it indicates a problem regardless or even given the rate of change over time, it indicates that the value might soon go far out of range.  Knowing this in a timely manner further enhances the effectiveness of the physician to better treat their patients and is a core aspect of this system.</w:t>
      </w:r>
      <w:r>
        <w:rPr>
          <w:iCs/>
          <w:color w:val="888888"/>
          <w:sz w:val="20"/>
        </w:rPr>
        <w:t xml:space="preserve"> </w:t>
      </w:r>
    </w:p>
    <w:p w14:paraId="275FEE8D" w14:textId="77777777" w:rsidR="00E55B0E" w:rsidRDefault="00E55B0E">
      <w:pPr>
        <w:rPr>
          <w:iCs/>
          <w:color w:val="888888"/>
          <w:sz w:val="20"/>
        </w:rPr>
      </w:pPr>
    </w:p>
    <w:p w14:paraId="264F55CA" w14:textId="77777777" w:rsidR="00E55B0E" w:rsidRPr="00E55B0E" w:rsidRDefault="00E55B0E">
      <w:pPr>
        <w:rPr>
          <w:iCs/>
          <w:color w:val="888888"/>
          <w:sz w:val="20"/>
        </w:rPr>
      </w:pPr>
    </w:p>
    <w:p w14:paraId="4C9AF38F" w14:textId="77777777" w:rsidR="009A3C22" w:rsidRDefault="00000000">
      <w:pPr>
        <w:pStyle w:val="Heading2"/>
      </w:pPr>
      <w:r>
        <w:t>Model Selection</w:t>
      </w:r>
    </w:p>
    <w:tbl>
      <w:tblPr>
        <w:tblW w:w="0" w:type="auto"/>
        <w:jc w:val="center"/>
        <w:tblLook w:val="04A0" w:firstRow="1" w:lastRow="0" w:firstColumn="1" w:lastColumn="0" w:noHBand="0" w:noVBand="1"/>
      </w:tblPr>
      <w:tblGrid>
        <w:gridCol w:w="2160"/>
        <w:gridCol w:w="2880"/>
        <w:gridCol w:w="4320"/>
      </w:tblGrid>
      <w:tr w:rsidR="009A3C22" w14:paraId="23683EE0" w14:textId="77777777">
        <w:trPr>
          <w:jc w:val="center"/>
        </w:trPr>
        <w:tc>
          <w:tcPr>
            <w:tcW w:w="2160" w:type="dxa"/>
            <w:shd w:val="clear" w:color="auto" w:fill="1A56DB"/>
          </w:tcPr>
          <w:p w14:paraId="6F7E923B" w14:textId="77777777" w:rsidR="009A3C22" w:rsidRDefault="00000000">
            <w:r>
              <w:rPr>
                <w:b/>
                <w:color w:val="FFFFFF"/>
                <w:sz w:val="19"/>
              </w:rPr>
              <w:t>Model</w:t>
            </w:r>
          </w:p>
        </w:tc>
        <w:tc>
          <w:tcPr>
            <w:tcW w:w="2880" w:type="dxa"/>
            <w:shd w:val="clear" w:color="auto" w:fill="1A56DB"/>
          </w:tcPr>
          <w:p w14:paraId="65BCE71B" w14:textId="77777777" w:rsidR="009A3C22" w:rsidRDefault="00000000">
            <w:r>
              <w:rPr>
                <w:b/>
                <w:color w:val="FFFFFF"/>
                <w:sz w:val="19"/>
              </w:rPr>
              <w:t>Role</w:t>
            </w:r>
          </w:p>
        </w:tc>
        <w:tc>
          <w:tcPr>
            <w:tcW w:w="4320" w:type="dxa"/>
            <w:shd w:val="clear" w:color="auto" w:fill="1A56DB"/>
          </w:tcPr>
          <w:p w14:paraId="1AFAD273" w14:textId="77777777" w:rsidR="009A3C22" w:rsidRDefault="00000000">
            <w:r>
              <w:rPr>
                <w:b/>
                <w:color w:val="FFFFFF"/>
                <w:sz w:val="19"/>
              </w:rPr>
              <w:t>Why This Model</w:t>
            </w:r>
          </w:p>
        </w:tc>
      </w:tr>
      <w:tr w:rsidR="009A3C22" w14:paraId="49334C70" w14:textId="77777777">
        <w:trPr>
          <w:jc w:val="center"/>
        </w:trPr>
        <w:tc>
          <w:tcPr>
            <w:tcW w:w="2160" w:type="dxa"/>
          </w:tcPr>
          <w:p w14:paraId="7140DA95" w14:textId="77777777" w:rsidR="009A3C22" w:rsidRDefault="00000000">
            <w:r>
              <w:rPr>
                <w:sz w:val="19"/>
              </w:rPr>
              <w:t>MedGemma 27B IT</w:t>
            </w:r>
          </w:p>
        </w:tc>
        <w:tc>
          <w:tcPr>
            <w:tcW w:w="2880" w:type="dxa"/>
          </w:tcPr>
          <w:p w14:paraId="600E83B5" w14:textId="77777777" w:rsidR="009A3C22" w:rsidRDefault="00000000">
            <w:r>
              <w:rPr>
                <w:sz w:val="19"/>
              </w:rPr>
              <w:t>Text analysis, clinical reasoning, scoring</w:t>
            </w:r>
          </w:p>
        </w:tc>
        <w:tc>
          <w:tcPr>
            <w:tcW w:w="4320" w:type="dxa"/>
          </w:tcPr>
          <w:p w14:paraId="27DFA114" w14:textId="77777777" w:rsidR="009A3C22" w:rsidRDefault="00B7592F">
            <w:r>
              <w:rPr>
                <w:sz w:val="19"/>
              </w:rPr>
              <w:t xml:space="preserve">This is the primary model for doing the initial analysis of reports and understanding the content. It will also assemble the final responses at the end. </w:t>
            </w:r>
          </w:p>
        </w:tc>
      </w:tr>
      <w:tr w:rsidR="009A3C22" w14:paraId="0CB5F125" w14:textId="77777777">
        <w:trPr>
          <w:jc w:val="center"/>
        </w:trPr>
        <w:tc>
          <w:tcPr>
            <w:tcW w:w="2160" w:type="dxa"/>
            <w:shd w:val="clear" w:color="auto" w:fill="F0F4FF"/>
          </w:tcPr>
          <w:p w14:paraId="50084C2A" w14:textId="77777777" w:rsidR="009A3C22" w:rsidRDefault="00000000">
            <w:r>
              <w:rPr>
                <w:sz w:val="19"/>
              </w:rPr>
              <w:t>MedGemma 4B IT</w:t>
            </w:r>
          </w:p>
        </w:tc>
        <w:tc>
          <w:tcPr>
            <w:tcW w:w="2880" w:type="dxa"/>
            <w:shd w:val="clear" w:color="auto" w:fill="F0F4FF"/>
          </w:tcPr>
          <w:p w14:paraId="695EBB2D" w14:textId="77777777" w:rsidR="009A3C22" w:rsidRDefault="00000000">
            <w:r>
              <w:rPr>
                <w:sz w:val="19"/>
              </w:rPr>
              <w:t>Radiology image analysis</w:t>
            </w:r>
          </w:p>
        </w:tc>
        <w:tc>
          <w:tcPr>
            <w:tcW w:w="4320" w:type="dxa"/>
            <w:shd w:val="clear" w:color="auto" w:fill="F0F4FF"/>
          </w:tcPr>
          <w:p w14:paraId="723F97F8" w14:textId="77777777" w:rsidR="009A3C22" w:rsidRDefault="00FE2738">
            <w:r>
              <w:rPr>
                <w:sz w:val="19"/>
              </w:rPr>
              <w:t xml:space="preserve">This model is used for the evaluation of incoming radiology imagery and to make impressions on that. </w:t>
            </w:r>
          </w:p>
        </w:tc>
      </w:tr>
    </w:tbl>
    <w:p w14:paraId="3CF84818" w14:textId="77777777" w:rsidR="009A23BC" w:rsidRDefault="009A23BC"/>
    <w:p w14:paraId="3AF0C938" w14:textId="7BE93738" w:rsidR="009A3C22" w:rsidRDefault="009A3C22">
      <w:r>
        <w:t>MedGemma was selected as the foundation for this system because it is purpose-built for medical reasoning. Unlike general-purpose LLMs, MedGemma is trained on biomedical literature and clinical data, giving it domain-specific understanding of lab values, radiology terminology, pathology findings, and clinical significance. The 27B IT (instruction-tuned) variant serves as the primary model for all text analysis — classification, structured extraction, clinical reasoning, and scoring. Its large context window and strong instruction following make it well-suited for the structured prompting patterns used in each pipeline step. The 4B IT variant provides multimodal capability for radiology image analysis — it can interpret X-rays, CT scans, MRIs, and PET scans, producing structured findings that the 27B model then synthesizes into a clinical summary. This dual-model architecture allows the system to handle both text-heavy reports (labs, pathology) and image-heavy reports (radiology) within a single unified pipeline.</w:t>
      </w:r>
    </w:p>
    <w:p w14:paraId="42644CB3" w14:textId="77777777" w:rsidR="009A3C22" w:rsidRDefault="009A3C22"/>
    <w:p w14:paraId="1CDF4353" w14:textId="77777777" w:rsidR="009A3C22" w:rsidRDefault="00000000">
      <w:pPr>
        <w:pStyle w:val="Heading1"/>
      </w:pPr>
      <w:r>
        <w:t>2. Architecture &amp; Pipeline</w:t>
      </w:r>
    </w:p>
    <w:p w14:paraId="3C2687E4" w14:textId="77777777" w:rsidR="009A3C22" w:rsidRDefault="00000000">
      <w:pPr>
        <w:pStyle w:val="Heading2"/>
      </w:pPr>
      <w:r>
        <w:t>System Architecture</w:t>
      </w:r>
    </w:p>
    <w:p w14:paraId="5A61E8EE" w14:textId="77777777" w:rsidR="009A3C22" w:rsidRDefault="00000000">
      <w:pPr>
        <w:spacing w:before="80"/>
      </w:pPr>
      <w:r>
        <w:t>The system operates as a two-tier architecture: an AWS serverless backend manages patient data and serves as the data layer, while the DGX Spark edge node runs the AI models locally and processes medical content through an autonomous LangGraph pipeline.</w:t>
      </w:r>
    </w:p>
    <w:p w14:paraId="7931DCA2" w14:textId="77777777" w:rsidR="009A3C22" w:rsidRDefault="00000000">
      <w:pPr>
        <w:pStyle w:val="Heading2"/>
      </w:pPr>
      <w:r>
        <w:t>The 8-Step LangGraph Pipeline</w:t>
      </w:r>
    </w:p>
    <w:tbl>
      <w:tblPr>
        <w:tblW w:w="0" w:type="auto"/>
        <w:jc w:val="center"/>
        <w:tblLook w:val="04A0" w:firstRow="1" w:lastRow="0" w:firstColumn="1" w:lastColumn="0" w:noHBand="0" w:noVBand="1"/>
      </w:tblPr>
      <w:tblGrid>
        <w:gridCol w:w="576"/>
        <w:gridCol w:w="1728"/>
        <w:gridCol w:w="6912"/>
      </w:tblGrid>
      <w:tr w:rsidR="009A3C22" w14:paraId="28467B01" w14:textId="77777777">
        <w:trPr>
          <w:jc w:val="center"/>
        </w:trPr>
        <w:tc>
          <w:tcPr>
            <w:tcW w:w="576" w:type="dxa"/>
            <w:shd w:val="clear" w:color="auto" w:fill="1A56DB"/>
          </w:tcPr>
          <w:p w14:paraId="08EA1B75" w14:textId="77777777" w:rsidR="009A3C22" w:rsidRDefault="00000000">
            <w:r>
              <w:rPr>
                <w:b/>
                <w:color w:val="FFFFFF"/>
                <w:sz w:val="19"/>
              </w:rPr>
              <w:t>Step</w:t>
            </w:r>
          </w:p>
        </w:tc>
        <w:tc>
          <w:tcPr>
            <w:tcW w:w="1728" w:type="dxa"/>
            <w:shd w:val="clear" w:color="auto" w:fill="1A56DB"/>
          </w:tcPr>
          <w:p w14:paraId="182BFA80" w14:textId="77777777" w:rsidR="009A3C22" w:rsidRDefault="00000000">
            <w:r>
              <w:rPr>
                <w:b/>
                <w:color w:val="FFFFFF"/>
                <w:sz w:val="19"/>
              </w:rPr>
              <w:t>Node</w:t>
            </w:r>
          </w:p>
        </w:tc>
        <w:tc>
          <w:tcPr>
            <w:tcW w:w="6912" w:type="dxa"/>
            <w:shd w:val="clear" w:color="auto" w:fill="1A56DB"/>
          </w:tcPr>
          <w:p w14:paraId="6A35AD4E" w14:textId="77777777" w:rsidR="009A3C22" w:rsidRDefault="00000000">
            <w:r>
              <w:rPr>
                <w:b/>
                <w:color w:val="FFFFFF"/>
                <w:sz w:val="19"/>
              </w:rPr>
              <w:t>What It Does</w:t>
            </w:r>
          </w:p>
        </w:tc>
      </w:tr>
      <w:tr w:rsidR="009A3C22" w14:paraId="439DE8C7" w14:textId="77777777">
        <w:trPr>
          <w:jc w:val="center"/>
        </w:trPr>
        <w:tc>
          <w:tcPr>
            <w:tcW w:w="576" w:type="dxa"/>
          </w:tcPr>
          <w:p w14:paraId="32E99DE5" w14:textId="77777777" w:rsidR="009A3C22" w:rsidRDefault="00000000">
            <w:r>
              <w:rPr>
                <w:sz w:val="19"/>
              </w:rPr>
              <w:t>1</w:t>
            </w:r>
          </w:p>
        </w:tc>
        <w:tc>
          <w:tcPr>
            <w:tcW w:w="1728" w:type="dxa"/>
          </w:tcPr>
          <w:p w14:paraId="475B2D70" w14:textId="77777777" w:rsidR="009A3C22" w:rsidRDefault="00000000">
            <w:r>
              <w:rPr>
                <w:sz w:val="19"/>
              </w:rPr>
              <w:t>Intake</w:t>
            </w:r>
          </w:p>
        </w:tc>
        <w:tc>
          <w:tcPr>
            <w:tcW w:w="6912" w:type="dxa"/>
          </w:tcPr>
          <w:p w14:paraId="0FEAF3F6" w14:textId="77777777" w:rsidR="009A3C22" w:rsidRDefault="00000000">
            <w:r>
              <w:rPr>
                <w:sz w:val="19"/>
              </w:rPr>
              <w:t>Downloads PDF/image from presigned S3 URLs</w:t>
            </w:r>
          </w:p>
        </w:tc>
      </w:tr>
      <w:tr w:rsidR="009A3C22" w14:paraId="57078F6F" w14:textId="77777777">
        <w:trPr>
          <w:jc w:val="center"/>
        </w:trPr>
        <w:tc>
          <w:tcPr>
            <w:tcW w:w="576" w:type="dxa"/>
            <w:shd w:val="clear" w:color="auto" w:fill="F0F4FF"/>
          </w:tcPr>
          <w:p w14:paraId="1BF7EDEA" w14:textId="77777777" w:rsidR="009A3C22" w:rsidRDefault="00000000">
            <w:r>
              <w:rPr>
                <w:sz w:val="19"/>
              </w:rPr>
              <w:t>2</w:t>
            </w:r>
          </w:p>
        </w:tc>
        <w:tc>
          <w:tcPr>
            <w:tcW w:w="1728" w:type="dxa"/>
            <w:shd w:val="clear" w:color="auto" w:fill="F0F4FF"/>
          </w:tcPr>
          <w:p w14:paraId="116EF8C3" w14:textId="77777777" w:rsidR="009A3C22" w:rsidRDefault="00000000">
            <w:r>
              <w:rPr>
                <w:sz w:val="19"/>
              </w:rPr>
              <w:t>Classify</w:t>
            </w:r>
          </w:p>
        </w:tc>
        <w:tc>
          <w:tcPr>
            <w:tcW w:w="6912" w:type="dxa"/>
            <w:shd w:val="clear" w:color="auto" w:fill="F0F4FF"/>
          </w:tcPr>
          <w:p w14:paraId="694A00A4" w14:textId="77777777" w:rsidR="009A3C22" w:rsidRDefault="00000000">
            <w:r>
              <w:rPr>
                <w:sz w:val="19"/>
              </w:rPr>
              <w:t>Identifies report type (lab, radiology, pathology, patient note)</w:t>
            </w:r>
          </w:p>
        </w:tc>
      </w:tr>
      <w:tr w:rsidR="009A3C22" w14:paraId="5688A1BA" w14:textId="77777777">
        <w:trPr>
          <w:jc w:val="center"/>
        </w:trPr>
        <w:tc>
          <w:tcPr>
            <w:tcW w:w="576" w:type="dxa"/>
          </w:tcPr>
          <w:p w14:paraId="581678D4" w14:textId="77777777" w:rsidR="009A3C22" w:rsidRDefault="00000000">
            <w:r>
              <w:rPr>
                <w:sz w:val="19"/>
              </w:rPr>
              <w:t>3</w:t>
            </w:r>
          </w:p>
        </w:tc>
        <w:tc>
          <w:tcPr>
            <w:tcW w:w="1728" w:type="dxa"/>
          </w:tcPr>
          <w:p w14:paraId="71263F3E" w14:textId="77777777" w:rsidR="009A3C22" w:rsidRDefault="00000000">
            <w:r>
              <w:rPr>
                <w:sz w:val="19"/>
              </w:rPr>
              <w:t>Extract</w:t>
            </w:r>
          </w:p>
        </w:tc>
        <w:tc>
          <w:tcPr>
            <w:tcW w:w="6912" w:type="dxa"/>
          </w:tcPr>
          <w:p w14:paraId="635532BE" w14:textId="77777777" w:rsidR="009A3C22" w:rsidRDefault="00000000">
            <w:r>
              <w:rPr>
                <w:sz w:val="19"/>
              </w:rPr>
              <w:t>Structured extraction of lab values with LOINC normalization</w:t>
            </w:r>
          </w:p>
        </w:tc>
      </w:tr>
      <w:tr w:rsidR="009A3C22" w14:paraId="2F3D13AC" w14:textId="77777777">
        <w:trPr>
          <w:jc w:val="center"/>
        </w:trPr>
        <w:tc>
          <w:tcPr>
            <w:tcW w:w="576" w:type="dxa"/>
            <w:shd w:val="clear" w:color="auto" w:fill="F0F4FF"/>
          </w:tcPr>
          <w:p w14:paraId="52B13C54" w14:textId="77777777" w:rsidR="009A3C22" w:rsidRDefault="00000000">
            <w:r>
              <w:rPr>
                <w:sz w:val="19"/>
              </w:rPr>
              <w:t>4</w:t>
            </w:r>
          </w:p>
        </w:tc>
        <w:tc>
          <w:tcPr>
            <w:tcW w:w="1728" w:type="dxa"/>
            <w:shd w:val="clear" w:color="auto" w:fill="F0F4FF"/>
          </w:tcPr>
          <w:p w14:paraId="74644199" w14:textId="77777777" w:rsidR="009A3C22" w:rsidRDefault="00000000">
            <w:r>
              <w:rPr>
                <w:sz w:val="19"/>
              </w:rPr>
              <w:t>Patient Context</w:t>
            </w:r>
          </w:p>
        </w:tc>
        <w:tc>
          <w:tcPr>
            <w:tcW w:w="6912" w:type="dxa"/>
            <w:shd w:val="clear" w:color="auto" w:fill="F0F4FF"/>
          </w:tcPr>
          <w:p w14:paraId="453577AD" w14:textId="77777777" w:rsidR="009A3C22" w:rsidRDefault="00000000">
            <w:r>
              <w:rPr>
                <w:sz w:val="19"/>
              </w:rPr>
              <w:t>Fetches demographics + historical results from MongoDB</w:t>
            </w:r>
          </w:p>
        </w:tc>
      </w:tr>
      <w:tr w:rsidR="009A3C22" w14:paraId="019A67F3" w14:textId="77777777">
        <w:trPr>
          <w:jc w:val="center"/>
        </w:trPr>
        <w:tc>
          <w:tcPr>
            <w:tcW w:w="576" w:type="dxa"/>
          </w:tcPr>
          <w:p w14:paraId="55286F92" w14:textId="77777777" w:rsidR="009A3C22" w:rsidRDefault="00000000">
            <w:r>
              <w:rPr>
                <w:sz w:val="19"/>
              </w:rPr>
              <w:t>5</w:t>
            </w:r>
          </w:p>
        </w:tc>
        <w:tc>
          <w:tcPr>
            <w:tcW w:w="1728" w:type="dxa"/>
          </w:tcPr>
          <w:p w14:paraId="0B4D15D3" w14:textId="77777777" w:rsidR="009A3C22" w:rsidRDefault="00000000">
            <w:r>
              <w:rPr>
                <w:sz w:val="19"/>
              </w:rPr>
              <w:t>Historical</w:t>
            </w:r>
          </w:p>
        </w:tc>
        <w:tc>
          <w:tcPr>
            <w:tcW w:w="6912" w:type="dxa"/>
          </w:tcPr>
          <w:p w14:paraId="274AF4B4" w14:textId="77777777" w:rsidR="009A3C22" w:rsidRDefault="00000000">
            <w:r>
              <w:rPr>
                <w:sz w:val="19"/>
              </w:rPr>
              <w:t>Trend analysis with biological variation thresholds (CVI/CVG)</w:t>
            </w:r>
          </w:p>
        </w:tc>
      </w:tr>
      <w:tr w:rsidR="009A3C22" w14:paraId="5BD5FFB3" w14:textId="77777777">
        <w:trPr>
          <w:jc w:val="center"/>
        </w:trPr>
        <w:tc>
          <w:tcPr>
            <w:tcW w:w="576" w:type="dxa"/>
            <w:shd w:val="clear" w:color="auto" w:fill="F0F4FF"/>
          </w:tcPr>
          <w:p w14:paraId="1B927E7E" w14:textId="77777777" w:rsidR="009A3C22" w:rsidRDefault="00000000">
            <w:r>
              <w:rPr>
                <w:sz w:val="19"/>
              </w:rPr>
              <w:t>6</w:t>
            </w:r>
          </w:p>
        </w:tc>
        <w:tc>
          <w:tcPr>
            <w:tcW w:w="1728" w:type="dxa"/>
            <w:shd w:val="clear" w:color="auto" w:fill="F0F4FF"/>
          </w:tcPr>
          <w:p w14:paraId="5E0B5781" w14:textId="77777777" w:rsidR="009A3C22" w:rsidRDefault="00000000">
            <w:r>
              <w:rPr>
                <w:sz w:val="19"/>
              </w:rPr>
              <w:t>Analyze</w:t>
            </w:r>
          </w:p>
        </w:tc>
        <w:tc>
          <w:tcPr>
            <w:tcW w:w="6912" w:type="dxa"/>
            <w:shd w:val="clear" w:color="auto" w:fill="F0F4FF"/>
          </w:tcPr>
          <w:p w14:paraId="7428C9E3" w14:textId="77777777" w:rsidR="009A3C22" w:rsidRDefault="00000000">
            <w:r>
              <w:rPr>
                <w:sz w:val="19"/>
              </w:rPr>
              <w:t>MedGemma 27B clinical reasoning; 4B for radiology images</w:t>
            </w:r>
          </w:p>
        </w:tc>
      </w:tr>
      <w:tr w:rsidR="009A3C22" w14:paraId="5FDEBCA1" w14:textId="77777777">
        <w:trPr>
          <w:jc w:val="center"/>
        </w:trPr>
        <w:tc>
          <w:tcPr>
            <w:tcW w:w="576" w:type="dxa"/>
          </w:tcPr>
          <w:p w14:paraId="3BBF6825" w14:textId="77777777" w:rsidR="009A3C22" w:rsidRDefault="00000000">
            <w:r>
              <w:rPr>
                <w:sz w:val="19"/>
              </w:rPr>
              <w:t>7</w:t>
            </w:r>
          </w:p>
        </w:tc>
        <w:tc>
          <w:tcPr>
            <w:tcW w:w="1728" w:type="dxa"/>
          </w:tcPr>
          <w:p w14:paraId="390B1F6B" w14:textId="77777777" w:rsidR="009A3C22" w:rsidRDefault="00000000">
            <w:r>
              <w:rPr>
                <w:sz w:val="19"/>
              </w:rPr>
              <w:t>Score</w:t>
            </w:r>
          </w:p>
        </w:tc>
        <w:tc>
          <w:tcPr>
            <w:tcW w:w="6912" w:type="dxa"/>
          </w:tcPr>
          <w:p w14:paraId="7AC12CC0" w14:textId="77777777" w:rsidR="009A3C22" w:rsidRDefault="00000000">
            <w:r>
              <w:rPr>
                <w:sz w:val="19"/>
              </w:rPr>
              <w:t>Priority score 0-100 with threshold-based classification</w:t>
            </w:r>
          </w:p>
        </w:tc>
      </w:tr>
      <w:tr w:rsidR="009A3C22" w14:paraId="4723D785" w14:textId="77777777">
        <w:trPr>
          <w:jc w:val="center"/>
        </w:trPr>
        <w:tc>
          <w:tcPr>
            <w:tcW w:w="576" w:type="dxa"/>
            <w:shd w:val="clear" w:color="auto" w:fill="F0F4FF"/>
          </w:tcPr>
          <w:p w14:paraId="7EF7687E" w14:textId="77777777" w:rsidR="009A3C22" w:rsidRDefault="00000000">
            <w:r>
              <w:rPr>
                <w:sz w:val="19"/>
              </w:rPr>
              <w:t>8</w:t>
            </w:r>
          </w:p>
        </w:tc>
        <w:tc>
          <w:tcPr>
            <w:tcW w:w="1728" w:type="dxa"/>
            <w:shd w:val="clear" w:color="auto" w:fill="F0F4FF"/>
          </w:tcPr>
          <w:p w14:paraId="74709B36" w14:textId="77777777" w:rsidR="009A3C22" w:rsidRDefault="00000000">
            <w:r>
              <w:rPr>
                <w:sz w:val="19"/>
              </w:rPr>
              <w:t>Notify</w:t>
            </w:r>
          </w:p>
        </w:tc>
        <w:tc>
          <w:tcPr>
            <w:tcW w:w="6912" w:type="dxa"/>
            <w:shd w:val="clear" w:color="auto" w:fill="F0F4FF"/>
          </w:tcPr>
          <w:p w14:paraId="1EFF671F" w14:textId="77777777" w:rsidR="009A3C22" w:rsidRDefault="00000000">
            <w:r>
              <w:rPr>
                <w:sz w:val="19"/>
              </w:rPr>
              <w:t>Email/SMS alerts for urgent findings with full patient context</w:t>
            </w:r>
          </w:p>
        </w:tc>
      </w:tr>
    </w:tbl>
    <w:p w14:paraId="450FD931" w14:textId="77777777" w:rsidR="009A3C22" w:rsidRDefault="009A3C22">
      <w:r>
        <w:lastRenderedPageBreak/>
        <w:t>The core of the system is a LangGraph state machine that processes each medical report through eight sequential steps. Each step is implemented as an async Python function that reads from and writes to a shared TypedDict state object. The pipeline is defined as a directed graph with conditional edges — for example, the Analyze step routes to MedGemma 4B only when radiology images are present. Every step is logged to OpenSearch via a fire-and-forget PipelineLogger for full auditability. The table below summarizes each step:</w:t>
      </w:r>
    </w:p>
    <w:p w14:paraId="0C0BF868" w14:textId="77777777" w:rsidR="009A3C22" w:rsidRDefault="00000000">
      <w:pPr>
        <w:pStyle w:val="Heading3"/>
      </w:pPr>
      <w:r>
        <w:t>Patient Notes Pipeline</w:t>
      </w:r>
    </w:p>
    <w:p w14:paraId="42456BD2" w14:textId="77777777" w:rsidR="009A3C22" w:rsidRPr="009A23BC" w:rsidRDefault="00000000">
      <w:pPr>
        <w:rPr>
          <w:iCs/>
          <w:color w:val="000000" w:themeColor="text1"/>
        </w:rPr>
      </w:pPr>
      <w:r w:rsidRPr="009A23BC">
        <w:rPr>
          <w:iCs/>
          <w:color w:val="000000" w:themeColor="text1"/>
          <w:sz w:val="20"/>
        </w:rPr>
        <w:t>Patient-submitted SMS notes (received via Twilio, vitals extracted by Bedrock Claude Haiku) follow a 5-step variant that skips PDF download, text extraction, and image analysis — routing directly from intake to patient context, analysis, scoring, and notification.</w:t>
      </w:r>
    </w:p>
    <w:p w14:paraId="7C464069" w14:textId="77777777" w:rsidR="009A3C22" w:rsidRDefault="00000000">
      <w:pPr>
        <w:pStyle w:val="Heading2"/>
      </w:pPr>
      <w:r>
        <w:t>Key Technical Features</w:t>
      </w:r>
    </w:p>
    <w:p w14:paraId="2E21F647" w14:textId="77777777" w:rsidR="009A3C22" w:rsidRPr="009A23BC" w:rsidRDefault="00000000">
      <w:pPr>
        <w:rPr>
          <w:bCs/>
          <w:color w:val="000000" w:themeColor="text1"/>
        </w:rPr>
      </w:pPr>
      <w:r w:rsidRPr="009A23BC">
        <w:rPr>
          <w:bCs/>
          <w:color w:val="000000" w:themeColor="text1"/>
          <w:sz w:val="20"/>
        </w:rPr>
        <w:t>LOINC Normalization: Every extracted lab value is normalized to a standard LOINC code using a two-stage matching pipeline: first an exact lookup against a curated synonym table (covering common abbreviations like BMP, CBC, A1C, and patient-friendly names), then a fuzzy match using the LOINC 2.81 database. This ensures that "glucose," "blood sugar," and "GLU" all map to LOINC 2345-7, enabling consistent cross-source trend tracking regardless of how different labs or EHR systems label the same test.</w:t>
      </w:r>
    </w:p>
    <w:p w14:paraId="67F1DEA1" w14:textId="77777777" w:rsidR="009A3C22" w:rsidRPr="009A23BC" w:rsidRDefault="00000000">
      <w:pPr>
        <w:rPr>
          <w:bCs/>
          <w:color w:val="000000" w:themeColor="text1"/>
        </w:rPr>
      </w:pPr>
      <w:r w:rsidRPr="009A23BC">
        <w:rPr>
          <w:bCs/>
          <w:color w:val="000000" w:themeColor="text1"/>
          <w:sz w:val="20"/>
        </w:rPr>
        <w:t>Biological Variation Thresholds: Rather than using arbitrary percentage thresholds, the system computes Reference Change Values (RCV) from published biological variation data (Westgard database). The RCV formula — RCV = √2 × Z × √(CVA² + CVI²) — accounts for both analytical imprecision (CVA) and within-subject biological variation (CVI) to determine the minimum change between two consecutive results that is statistically significant at 95% confidence. For example, creatinine has a CVI of 5.95% and a desirable CVA of 2.98%, yielding an RCV of approximately 18.6% — meaning a change below that threshold is likely normal biological fluctuation, not a true clinical change. The system covers 20+ common analytes with evidence-based RCVs and falls back to clinician-reviewed hardcoded thresholds for tests without published biological variation data.</w:t>
      </w:r>
    </w:p>
    <w:p w14:paraId="44F6A25A" w14:textId="77777777" w:rsidR="009A3C22" w:rsidRPr="009A23BC" w:rsidRDefault="00000000">
      <w:pPr>
        <w:rPr>
          <w:bCs/>
          <w:color w:val="000000" w:themeColor="text1"/>
        </w:rPr>
      </w:pPr>
      <w:r w:rsidRPr="009A23BC">
        <w:rPr>
          <w:bCs/>
          <w:color w:val="000000" w:themeColor="text1"/>
          <w:sz w:val="20"/>
        </w:rPr>
        <w:t>Patient History Context: Each analysis includes up to 5 prior results per analyte, enabling trend detection — e.g., "creatinine rising 40% over 3 months"]</w:t>
      </w:r>
    </w:p>
    <w:p w14:paraId="44BF24B2" w14:textId="77777777" w:rsidR="009A3C22" w:rsidRPr="009A23BC" w:rsidRDefault="00000000">
      <w:pPr>
        <w:rPr>
          <w:bCs/>
          <w:iCs/>
          <w:color w:val="000000" w:themeColor="text1"/>
        </w:rPr>
      </w:pPr>
      <w:r w:rsidRPr="009A23BC">
        <w:rPr>
          <w:bCs/>
          <w:color w:val="000000" w:themeColor="text1"/>
          <w:sz w:val="20"/>
        </w:rPr>
        <w:t>Backpressure Handling: The scheduler checks the combined Redis queue depth (report_queue + note_queue) before each poll cycle. If the depth meets or exceeds the configurable backpressure threshold (default: 20), the scheduler skips that poll and logs a backpressure event. It resumes automatically on the next cycle once the worker has drained the queues below threshold. This prevents unbounded queue growth during burst arrivals and ensures the single-worker pipeline processes at a sustainable rate without memory pressure.</w:t>
      </w:r>
    </w:p>
    <w:p w14:paraId="73EF9DDF" w14:textId="77777777" w:rsidR="009A3C22" w:rsidRPr="009A23BC" w:rsidRDefault="00000000">
      <w:pPr>
        <w:rPr>
          <w:bCs/>
          <w:iCs/>
          <w:color w:val="000000" w:themeColor="text1"/>
        </w:rPr>
      </w:pPr>
      <w:r w:rsidRPr="009A23BC">
        <w:rPr>
          <w:bCs/>
          <w:color w:val="000000" w:themeColor="text1"/>
          <w:sz w:val="20"/>
        </w:rPr>
        <w:t>Deduplication: Before processing any report or note, the worker checks MongoDB for an existing result document with the same report_id. If found, the item is skipped with a deduplication log entry. This guards against the race condition where the scheduler re-polls and re-queues items that are still in-flight in the worker pipeline. Combined with the Redis distributed lock on the scheduler (preventing duplicate polling across replicas), this provides two layers of deduplication.</w:t>
      </w:r>
    </w:p>
    <w:p w14:paraId="4A8872B7" w14:textId="77777777" w:rsidR="009A3C22" w:rsidRDefault="00000000">
      <w:pPr>
        <w:pStyle w:val="Heading2"/>
      </w:pPr>
      <w:r>
        <w:t>Edge Deployment</w:t>
      </w:r>
    </w:p>
    <w:p w14:paraId="6FA5B650" w14:textId="77777777" w:rsidR="009A3C22" w:rsidRPr="009A23BC" w:rsidRDefault="00000000">
      <w:pPr>
        <w:rPr>
          <w:iCs/>
          <w:color w:val="000000" w:themeColor="text1"/>
        </w:rPr>
      </w:pPr>
      <w:r w:rsidRPr="009A23BC">
        <w:rPr>
          <w:iCs/>
          <w:color w:val="000000" w:themeColor="text1"/>
          <w:sz w:val="20"/>
        </w:rPr>
        <w:t>The entire system runs on a single NVIDIA DGX Spark (GB10 SoC, 128 GB unified GPU memory, ARM64). Kubernetes is provided by K3s — a lightweight, certified K8s distribution ideal for edge deployments. The three application components (scheduler, worker, API) run as containerized deployments in the medgemma-triage namespace. Infrastructure services — MongoDB (patient data store), Redis (message queues and distributed locks), and OpenSearch (pipeline audit logging with dashboards) — each run as K3s pods with NodePort services for external access. The MedGemma model servers run directly on the host (not in K3s) because the GB10's Blackwell GPU requires PyTorch nightly with CUDA 12.8 support, which is not yet available in NVIDIA's container images. The application pods use hostNetwork: true with ClusterFirstWithHostNet DNS policy to access both the model servers on localhost and the K3s infrastructure services via ClusterIP DNS. There is zero cloud dependency for inference — all AI processing happens locally on the device. Patient data never leaves the clinic network, making this architecture inherently HIPAA-friendly.</w:t>
      </w:r>
    </w:p>
    <w:p w14:paraId="4350011D" w14:textId="77777777" w:rsidR="006C0792" w:rsidRDefault="00000000">
      <w:pPr>
        <w:pStyle w:val="Heading2"/>
      </w:pPr>
      <w:r>
        <w:lastRenderedPageBreak/>
        <w:t>Patient Tapestry Visualization</w:t>
      </w:r>
    </w:p>
    <w:p w14:paraId="6F479EA8" w14:textId="77777777" w:rsidR="006C0792" w:rsidRDefault="00000000">
      <w:r>
        <w:t>Each email alert includes a Patient Tapestry — an inline SVG body map that gives clinicians an instant visual overview of all affected body systems before reading any text. The tapestry renders a human silhouette with 7 on-body organ regions (brain, thyroid, lungs, heart, liver, pancreas, kidneys), a segmented 16-vertebra spine column, and a 4×3 grid of 12 systemic circles (blood, bone, arteries, nerves, immune, reproductive, endocrine, GI, skin, urinary, rheumatology, genomic). Each region is color-coded by severity: green (normal), yellow (caution), orange (alert), or red (critical). Special overlay icons mark masses/tumors (red X) and anatomical findings like fractures or hemorrhages (orange triangle).</w:t>
      </w:r>
    </w:p>
    <w:p w14:paraId="299E8D2B" w14:textId="77777777" w:rsidR="006C0792" w:rsidRDefault="00000000">
      <w:r>
        <w:t>The primary classification path uses MedGemma 27B. The system gathers the patient's complete record from MongoDB — abnormal lab values, radiology findings, processed report summaries, patient history, and clinical notes — into a structured text block, then prompts MedGemma 27B to classify each affected region with a severity level and finding type. This allows the model to reason holistically across all data sources, catching patterns that keyword matching would miss (e.g., correlating rising liver enzymes with a hepatic mass on CT). A keyword-based fallback activates automatically if the model is unavailable, using lab-to-region mapping tables (covering 100+ test names across 20 body regions) and radiology region normalization to produce the visualization without AI inference.</w:t>
      </w:r>
    </w:p>
    <w:p w14:paraId="429A6118" w14:textId="77777777" w:rsidR="006C0792" w:rsidRDefault="00000000">
      <w:r>
        <w:t>The tapestry is feature-flagged via TAPESTRY_ENABLED in the deployment configuration, allowing it to be toggled without code changes. When enabled, it is generated during the Notify pipeline step and embedded directly in the HTML email body as inline SVG, requiring no external image hosting or attachments.</w:t>
      </w:r>
    </w:p>
    <w:p w14:paraId="378BB195" w14:textId="77777777" w:rsidR="006C0792" w:rsidRDefault="00000000">
      <w:pPr>
        <w:jc w:val="center"/>
      </w:pPr>
      <w:r>
        <w:rPr>
          <w:noProof/>
        </w:rPr>
        <w:lastRenderedPageBreak/>
        <w:drawing>
          <wp:inline distT="0" distB="0" distL="0" distR="0" wp14:anchorId="1B0DC553" wp14:editId="7A57C256">
            <wp:extent cx="2560320" cy="668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systems-tapestry.png"/>
                    <pic:cNvPicPr/>
                  </pic:nvPicPr>
                  <pic:blipFill>
                    <a:blip r:embed="rId6"/>
                    <a:stretch>
                      <a:fillRect/>
                    </a:stretch>
                  </pic:blipFill>
                  <pic:spPr>
                    <a:xfrm>
                      <a:off x="0" y="0"/>
                      <a:ext cx="2560320" cy="6687100"/>
                    </a:xfrm>
                    <a:prstGeom prst="rect">
                      <a:avLst/>
                    </a:prstGeom>
                  </pic:spPr>
                </pic:pic>
              </a:graphicData>
            </a:graphic>
          </wp:inline>
        </w:drawing>
      </w:r>
    </w:p>
    <w:p w14:paraId="05286F22" w14:textId="77777777" w:rsidR="006C0792" w:rsidRDefault="00000000">
      <w:pPr>
        <w:jc w:val="center"/>
      </w:pPr>
      <w:r>
        <w:rPr>
          <w:i/>
          <w:color w:val="666666"/>
          <w:sz w:val="18"/>
        </w:rPr>
        <w:t>Figure: Sample Patient Tapestry showing color-coded body regions. Green regions are normal, yellow indicates caution, orange marks alert-level findings, and red signals critical issues. The red X overlay denotes a mass/tumor and the orange triangle marks anatomical findings.</w:t>
      </w:r>
    </w:p>
    <w:p w14:paraId="7B3C2232" w14:textId="77777777" w:rsidR="009A3C22" w:rsidRDefault="00000000">
      <w:r>
        <w:br w:type="page"/>
      </w:r>
    </w:p>
    <w:p w14:paraId="4CF8D6DE" w14:textId="77777777" w:rsidR="009A3C22" w:rsidRDefault="00000000">
      <w:pPr>
        <w:pStyle w:val="Heading1"/>
      </w:pPr>
      <w:r>
        <w:lastRenderedPageBreak/>
        <w:t>3. Results &amp; Impact</w:t>
      </w:r>
    </w:p>
    <w:p w14:paraId="0157E27C" w14:textId="77777777" w:rsidR="009A3C22" w:rsidRDefault="00000000">
      <w:pPr>
        <w:pStyle w:val="Heading2"/>
      </w:pPr>
      <w:r>
        <w:t>Integration Testing</w:t>
      </w:r>
    </w:p>
    <w:tbl>
      <w:tblPr>
        <w:tblW w:w="0" w:type="auto"/>
        <w:jc w:val="center"/>
        <w:tblLook w:val="04A0" w:firstRow="1" w:lastRow="0" w:firstColumn="1" w:lastColumn="0" w:noHBand="0" w:noVBand="1"/>
      </w:tblPr>
      <w:tblGrid>
        <w:gridCol w:w="2592"/>
        <w:gridCol w:w="1440"/>
        <w:gridCol w:w="5184"/>
      </w:tblGrid>
      <w:tr w:rsidR="009A3C22" w14:paraId="2CE2256B" w14:textId="77777777">
        <w:trPr>
          <w:jc w:val="center"/>
        </w:trPr>
        <w:tc>
          <w:tcPr>
            <w:tcW w:w="2592" w:type="dxa"/>
            <w:shd w:val="clear" w:color="auto" w:fill="1A56DB"/>
          </w:tcPr>
          <w:p w14:paraId="23986EBD" w14:textId="77777777" w:rsidR="009A3C22" w:rsidRDefault="00000000">
            <w:r>
              <w:rPr>
                <w:b/>
                <w:color w:val="FFFFFF"/>
                <w:sz w:val="19"/>
              </w:rPr>
              <w:t>Metric</w:t>
            </w:r>
          </w:p>
        </w:tc>
        <w:tc>
          <w:tcPr>
            <w:tcW w:w="1440" w:type="dxa"/>
            <w:shd w:val="clear" w:color="auto" w:fill="1A56DB"/>
          </w:tcPr>
          <w:p w14:paraId="29DD0B46" w14:textId="77777777" w:rsidR="009A3C22" w:rsidRDefault="00000000">
            <w:r>
              <w:rPr>
                <w:b/>
                <w:color w:val="FFFFFF"/>
                <w:sz w:val="19"/>
              </w:rPr>
              <w:t>Value</w:t>
            </w:r>
          </w:p>
        </w:tc>
        <w:tc>
          <w:tcPr>
            <w:tcW w:w="5184" w:type="dxa"/>
            <w:shd w:val="clear" w:color="auto" w:fill="1A56DB"/>
          </w:tcPr>
          <w:p w14:paraId="20064DC4" w14:textId="77777777" w:rsidR="009A3C22" w:rsidRDefault="00000000">
            <w:r>
              <w:rPr>
                <w:b/>
                <w:color w:val="FFFFFF"/>
                <w:sz w:val="19"/>
              </w:rPr>
              <w:t>Notes</w:t>
            </w:r>
          </w:p>
        </w:tc>
      </w:tr>
      <w:tr w:rsidR="009A3C22" w14:paraId="392824CF" w14:textId="77777777">
        <w:trPr>
          <w:jc w:val="center"/>
        </w:trPr>
        <w:tc>
          <w:tcPr>
            <w:tcW w:w="2592" w:type="dxa"/>
          </w:tcPr>
          <w:p w14:paraId="7AC24775" w14:textId="77777777" w:rsidR="009A3C22" w:rsidRDefault="00000000">
            <w:r>
              <w:rPr>
                <w:sz w:val="19"/>
              </w:rPr>
              <w:t>Reports processed</w:t>
            </w:r>
          </w:p>
        </w:tc>
        <w:tc>
          <w:tcPr>
            <w:tcW w:w="1440" w:type="dxa"/>
          </w:tcPr>
          <w:p w14:paraId="0A3C43F0" w14:textId="77777777" w:rsidR="009A3C22" w:rsidRDefault="00000000">
            <w:r>
              <w:rPr>
                <w:sz w:val="19"/>
              </w:rPr>
              <w:t>133+</w:t>
            </w:r>
          </w:p>
        </w:tc>
        <w:tc>
          <w:tcPr>
            <w:tcW w:w="5184" w:type="dxa"/>
          </w:tcPr>
          <w:p w14:paraId="450703C3" w14:textId="77777777" w:rsidR="006C0792" w:rsidRDefault="00000000">
            <w:r>
              <w:t>Full integration test on DGX Spark (K3s)</w:t>
            </w:r>
          </w:p>
        </w:tc>
      </w:tr>
      <w:tr w:rsidR="009A3C22" w14:paraId="20CCA8C5" w14:textId="77777777">
        <w:trPr>
          <w:jc w:val="center"/>
        </w:trPr>
        <w:tc>
          <w:tcPr>
            <w:tcW w:w="2592" w:type="dxa"/>
            <w:shd w:val="clear" w:color="auto" w:fill="F0F4FF"/>
          </w:tcPr>
          <w:p w14:paraId="5418F24A" w14:textId="77777777" w:rsidR="009A3C22" w:rsidRDefault="00000000">
            <w:r>
              <w:rPr>
                <w:sz w:val="19"/>
              </w:rPr>
              <w:t>Patient notes processed</w:t>
            </w:r>
          </w:p>
        </w:tc>
        <w:tc>
          <w:tcPr>
            <w:tcW w:w="1440" w:type="dxa"/>
            <w:shd w:val="clear" w:color="auto" w:fill="F0F4FF"/>
          </w:tcPr>
          <w:p w14:paraId="5C13D999" w14:textId="77777777" w:rsidR="009A3C22" w:rsidRDefault="00000000">
            <w:r>
              <w:rPr>
                <w:sz w:val="19"/>
              </w:rPr>
              <w:t>64+</w:t>
            </w:r>
          </w:p>
        </w:tc>
        <w:tc>
          <w:tcPr>
            <w:tcW w:w="5184" w:type="dxa"/>
            <w:shd w:val="clear" w:color="auto" w:fill="F0F4FF"/>
          </w:tcPr>
          <w:p w14:paraId="008F9ED3" w14:textId="77777777" w:rsidR="006C0792" w:rsidRDefault="00000000">
            <w:r>
              <w:t>Patient SMS notes with vitals extraction via Bedrock Claude Haiku</w:t>
            </w:r>
          </w:p>
        </w:tc>
      </w:tr>
      <w:tr w:rsidR="009A3C22" w14:paraId="4296806D" w14:textId="77777777">
        <w:trPr>
          <w:jc w:val="center"/>
        </w:trPr>
        <w:tc>
          <w:tcPr>
            <w:tcW w:w="2592" w:type="dxa"/>
          </w:tcPr>
          <w:p w14:paraId="6673562C" w14:textId="77777777" w:rsidR="009A3C22" w:rsidRDefault="00000000">
            <w:r>
              <w:rPr>
                <w:sz w:val="19"/>
              </w:rPr>
              <w:t>Processing errors</w:t>
            </w:r>
          </w:p>
        </w:tc>
        <w:tc>
          <w:tcPr>
            <w:tcW w:w="1440" w:type="dxa"/>
          </w:tcPr>
          <w:p w14:paraId="71BDBBB2" w14:textId="77777777" w:rsidR="009A3C22" w:rsidRDefault="00000000">
            <w:r>
              <w:rPr>
                <w:sz w:val="19"/>
              </w:rPr>
              <w:t>0</w:t>
            </w:r>
          </w:p>
        </w:tc>
        <w:tc>
          <w:tcPr>
            <w:tcW w:w="5184" w:type="dxa"/>
          </w:tcPr>
          <w:p w14:paraId="16D69ECB" w14:textId="77777777" w:rsidR="006C0792" w:rsidRDefault="00000000">
            <w:r>
              <w:t>Zero pipeline failures across all 7 report types</w:t>
            </w:r>
          </w:p>
        </w:tc>
      </w:tr>
      <w:tr w:rsidR="009A3C22" w14:paraId="003B299F" w14:textId="77777777">
        <w:trPr>
          <w:jc w:val="center"/>
        </w:trPr>
        <w:tc>
          <w:tcPr>
            <w:tcW w:w="2592" w:type="dxa"/>
            <w:shd w:val="clear" w:color="auto" w:fill="F0F4FF"/>
          </w:tcPr>
          <w:p w14:paraId="22C9B5A8" w14:textId="77777777" w:rsidR="009A3C22" w:rsidRDefault="00000000">
            <w:r>
              <w:rPr>
                <w:sz w:val="19"/>
              </w:rPr>
              <w:t>Report types covered</w:t>
            </w:r>
          </w:p>
        </w:tc>
        <w:tc>
          <w:tcPr>
            <w:tcW w:w="1440" w:type="dxa"/>
            <w:shd w:val="clear" w:color="auto" w:fill="F0F4FF"/>
          </w:tcPr>
          <w:p w14:paraId="2F4AC2A0" w14:textId="77777777" w:rsidR="009A3C22" w:rsidRDefault="00000000">
            <w:r>
              <w:rPr>
                <w:sz w:val="19"/>
              </w:rPr>
              <w:t>7</w:t>
            </w:r>
          </w:p>
        </w:tc>
        <w:tc>
          <w:tcPr>
            <w:tcW w:w="5184" w:type="dxa"/>
            <w:shd w:val="clear" w:color="auto" w:fill="F0F4FF"/>
          </w:tcPr>
          <w:p w14:paraId="621950BC" w14:textId="77777777" w:rsidR="009A3C22" w:rsidRDefault="00000000">
            <w:r>
              <w:rPr>
                <w:sz w:val="19"/>
              </w:rPr>
              <w:t>Lab, X-ray, CT, MRI, MRA, PET, Pathology</w:t>
            </w:r>
          </w:p>
        </w:tc>
      </w:tr>
      <w:tr w:rsidR="009A3C22" w14:paraId="71DEF940" w14:textId="77777777">
        <w:trPr>
          <w:jc w:val="center"/>
        </w:trPr>
        <w:tc>
          <w:tcPr>
            <w:tcW w:w="2592" w:type="dxa"/>
          </w:tcPr>
          <w:p w14:paraId="78B86CC2" w14:textId="77777777" w:rsidR="009A3C22" w:rsidRDefault="00000000">
            <w:r>
              <w:rPr>
                <w:sz w:val="19"/>
              </w:rPr>
              <w:t>Avg. processing time</w:t>
            </w:r>
          </w:p>
        </w:tc>
        <w:tc>
          <w:tcPr>
            <w:tcW w:w="1440" w:type="dxa"/>
          </w:tcPr>
          <w:p w14:paraId="563150ED" w14:textId="77777777" w:rsidR="006C0792" w:rsidRDefault="00000000">
            <w:r>
              <w:t>~90 sec</w:t>
            </w:r>
          </w:p>
        </w:tc>
        <w:tc>
          <w:tcPr>
            <w:tcW w:w="5184" w:type="dxa"/>
          </w:tcPr>
          <w:p w14:paraId="3CFA8577" w14:textId="77777777" w:rsidR="006C0792" w:rsidRDefault="00000000">
            <w:r>
              <w:t>MedGemma 27B inference is the bottleneck (~80-140s per report)</w:t>
            </w:r>
          </w:p>
        </w:tc>
      </w:tr>
      <w:tr w:rsidR="009A3C22" w14:paraId="1EC476B5" w14:textId="77777777">
        <w:trPr>
          <w:jc w:val="center"/>
        </w:trPr>
        <w:tc>
          <w:tcPr>
            <w:tcW w:w="2592" w:type="dxa"/>
            <w:shd w:val="clear" w:color="auto" w:fill="F0F4FF"/>
          </w:tcPr>
          <w:p w14:paraId="120CEFFC" w14:textId="77777777" w:rsidR="009A3C22" w:rsidRDefault="00000000">
            <w:r>
              <w:rPr>
                <w:sz w:val="19"/>
              </w:rPr>
              <w:t>Unique patients</w:t>
            </w:r>
          </w:p>
        </w:tc>
        <w:tc>
          <w:tcPr>
            <w:tcW w:w="1440" w:type="dxa"/>
            <w:shd w:val="clear" w:color="auto" w:fill="F0F4FF"/>
          </w:tcPr>
          <w:p w14:paraId="155F4109" w14:textId="77777777" w:rsidR="009A3C22" w:rsidRDefault="00000000">
            <w:r>
              <w:rPr>
                <w:sz w:val="19"/>
              </w:rPr>
              <w:t>100</w:t>
            </w:r>
          </w:p>
        </w:tc>
        <w:tc>
          <w:tcPr>
            <w:tcW w:w="5184" w:type="dxa"/>
            <w:shd w:val="clear" w:color="auto" w:fill="F0F4FF"/>
          </w:tcPr>
          <w:p w14:paraId="024EA960" w14:textId="77777777" w:rsidR="006C0792" w:rsidRDefault="00000000">
            <w:r>
              <w:t>Seeded patient demographics with realistic medical histories</w:t>
            </w:r>
          </w:p>
        </w:tc>
      </w:tr>
    </w:tbl>
    <w:p w14:paraId="720AC563" w14:textId="77777777" w:rsidR="009A3C22" w:rsidRDefault="009A3C22">
      <w:r>
        <w:t>The system was validated through a comprehensive integration test on the DGX Spark, processing real pipeline traffic end-to-end. The AWS backend served 133+ medical reports (spanning all 7 report types: lab, X-ray, CT, MRI, MRA, PET, and pathology) and 64+ patient notes. Every report was processed through all 8 pipeline steps with zero pipeline failures. Results were persisted to MongoDB, audit logs were written to OpenSearch (1,981 entries), and email alerts were delivered for reports scoring above the important (≥50) and urgent (≥75) thresholds. The test confirmed correct behavior of backpressure handling, deduplication, LOINC normalization, biological variation threshold calculations, radiology two-stage analysis (27B → 4B → 27B), and patient history context in email notifications.</w:t>
      </w:r>
    </w:p>
    <w:p w14:paraId="22434A52" w14:textId="77777777" w:rsidR="009A3C22" w:rsidRDefault="00000000">
      <w:pPr>
        <w:pStyle w:val="Heading2"/>
      </w:pPr>
      <w:r>
        <w:t>Scoring Distribution</w:t>
      </w:r>
    </w:p>
    <w:p w14:paraId="0A87003D" w14:textId="77777777" w:rsidR="009A3C22" w:rsidRPr="001E14DF" w:rsidRDefault="00000000">
      <w:pPr>
        <w:rPr>
          <w:iCs/>
        </w:rPr>
      </w:pPr>
      <w:r w:rsidRPr="009A23BC">
        <w:rPr>
          <w:iCs/>
          <w:color w:val="000000" w:themeColor="text1"/>
          <w:sz w:val="20"/>
        </w:rPr>
        <w:t>The scoring engine combines the base AI urgency score with bonuses for critical trends (+20 each, max +40), significant changes (+10 each, max +30), statistical significance (+5 each, max +15), critical lab values (+15 each, max +45), report type modifiers (pathology +10, advanced imaging +5), and radiology growth patterns (up to +40 for rapid doubling times). The final score is capped at 100 and mapped to priority levels:</w:t>
      </w:r>
      <w:r w:rsidRPr="009A23BC">
        <w:rPr>
          <w:iCs/>
          <w:color w:val="000000" w:themeColor="text1"/>
          <w:sz w:val="20"/>
        </w:rPr>
        <w:br/>
      </w:r>
      <w:r w:rsidRPr="009A23BC">
        <w:rPr>
          <w:iCs/>
          <w:color w:val="000000" w:themeColor="text1"/>
          <w:sz w:val="20"/>
        </w:rPr>
        <w:br/>
        <w:t xml:space="preserve">  Routine:    0–29   — No immediate action needed</w:t>
      </w:r>
      <w:r w:rsidRPr="009A23BC">
        <w:rPr>
          <w:iCs/>
          <w:color w:val="000000" w:themeColor="text1"/>
          <w:sz w:val="20"/>
        </w:rPr>
        <w:br/>
        <w:t xml:space="preserve">  Follow-up:  30–49  — Review at next opportunity</w:t>
      </w:r>
      <w:r w:rsidRPr="009A23BC">
        <w:rPr>
          <w:iCs/>
          <w:color w:val="000000" w:themeColor="text1"/>
          <w:sz w:val="20"/>
        </w:rPr>
        <w:br/>
        <w:t xml:space="preserve">  Important:  50–74  — Review today, email alert sent</w:t>
      </w:r>
      <w:r w:rsidRPr="009A23BC">
        <w:rPr>
          <w:iCs/>
          <w:color w:val="000000" w:themeColor="text1"/>
          <w:sz w:val="20"/>
        </w:rPr>
        <w:br/>
        <w:t xml:space="preserve">  Urgent:     75–100 — Immediate attention, urgent email alert sent</w:t>
      </w:r>
      <w:r w:rsidRPr="009A23BC">
        <w:rPr>
          <w:iCs/>
          <w:color w:val="000000" w:themeColor="text1"/>
          <w:sz w:val="20"/>
        </w:rPr>
        <w:br/>
      </w:r>
      <w:r w:rsidRPr="009A23BC">
        <w:rPr>
          <w:iCs/>
          <w:color w:val="000000" w:themeColor="text1"/>
          <w:sz w:val="20"/>
        </w:rPr>
        <w:br/>
        <w:t>During integration testing, the score distribution reflected realistic clinical patterns: the majority of routine lab panels scored in the 10–25 range, while reports with critical findings (e.g., critically low hemoglobin, rapidly growing lung nodules) consistently scored above 75, triggering urgent alerts.</w:t>
      </w:r>
    </w:p>
    <w:p w14:paraId="7820CC78" w14:textId="77777777" w:rsidR="009A3C22" w:rsidRDefault="00000000">
      <w:pPr>
        <w:pStyle w:val="Heading2"/>
      </w:pPr>
      <w:r>
        <w:t>Clinical Impact</w:t>
      </w:r>
    </w:p>
    <w:p w14:paraId="1D510D29" w14:textId="77777777" w:rsidR="009A3C22" w:rsidRPr="009A23BC" w:rsidRDefault="00000000">
      <w:pPr>
        <w:rPr>
          <w:bCs/>
          <w:iCs/>
          <w:color w:val="000000" w:themeColor="text1"/>
        </w:rPr>
      </w:pPr>
      <w:r w:rsidRPr="009A23BC">
        <w:rPr>
          <w:bCs/>
          <w:color w:val="000000" w:themeColor="text1"/>
          <w:sz w:val="20"/>
        </w:rPr>
        <w:t>Faster Critical Detection: When a radiology report indicating a tension pneumothorax arrives, the scheduler queues it within 60 seconds of availability. The worker downloads the report, classifies it as radiology, routes the image to MedGemma 4B for multimodal analysis, synthesizes the findings with MedGemma 27B, and scores it as urgent (typically 85+) — all within approximately 90 seconds. An urgent email alert with the AI's clinical findings and recommendations reaches the physician's inbox immediately. In a manual workflow, that same report might sit unreviewed for hours in a queue of routine results.</w:t>
      </w:r>
    </w:p>
    <w:p w14:paraId="49729138" w14:textId="77777777" w:rsidR="009A3C22" w:rsidRPr="009A23BC" w:rsidRDefault="00000000">
      <w:pPr>
        <w:rPr>
          <w:bCs/>
          <w:iCs/>
          <w:color w:val="000000" w:themeColor="text1"/>
        </w:rPr>
      </w:pPr>
      <w:r w:rsidRPr="009A23BC">
        <w:rPr>
          <w:bCs/>
          <w:color w:val="000000" w:themeColor="text1"/>
          <w:sz w:val="20"/>
        </w:rPr>
        <w:t xml:space="preserve">Reduced Cognitive Load: Instead of scrolling through an undifferentiated inbox, the physician receives pre-prioritized email alerts containing: the AI's clinical summary, the priority score with a transparent breakdown of scoring factors, </w:t>
      </w:r>
      <w:r w:rsidRPr="009A23BC">
        <w:rPr>
          <w:bCs/>
          <w:color w:val="000000" w:themeColor="text1"/>
          <w:sz w:val="20"/>
        </w:rPr>
        <w:lastRenderedPageBreak/>
        <w:t>extracted lab values with LOINC codes and reference ranges, trend analysis showing velocity and acceleration of key analytes, a Patient History table showing the patient's last 5 reports and notes with dates, types, scores, and key findings, and a Patient Tapestry — a color-coded SVG body map showing all affected body systems at a glance, with regions classified by MedGemma 27B. This context-rich presentation reduces the cognitive load of cross-referencing multiple systems.</w:t>
      </w:r>
    </w:p>
    <w:p w14:paraId="4B39FB71" w14:textId="77777777" w:rsidR="009A3C22" w:rsidRPr="009A23BC" w:rsidRDefault="00000000">
      <w:pPr>
        <w:rPr>
          <w:bCs/>
          <w:iCs/>
          <w:color w:val="000000" w:themeColor="text1"/>
        </w:rPr>
      </w:pPr>
      <w:r w:rsidRPr="009A23BC">
        <w:rPr>
          <w:bCs/>
          <w:color w:val="000000" w:themeColor="text1"/>
          <w:sz w:val="20"/>
        </w:rPr>
        <w:t>Trend Detection: For example, if a patient's creatinine rises from 1.1 to 1.2 to 1.4 mg/dL over three visits, the system calculates the total delta (27.3%), compares it against the evidence-based RCV of 18.6% (derived from Westgard biological variation data at 95% confidence), flags it as a statistically significant rapid change, computes the velocity (rate of change per day) and acceleration (is the change speeding up?), and adds a critical trend bonus to the priority score. The physician receives an alert noting early kidney disease progression — potentially months before the value crosses a traditional critical threshold — catches early kidney disease progression]</w:t>
      </w:r>
    </w:p>
    <w:p w14:paraId="0A6FFFB0" w14:textId="77777777" w:rsidR="009A3C22" w:rsidRPr="001E14DF" w:rsidRDefault="00000000">
      <w:pPr>
        <w:rPr>
          <w:iCs/>
        </w:rPr>
      </w:pPr>
      <w:r w:rsidRPr="009A23BC">
        <w:rPr>
          <w:bCs/>
          <w:color w:val="000000" w:themeColor="text1"/>
          <w:sz w:val="20"/>
        </w:rPr>
        <w:t>Patient Safety Net: Patient-submitted SMS notes are received via Twilio and processed by Amazon Bedrock Claude Haiku to extract structured vitals and symptom data. These notes follow a streamlined 5-step pipeline variant (skipping PDF download and image analysis). When a patient reports symptoms like chest pain, severe hypoglycemia, or difficulty breathing, MedGemma 27B evaluates the clinical significance and the scoring engine assigns an appropriate priority. High-urgency notes trigger immediate email alerts to the clinical team, ensuring that patient-reported emergencies are not lost in a message queue.</w:t>
      </w:r>
    </w:p>
    <w:p w14:paraId="05B0AA0E" w14:textId="77777777" w:rsidR="009A3C22" w:rsidRDefault="00000000">
      <w:pPr>
        <w:pStyle w:val="Heading2"/>
      </w:pPr>
      <w:r>
        <w:t>Real-World Viability</w:t>
      </w:r>
    </w:p>
    <w:p w14:paraId="65788784" w14:textId="77777777" w:rsidR="009A3C22" w:rsidRPr="009A23BC" w:rsidRDefault="00000000">
      <w:pPr>
        <w:rPr>
          <w:iCs/>
          <w:color w:val="000000" w:themeColor="text1"/>
        </w:rPr>
      </w:pPr>
      <w:r w:rsidRPr="009A23BC">
        <w:rPr>
          <w:iCs/>
          <w:color w:val="000000" w:themeColor="text1"/>
          <w:sz w:val="20"/>
        </w:rPr>
        <w:t>The edge-first architecture provides several real-world advantages for clinical deployment. No patient data leaves the clinic network — all AI inference happens locally on the DGX Spark, making the system inherently HIPAA-friendly without requiring cloud BAAs or data processing agreements. The system operates without internet connectivity for inference (only the AWS data layer requires network access, and this could be replaced with a local EHR/PACS integration). A single DGX Spark device (128 GB GPU memory) runs the entire stack: two MedGemma models, three application services, and three infrastructure services. The system supports multi-tenant isolation via TENANT_ID, allowing multiple practices to share a single deployment. And because it uses standard Kubernetes (K3s), clinical IT teams can deploy, monitor, and maintain it using familiar tools — kubectl, Helm, and standard container registries.</w:t>
      </w:r>
    </w:p>
    <w:p w14:paraId="5BF3C824" w14:textId="77777777" w:rsidR="009A3C22" w:rsidRDefault="00000000">
      <w:pPr>
        <w:pStyle w:val="Heading2"/>
      </w:pPr>
      <w:r>
        <w:t>Future Work</w:t>
      </w:r>
    </w:p>
    <w:p w14:paraId="3251EA37" w14:textId="77777777" w:rsidR="009A3C22" w:rsidRPr="009A23BC" w:rsidRDefault="00000000">
      <w:pPr>
        <w:pStyle w:val="ListBullet"/>
        <w:rPr>
          <w:iCs/>
          <w:color w:val="000000" w:themeColor="text1"/>
        </w:rPr>
      </w:pPr>
      <w:r w:rsidRPr="009A23BC">
        <w:rPr>
          <w:iCs/>
          <w:color w:val="000000" w:themeColor="text1"/>
          <w:sz w:val="20"/>
        </w:rPr>
        <w:t>Direct EHR/PACS integration (HL7 FHIR, DICOM) replacing the mock API</w:t>
      </w:r>
    </w:p>
    <w:p w14:paraId="0B93115B" w14:textId="77777777" w:rsidR="009A3C22" w:rsidRPr="009A23BC" w:rsidRDefault="00000000">
      <w:pPr>
        <w:pStyle w:val="ListBullet"/>
        <w:rPr>
          <w:iCs/>
          <w:color w:val="000000" w:themeColor="text1"/>
        </w:rPr>
      </w:pPr>
      <w:r w:rsidRPr="009A23BC">
        <w:rPr>
          <w:iCs/>
          <w:color w:val="000000" w:themeColor="text1"/>
          <w:sz w:val="20"/>
        </w:rPr>
        <w:t>Fine-tuning MedGemma on practice-specific data for improved accuracy</w:t>
      </w:r>
    </w:p>
    <w:p w14:paraId="240D8D94" w14:textId="77777777" w:rsidR="009A3C22" w:rsidRPr="009A23BC" w:rsidRDefault="00000000">
      <w:pPr>
        <w:pStyle w:val="ListBullet"/>
        <w:rPr>
          <w:iCs/>
          <w:color w:val="000000" w:themeColor="text1"/>
        </w:rPr>
      </w:pPr>
      <w:r w:rsidRPr="009A23BC">
        <w:rPr>
          <w:iCs/>
          <w:color w:val="000000" w:themeColor="text1"/>
          <w:sz w:val="20"/>
        </w:rPr>
        <w:t>Multi-practice deployment with centralized dashboards</w:t>
      </w:r>
    </w:p>
    <w:p w14:paraId="36FD1F1D" w14:textId="77777777" w:rsidR="009A3C22" w:rsidRPr="00BD7685" w:rsidRDefault="00000000">
      <w:pPr>
        <w:pStyle w:val="ListBullet"/>
        <w:rPr>
          <w:iCs/>
          <w:color w:val="000000" w:themeColor="text1"/>
        </w:rPr>
      </w:pPr>
      <w:r w:rsidRPr="009A23BC">
        <w:rPr>
          <w:iCs/>
          <w:color w:val="000000" w:themeColor="text1"/>
          <w:sz w:val="20"/>
        </w:rPr>
        <w:t>Longitudinal patient monitoring with automated care gap detection</w:t>
      </w:r>
    </w:p>
    <w:p w14:paraId="7DA26612" w14:textId="01EB795C" w:rsidR="00BD7685" w:rsidRPr="009A23BC" w:rsidRDefault="00BD7685">
      <w:pPr>
        <w:pStyle w:val="ListBullet"/>
        <w:rPr>
          <w:iCs/>
          <w:color w:val="000000" w:themeColor="text1"/>
        </w:rPr>
      </w:pPr>
      <w:r>
        <w:rPr>
          <w:iCs/>
          <w:color w:val="000000" w:themeColor="text1"/>
          <w:sz w:val="20"/>
        </w:rPr>
        <w:t>Full agentic access for physician to ask questions of the AI and get detailed answers on patient medical data.</w:t>
      </w:r>
    </w:p>
    <w:p w14:paraId="279F65CA" w14:textId="77777777" w:rsidR="006C0792" w:rsidRPr="009A23BC" w:rsidRDefault="00000000">
      <w:pPr>
        <w:pStyle w:val="ListBullet"/>
        <w:rPr>
          <w:color w:val="000000" w:themeColor="text1"/>
        </w:rPr>
      </w:pPr>
      <w:r w:rsidRPr="009A23BC">
        <w:rPr>
          <w:color w:val="000000" w:themeColor="text1"/>
        </w:rPr>
        <w:t>Enhanced tapestry with interactive drill-down — clicking a body region opens the relevant lab trends and radiology findings for that system</w:t>
      </w:r>
    </w:p>
    <w:p w14:paraId="2910D073" w14:textId="77777777" w:rsidR="009A3C22" w:rsidRPr="009A23BC" w:rsidRDefault="00000000">
      <w:pPr>
        <w:pStyle w:val="ListBullet"/>
        <w:rPr>
          <w:iCs/>
          <w:color w:val="000000" w:themeColor="text1"/>
        </w:rPr>
      </w:pPr>
      <w:r w:rsidRPr="009A23BC">
        <w:rPr>
          <w:iCs/>
          <w:color w:val="000000" w:themeColor="text1"/>
          <w:sz w:val="20"/>
        </w:rPr>
        <w:t>Integration with clinical decision support systems (CDSS)</w:t>
      </w:r>
    </w:p>
    <w:p w14:paraId="05198BFF" w14:textId="77777777" w:rsidR="009A3C22" w:rsidRDefault="009A3C22">
      <w:pPr>
        <w:pBdr>
          <w:bottom w:val="single" w:sz="8" w:space="1" w:color="1A56DB"/>
        </w:pBdr>
        <w:spacing w:before="40" w:after="120"/>
      </w:pPr>
    </w:p>
    <w:p w14:paraId="401C5C4D" w14:textId="77777777" w:rsidR="009A3C22" w:rsidRDefault="00000000">
      <w:pPr>
        <w:jc w:val="center"/>
      </w:pPr>
      <w:r>
        <w:rPr>
          <w:color w:val="999999"/>
          <w:sz w:val="16"/>
        </w:rPr>
        <w:t>MedGemma Impact Challenge  |  Kaggle 2026  |  Alan T. Andrea / OptiMLX Medical</w:t>
      </w:r>
    </w:p>
    <w:sectPr w:rsidR="009A3C22"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917469">
    <w:abstractNumId w:val="8"/>
  </w:num>
  <w:num w:numId="2" w16cid:durableId="149366500">
    <w:abstractNumId w:val="6"/>
  </w:num>
  <w:num w:numId="3" w16cid:durableId="1420364830">
    <w:abstractNumId w:val="5"/>
  </w:num>
  <w:num w:numId="4" w16cid:durableId="1726485087">
    <w:abstractNumId w:val="4"/>
  </w:num>
  <w:num w:numId="5" w16cid:durableId="792359380">
    <w:abstractNumId w:val="7"/>
  </w:num>
  <w:num w:numId="6" w16cid:durableId="2029599717">
    <w:abstractNumId w:val="3"/>
  </w:num>
  <w:num w:numId="7" w16cid:durableId="1317881231">
    <w:abstractNumId w:val="2"/>
  </w:num>
  <w:num w:numId="8" w16cid:durableId="1836995301">
    <w:abstractNumId w:val="1"/>
  </w:num>
  <w:num w:numId="9" w16cid:durableId="165336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4DF"/>
    <w:rsid w:val="0029639D"/>
    <w:rsid w:val="00326F90"/>
    <w:rsid w:val="004D2B8A"/>
    <w:rsid w:val="006C0792"/>
    <w:rsid w:val="006F11ED"/>
    <w:rsid w:val="009A23BC"/>
    <w:rsid w:val="009A3C22"/>
    <w:rsid w:val="00AA1D8D"/>
    <w:rsid w:val="00AA3A24"/>
    <w:rsid w:val="00B12B73"/>
    <w:rsid w:val="00B47730"/>
    <w:rsid w:val="00B7592F"/>
    <w:rsid w:val="00BD7685"/>
    <w:rsid w:val="00C838B9"/>
    <w:rsid w:val="00CB0664"/>
    <w:rsid w:val="00D63859"/>
    <w:rsid w:val="00E051B2"/>
    <w:rsid w:val="00E55B0E"/>
    <w:rsid w:val="00EA3A7E"/>
    <w:rsid w:val="00FC693F"/>
    <w:rsid w:val="00FE2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BEB8E"/>
  <w14:defaultImageDpi w14:val="300"/>
  <w15:docId w15:val="{7C49D27F-8A16-4DC1-8F65-396BAF10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A56D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A56DB"/>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7</Pages>
  <Words>2961</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Alan Andrea</cp:lastModifiedBy>
  <cp:revision>4</cp:revision>
  <dcterms:created xsi:type="dcterms:W3CDTF">2013-12-23T23:15:00Z</dcterms:created>
  <dcterms:modified xsi:type="dcterms:W3CDTF">2026-02-23T21:55:00Z</dcterms:modified>
  <cp:category/>
</cp:coreProperties>
</file>