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27465" w14:textId="77777777" w:rsidR="002829AF" w:rsidRPr="002829AF" w:rsidRDefault="002829AF" w:rsidP="002829AF">
      <w:pPr>
        <w:widowControl/>
        <w:shd w:val="clear" w:color="auto" w:fill="FFFFFF"/>
        <w:spacing w:line="840" w:lineRule="atLeast"/>
        <w:jc w:val="left"/>
        <w:outlineLvl w:val="0"/>
        <w:rPr>
          <w:rFonts w:ascii="微软雅黑" w:eastAsia="微软雅黑" w:hAnsi="微软雅黑" w:cs="宋体"/>
          <w:b/>
          <w:bCs/>
          <w:color w:val="000000"/>
          <w:kern w:val="36"/>
          <w:sz w:val="56"/>
          <w:szCs w:val="56"/>
        </w:rPr>
      </w:pPr>
      <w:r w:rsidRPr="002829AF">
        <w:rPr>
          <w:rFonts w:ascii="微软雅黑" w:eastAsia="微软雅黑" w:hAnsi="微软雅黑" w:cs="宋体" w:hint="eastAsia"/>
          <w:b/>
          <w:bCs/>
          <w:color w:val="000000"/>
          <w:kern w:val="36"/>
          <w:sz w:val="56"/>
          <w:szCs w:val="56"/>
        </w:rPr>
        <w:t>已经选好目标池，准备实施稳健20%收益计划</w:t>
      </w:r>
    </w:p>
    <w:p w14:paraId="0A57EA5C" w14:textId="77777777" w:rsidR="002829AF" w:rsidRPr="002829AF" w:rsidRDefault="002829AF" w:rsidP="002829AF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color w:val="707070"/>
          <w:kern w:val="0"/>
          <w:szCs w:val="21"/>
        </w:rPr>
      </w:pPr>
      <w:r w:rsidRPr="002829AF">
        <w:rPr>
          <w:rFonts w:ascii="微软雅黑" w:eastAsia="微软雅黑" w:hAnsi="微软雅黑" w:cs="宋体" w:hint="eastAsia"/>
          <w:color w:val="707070"/>
          <w:kern w:val="0"/>
          <w:sz w:val="18"/>
          <w:szCs w:val="18"/>
          <w:shd w:val="clear" w:color="auto" w:fill="F2F2F2"/>
        </w:rPr>
        <w:t>原创</w:t>
      </w:r>
      <w:r w:rsidRPr="002829AF">
        <w:rPr>
          <w:rFonts w:ascii="微软雅黑" w:eastAsia="微软雅黑" w:hAnsi="微软雅黑" w:cs="宋体" w:hint="eastAsia"/>
          <w:color w:val="707070"/>
          <w:kern w:val="0"/>
          <w:szCs w:val="21"/>
        </w:rPr>
        <w:t>2021-08-13 09:51·</w:t>
      </w:r>
      <w:hyperlink r:id="rId4" w:tgtFrame="_blank" w:history="1">
        <w:r w:rsidRPr="002829AF">
          <w:rPr>
            <w:rFonts w:ascii="微软雅黑" w:eastAsia="微软雅黑" w:hAnsi="微软雅黑" w:cs="宋体" w:hint="eastAsia"/>
            <w:color w:val="707070"/>
            <w:kern w:val="0"/>
            <w:szCs w:val="21"/>
            <w:u w:val="single"/>
          </w:rPr>
          <w:t>复利长盈社</w:t>
        </w:r>
      </w:hyperlink>
    </w:p>
    <w:p w14:paraId="69C69094" w14:textId="77777777" w:rsidR="002829AF" w:rsidRPr="002829AF" w:rsidRDefault="002829AF" w:rsidP="002829AF">
      <w:pPr>
        <w:widowControl/>
        <w:spacing w:before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829AF">
        <w:rPr>
          <w:rFonts w:ascii="宋体" w:eastAsia="宋体" w:hAnsi="宋体" w:cs="宋体"/>
          <w:b/>
          <w:bCs/>
          <w:color w:val="FF9900"/>
          <w:spacing w:val="23"/>
          <w:kern w:val="0"/>
          <w:sz w:val="24"/>
          <w:szCs w:val="24"/>
          <w:bdr w:val="none" w:sz="0" w:space="0" w:color="auto" w:frame="1"/>
        </w:rPr>
        <w:t>选好投资标的池，准备大干！</w:t>
      </w:r>
    </w:p>
    <w:p w14:paraId="01A570B6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杰哥在周二的文章说了，对实盘策略做了优化调整，目的是大幅度降低波动率使长期复利达到14%-21%。新来的朋友可以先看这两篇文章《林园怼客户事件的一些深度思考》《茅族的胜利，一个新公司的估值计算。新的实盘策略公布！》</w:t>
      </w:r>
    </w:p>
    <w:p w14:paraId="42E19BA8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杰哥优化策略中引进可转债策略，30%的仓位建仓可转债。</w:t>
      </w:r>
    </w:p>
    <w:p w14:paraId="641D55F2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下面杰哥说一说可转债的轮动策略怎么做。</w:t>
      </w:r>
    </w:p>
    <w:p w14:paraId="54770904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b/>
          <w:bCs/>
          <w:color w:val="333333"/>
          <w:spacing w:val="23"/>
          <w:kern w:val="0"/>
          <w:sz w:val="24"/>
          <w:szCs w:val="24"/>
          <w:bdr w:val="none" w:sz="0" w:space="0" w:color="auto" w:frame="1"/>
        </w:rPr>
        <w:t>第一步：选取转债价格小于110元，评级在AA-之上，溢价率小于40%的可转债。</w:t>
      </w:r>
    </w:p>
    <w:p w14:paraId="75A1D211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b/>
          <w:bCs/>
          <w:color w:val="333333"/>
          <w:spacing w:val="23"/>
          <w:kern w:val="0"/>
          <w:sz w:val="24"/>
          <w:szCs w:val="24"/>
          <w:bdr w:val="none" w:sz="0" w:space="0" w:color="auto" w:frame="1"/>
        </w:rPr>
        <w:t>第二步：至少平均买入25只上述条件的可转债。</w:t>
      </w:r>
    </w:p>
    <w:p w14:paraId="5C04BA6E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b/>
          <w:bCs/>
          <w:color w:val="333333"/>
          <w:spacing w:val="23"/>
          <w:kern w:val="0"/>
          <w:sz w:val="24"/>
          <w:szCs w:val="24"/>
          <w:bdr w:val="none" w:sz="0" w:space="0" w:color="auto" w:frame="1"/>
        </w:rPr>
        <w:t>第三步：什么时候卖？</w:t>
      </w:r>
    </w:p>
    <w:p w14:paraId="3C70E94D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第一种方式-可转债超过130元就卖掉，再找符合条件的可转债买入。</w:t>
      </w:r>
    </w:p>
    <w:p w14:paraId="52B2F28F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第二种方式-可转债超过140元后，回撤10元时就卖掉。</w:t>
      </w:r>
    </w:p>
    <w:p w14:paraId="36102BA5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第三种方式-可转换强赎公告发出时卖掉，历史的这个点位的平均价位是166元。</w:t>
      </w:r>
    </w:p>
    <w:p w14:paraId="25672EA9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b/>
          <w:bCs/>
          <w:color w:val="333333"/>
          <w:spacing w:val="23"/>
          <w:kern w:val="0"/>
          <w:sz w:val="24"/>
          <w:szCs w:val="24"/>
          <w:bdr w:val="none" w:sz="0" w:space="0" w:color="auto" w:frame="1"/>
        </w:rPr>
        <w:t>第四步：卖掉符合条件的可转债后，继续买入第一步符合条件的。这样不断轮动。</w:t>
      </w:r>
    </w:p>
    <w:p w14:paraId="0275DB72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详细可转债投资原理</w:t>
      </w:r>
    </w:p>
    <w:p w14:paraId="7E7053EA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b/>
          <w:bCs/>
          <w:color w:val="FF0000"/>
          <w:spacing w:val="23"/>
          <w:kern w:val="0"/>
          <w:sz w:val="24"/>
          <w:szCs w:val="24"/>
          <w:bdr w:val="none" w:sz="0" w:space="0" w:color="auto" w:frame="1"/>
        </w:rPr>
        <w:t>轮动策略的长期年复利有12-15%，是一种基本无风险的屠龙策略。</w:t>
      </w:r>
    </w:p>
    <w:p w14:paraId="36503E5C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杰哥选好的标的</w:t>
      </w:r>
    </w:p>
    <w:p w14:paraId="3F750DB0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条件1：价格小于110元，评级AAA，小于40%溢价率。选出有</w:t>
      </w:r>
      <w:r w:rsidRPr="002829AF">
        <w:rPr>
          <w:rFonts w:ascii="宋体" w:eastAsia="宋体" w:hAnsi="宋体" w:cs="宋体"/>
          <w:b/>
          <w:bCs/>
          <w:color w:val="FF0000"/>
          <w:spacing w:val="23"/>
          <w:kern w:val="0"/>
          <w:sz w:val="24"/>
          <w:szCs w:val="24"/>
          <w:bdr w:val="none" w:sz="0" w:space="0" w:color="auto" w:frame="1"/>
        </w:rPr>
        <w:t>7只</w:t>
      </w:r>
      <w:r w:rsidRPr="002829AF">
        <w:rPr>
          <w:rFonts w:ascii="宋体" w:eastAsia="宋体" w:hAnsi="宋体" w:cs="宋体"/>
          <w:spacing w:val="23"/>
          <w:kern w:val="0"/>
          <w:sz w:val="24"/>
          <w:szCs w:val="24"/>
          <w:bdr w:val="none" w:sz="0" w:space="0" w:color="auto" w:frame="1"/>
        </w:rPr>
        <w:t>符合条件。</w:t>
      </w:r>
    </w:p>
    <w:p w14:paraId="089AF09B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F51E8F" wp14:editId="14A2423F">
            <wp:extent cx="8545195" cy="3018155"/>
            <wp:effectExtent l="0" t="0" r="8255" b="0"/>
            <wp:docPr id="1" name="图片 1" descr="已经选好目标池，准备实施稳健20%收益计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已经选好目标池，准备实施稳健20%收益计划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19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31B7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条件2：价格小于110元，评级AA+，小于40%溢价率。选出有</w:t>
      </w:r>
      <w:r w:rsidRPr="002829AF">
        <w:rPr>
          <w:rFonts w:ascii="宋体" w:eastAsia="宋体" w:hAnsi="宋体" w:cs="宋体"/>
          <w:b/>
          <w:bCs/>
          <w:color w:val="FF0000"/>
          <w:spacing w:val="23"/>
          <w:kern w:val="0"/>
          <w:sz w:val="24"/>
          <w:szCs w:val="24"/>
          <w:bdr w:val="none" w:sz="0" w:space="0" w:color="auto" w:frame="1"/>
        </w:rPr>
        <w:t>9只</w:t>
      </w:r>
      <w:r w:rsidRPr="002829AF">
        <w:rPr>
          <w:rFonts w:ascii="宋体" w:eastAsia="宋体" w:hAnsi="宋体" w:cs="宋体"/>
          <w:spacing w:val="23"/>
          <w:kern w:val="0"/>
          <w:sz w:val="24"/>
          <w:szCs w:val="24"/>
          <w:bdr w:val="none" w:sz="0" w:space="0" w:color="auto" w:frame="1"/>
        </w:rPr>
        <w:t>符合条件。</w:t>
      </w:r>
    </w:p>
    <w:p w14:paraId="0439174B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D42CC0" wp14:editId="79C58EA0">
            <wp:extent cx="8553450" cy="3495675"/>
            <wp:effectExtent l="0" t="0" r="0" b="9525"/>
            <wp:docPr id="2" name="图片 2" descr="已经选好目标池，准备实施稳健20%收益计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已经选好目标池，准备实施稳健20%收益计划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5B9C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条件3：价格小于110元，评级AA，小于40%溢价率。选出有</w:t>
      </w:r>
      <w:r w:rsidRPr="002829AF">
        <w:rPr>
          <w:rFonts w:ascii="宋体" w:eastAsia="宋体" w:hAnsi="宋体" w:cs="宋体"/>
          <w:b/>
          <w:bCs/>
          <w:color w:val="FF0000"/>
          <w:spacing w:val="23"/>
          <w:kern w:val="0"/>
          <w:sz w:val="24"/>
          <w:szCs w:val="24"/>
          <w:bdr w:val="none" w:sz="0" w:space="0" w:color="auto" w:frame="1"/>
        </w:rPr>
        <w:t>14只</w:t>
      </w:r>
      <w:r w:rsidRPr="002829AF">
        <w:rPr>
          <w:rFonts w:ascii="宋体" w:eastAsia="宋体" w:hAnsi="宋体" w:cs="宋体"/>
          <w:spacing w:val="23"/>
          <w:kern w:val="0"/>
          <w:sz w:val="24"/>
          <w:szCs w:val="24"/>
          <w:bdr w:val="none" w:sz="0" w:space="0" w:color="auto" w:frame="1"/>
        </w:rPr>
        <w:t>符合条件。</w:t>
      </w:r>
    </w:p>
    <w:p w14:paraId="22AA2E77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AFD77E7" wp14:editId="58EDA26C">
            <wp:extent cx="7639050" cy="5219065"/>
            <wp:effectExtent l="0" t="0" r="0" b="635"/>
            <wp:docPr id="3" name="图片 3" descr="已经选好目标池，准备实施稳健20%收益计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已经选好目标池，准备实施稳健20%收益计划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6F2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条件4：价格小于110元，评级AA-，小于40%溢价率。选出有</w:t>
      </w:r>
      <w:r w:rsidRPr="002829AF">
        <w:rPr>
          <w:rFonts w:ascii="宋体" w:eastAsia="宋体" w:hAnsi="宋体" w:cs="宋体"/>
          <w:b/>
          <w:bCs/>
          <w:color w:val="FF0000"/>
          <w:spacing w:val="23"/>
          <w:kern w:val="0"/>
          <w:sz w:val="24"/>
          <w:szCs w:val="24"/>
          <w:bdr w:val="none" w:sz="0" w:space="0" w:color="auto" w:frame="1"/>
        </w:rPr>
        <w:t>9只</w:t>
      </w:r>
      <w:r w:rsidRPr="002829AF">
        <w:rPr>
          <w:rFonts w:ascii="宋体" w:eastAsia="宋体" w:hAnsi="宋体" w:cs="宋体"/>
          <w:spacing w:val="23"/>
          <w:kern w:val="0"/>
          <w:sz w:val="24"/>
          <w:szCs w:val="24"/>
          <w:bdr w:val="none" w:sz="0" w:space="0" w:color="auto" w:frame="1"/>
        </w:rPr>
        <w:t>符合条件。</w:t>
      </w:r>
    </w:p>
    <w:p w14:paraId="2C3FA934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F7CEA58" wp14:editId="6636F507">
            <wp:extent cx="7598410" cy="3552190"/>
            <wp:effectExtent l="0" t="0" r="2540" b="0"/>
            <wp:docPr id="4" name="图片 4" descr="已经选好目标池，准备实施稳健20%收益计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已经选好目标池，准备实施稳健20%收益计划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4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E9F6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汇总发现符合小于110元，评级AA-以上，溢价率小于40%的有</w:t>
      </w:r>
      <w:r w:rsidRPr="002829AF">
        <w:rPr>
          <w:rFonts w:ascii="宋体" w:eastAsia="宋体" w:hAnsi="宋体" w:cs="宋体"/>
          <w:b/>
          <w:bCs/>
          <w:color w:val="FF0000"/>
          <w:spacing w:val="23"/>
          <w:kern w:val="0"/>
          <w:sz w:val="24"/>
          <w:szCs w:val="24"/>
          <w:bdr w:val="none" w:sz="0" w:space="0" w:color="auto" w:frame="1"/>
        </w:rPr>
        <w:t>39只</w:t>
      </w:r>
      <w:r w:rsidRPr="002829AF">
        <w:rPr>
          <w:rFonts w:ascii="宋体" w:eastAsia="宋体" w:hAnsi="宋体" w:cs="宋体"/>
          <w:b/>
          <w:bCs/>
          <w:spacing w:val="23"/>
          <w:kern w:val="0"/>
          <w:sz w:val="24"/>
          <w:szCs w:val="24"/>
          <w:bdr w:val="none" w:sz="0" w:space="0" w:color="auto" w:frame="1"/>
        </w:rPr>
        <w:t>。</w:t>
      </w:r>
    </w:p>
    <w:p w14:paraId="51FE5370" w14:textId="77777777" w:rsidR="002829AF" w:rsidRPr="002829AF" w:rsidRDefault="002829AF" w:rsidP="002829AF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D3DE0F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杰哥今天开始会以这39只可转债为标的池，平均买入30只建仓。</w:t>
      </w:r>
    </w:p>
    <w:p w14:paraId="6EFAAE47" w14:textId="77777777" w:rsidR="002829AF" w:rsidRPr="002829AF" w:rsidRDefault="002829AF" w:rsidP="002829AF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FCC8EA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b/>
          <w:bCs/>
          <w:color w:val="FF9900"/>
          <w:spacing w:val="23"/>
          <w:kern w:val="0"/>
          <w:sz w:val="24"/>
          <w:szCs w:val="24"/>
          <w:bdr w:val="none" w:sz="0" w:space="0" w:color="auto" w:frame="1"/>
        </w:rPr>
        <w:t>昨天操作</w:t>
      </w:r>
    </w:p>
    <w:p w14:paraId="79B47ADE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昨天没有操作，躺平中。</w:t>
      </w:r>
    </w:p>
    <w:p w14:paraId="1BDA89E4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当前杰哥实盘建仓已经建仓57.5%仓位，还保留42.5%的现金等价物。当前已经买的公司有：</w:t>
      </w:r>
      <w:r w:rsidRPr="002829AF">
        <w:rPr>
          <w:rFonts w:ascii="宋体" w:eastAsia="宋体" w:hAnsi="宋体" w:cs="宋体"/>
          <w:b/>
          <w:bCs/>
          <w:color w:val="333333"/>
          <w:spacing w:val="23"/>
          <w:kern w:val="0"/>
          <w:sz w:val="24"/>
          <w:szCs w:val="24"/>
          <w:bdr w:val="none" w:sz="0" w:space="0" w:color="auto" w:frame="1"/>
        </w:rPr>
        <w:t>贵州茅台，泸州老窖，中国中免，双汇发展，伊利股份，中公教育，腾讯控股，东方财富。</w:t>
      </w:r>
    </w:p>
    <w:p w14:paraId="29E8B164" w14:textId="77777777" w:rsidR="002829AF" w:rsidRPr="002829AF" w:rsidRDefault="002829AF" w:rsidP="00282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spacing w:val="23"/>
          <w:kern w:val="0"/>
          <w:sz w:val="24"/>
          <w:szCs w:val="24"/>
          <w:bdr w:val="none" w:sz="0" w:space="0" w:color="auto" w:frame="1"/>
        </w:rPr>
        <w:t>实盘30%的仓位留给可转债策略。</w:t>
      </w:r>
    </w:p>
    <w:p w14:paraId="5EEA20B1" w14:textId="77777777" w:rsidR="002829AF" w:rsidRPr="002829AF" w:rsidRDefault="002829AF" w:rsidP="002829AF">
      <w:pPr>
        <w:widowControl/>
        <w:spacing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9A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文章均来自原创，码字不易，觉得文章有价值请点赞，关注，多多转发。</w:t>
      </w:r>
      <w:r w:rsidRPr="002829AF">
        <w:rPr>
          <w:rFonts w:ascii="宋体" w:eastAsia="宋体" w:hAnsi="宋体" w:cs="宋体"/>
          <w:b/>
          <w:bCs/>
          <w:color w:val="333333"/>
          <w:kern w:val="0"/>
          <w:sz w:val="24"/>
          <w:szCs w:val="24"/>
          <w:bdr w:val="none" w:sz="0" w:space="0" w:color="auto" w:frame="1"/>
        </w:rPr>
        <w:t>复利长盈社</w:t>
      </w:r>
      <w:r w:rsidRPr="002829AF">
        <w:rPr>
          <w:rFonts w:ascii="宋体" w:eastAsia="宋体" w:hAnsi="宋体" w:cs="宋体"/>
          <w:color w:val="333333"/>
          <w:kern w:val="0"/>
          <w:sz w:val="24"/>
          <w:szCs w:val="24"/>
          <w:bdr w:val="none" w:sz="0" w:space="0" w:color="auto" w:frame="1"/>
        </w:rPr>
        <w:t>全网通用，找到我获取杰哥精选“股票池”，获取每篇文章的投资标的。</w:t>
      </w:r>
    </w:p>
    <w:p w14:paraId="368C321D" w14:textId="77777777" w:rsidR="00C616B6" w:rsidRDefault="00C616B6"/>
    <w:sectPr w:rsidR="00C616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E48"/>
    <w:rsid w:val="002829AF"/>
    <w:rsid w:val="006A1E48"/>
    <w:rsid w:val="00C61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62D96B-1C43-46AD-B821-37633898F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3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6953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1378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2133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1417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9976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toutiao.com/c/user/token/MS4wLjABAAAAyrDWsKG3ZLlM8smUNC6hGTaa1xWsyyxz7JDMO0sU3OY/?source=tuwen_detai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155</Words>
  <Characters>889</Characters>
  <Application>Microsoft Office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 Alan</dc:creator>
  <cp:keywords/>
  <dc:description/>
  <cp:lastModifiedBy>Top Alan</cp:lastModifiedBy>
  <cp:revision>2</cp:revision>
  <dcterms:created xsi:type="dcterms:W3CDTF">2021-08-14T08:07:00Z</dcterms:created>
  <dcterms:modified xsi:type="dcterms:W3CDTF">2021-08-14T08:07:00Z</dcterms:modified>
</cp:coreProperties>
</file>