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b/>
          <w:i w:val="0"/>
          <w:sz w:val="28"/>
        </w:rPr>
        <w:t>Highlights</w:t>
      </w:r>
    </w:p>
    <w:p>
      <w:pPr>
        <w:pStyle w:val="ListBullet"/>
        <w:spacing w:after="120"/>
      </w:pPr>
      <w:r>
        <w:t>Passenger requirements are encoded as explicit, traceable lift-dispatch rules</w:t>
      </w:r>
    </w:p>
    <w:p>
      <w:pPr>
        <w:pStyle w:val="ListBullet"/>
        <w:spacing w:after="120"/>
      </w:pPr>
      <w:r>
        <w:t>Rule-by-rule tests show priority-first boarding drives most of the effect</w:t>
      </w:r>
    </w:p>
    <w:p>
      <w:pPr>
        <w:pStyle w:val="ListBullet"/>
        <w:spacing w:after="120"/>
      </w:pPr>
      <w:r>
        <w:t>Restricted waiting over all arrivals shows who bears the cost of priority</w:t>
      </w:r>
    </w:p>
    <w:p>
      <w:pPr>
        <w:pStyle w:val="ListBullet"/>
        <w:spacing w:after="120"/>
      </w:pPr>
      <w:r>
        <w:t>General requests wait 6-7 units longer than under an occupancy-matched rule</w:t>
      </w:r>
    </w:p>
    <w:p>
      <w:pPr>
        <w:pStyle w:val="ListBullet"/>
        <w:spacing w:after="120"/>
      </w:pPr>
      <w:r>
        <w:t>Completed-trip waiting means can overstate lift-dispatch gains</w:t>
      </w:r>
    </w:p>
    <w:sectPr w:rsidR="00FC693F" w:rsidRPr="0006063C" w:rsidSect="00034616">
      <w:pgSz w:w="11906" w:h="16838"/>
      <w:pgMar w:top="1361" w:right="1361" w:bottom="1361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