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i w:val="0"/>
          <w:sz w:val="28"/>
        </w:rPr>
        <w:t>Highlights</w:t>
      </w:r>
    </w:p>
    <w:p>
      <w:pPr>
        <w:pStyle w:val="ListBullet"/>
        <w:spacing w:after="120"/>
      </w:pPr>
      <w:r>
        <w:t>Completed-trip waiting means can overstate lift-dispatch gains</w:t>
      </w:r>
    </w:p>
    <w:p>
      <w:pPr>
        <w:pStyle w:val="ListBullet"/>
        <w:spacing w:after="120"/>
      </w:pPr>
      <w:r>
        <w:t>Restricted waiting over all arrivals shows who bears the cost of priority</w:t>
      </w:r>
    </w:p>
    <w:p>
      <w:pPr>
        <w:pStyle w:val="ListBullet"/>
        <w:spacing w:after="120"/>
      </w:pPr>
      <w:r>
        <w:t>Priority-first boarding alone delivers most of the priority-service benefit</w:t>
      </w:r>
    </w:p>
    <w:p>
      <w:pPr>
        <w:pStyle w:val="ListBullet"/>
        <w:spacing w:after="120"/>
      </w:pPr>
      <w:r>
        <w:t>General requests wait 6-7 units longer than under an occupancy-matched rule</w:t>
      </w:r>
    </w:p>
    <w:p>
      <w:pPr>
        <w:pStyle w:val="ListBullet"/>
        <w:spacing w:after="120"/>
      </w:pPr>
      <w:r>
        <w:t>Effects hold under door and transfer delays and three priority bonus weights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