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left"/>
      </w:pPr>
      <w:r>
        <w:rPr>
          <w:rFonts w:ascii="Aptos Display" w:hAnsi="Aptos Display"/>
          <w:b/>
          <w:color w:val="192D48"/>
          <w:sz w:val="62"/>
        </w:rPr>
        <w:t>AI AS THE OPERATING SYSTEM</w:t>
        <w:br/>
        <w:t>OF THE PENSION FUND</w:t>
      </w:r>
    </w:p>
    <w:p>
      <w:pPr>
        <w:spacing w:before="280"/>
      </w:pPr>
      <w:r>
        <w:rPr>
          <w:color w:val="237A7A"/>
          <w:sz w:val="30"/>
        </w:rPr>
        <w:t>Roadmap for an enterprise agentic platform on AWS / Amazon Bedrock</w:t>
      </w:r>
    </w:p>
    <w:p>
      <w:pPr>
        <w:spacing w:before="480"/>
      </w:pPr>
      <w:r>
        <w:rPr>
          <w:color w:val="5A646E"/>
          <w:sz w:val="21"/>
        </w:rPr>
        <w:t>Audience: Chief Technology Officer, Technology Leadership, Investment &amp; Enterprise Function Leaders</w:t>
      </w:r>
    </w:p>
    <w:p>
      <w:pPr>
        <w:spacing w:before="2600"/>
      </w:pPr>
      <w:r>
        <w:rPr>
          <w:b/>
          <w:color w:val="262B30"/>
          <w:sz w:val="23"/>
        </w:rPr>
        <w:t>Decision objective: Establish a governed platform that makes AI a first-class interface to knowledge, work, and execution — while preserving fiduciary accountability and deterministic controls for material decisions.</w:t>
      </w:r>
    </w:p>
    <w:p>
      <w:r>
        <w:br w:type="page"/>
      </w:r>
    </w:p>
    <w:p>
      <w:pPr>
        <w:pStyle w:val="Heading1"/>
      </w:pPr>
      <w:r>
        <w:t>Executive Summary</w:t>
      </w:r>
    </w:p>
    <w:tbl>
      <w:tblPr>
        <w:tblW w:type="auto" w:w="0"/>
        <w:jc w:val="center"/>
        <w:tblLook w:firstColumn="1" w:firstRow="1" w:lastColumn="0" w:lastRow="0" w:noHBand="0" w:noVBand="1" w:val="04A0"/>
      </w:tblPr>
      <w:tblGrid>
        <w:gridCol w:w="9994"/>
      </w:tblGrid>
      <w:tr>
        <w:tc>
          <w:tcPr>
            <w:tcW w:type="dxa" w:w="9994"/>
            <w:shd w:fill="EAF6F5"/>
            <w:tcBorders>
              <w:top w:val="single" w:sz="1" w:color="DDE3E8"/>
              <w:left w:val="single" w:sz="10" w:color="237A7A"/>
              <w:bottom w:val="single" w:sz="1" w:color="DDE3E8"/>
              <w:right w:val="single" w:sz="1" w:color="DDE3E8"/>
            </w:tcBorders>
          </w:tcPr>
          <w:p>
            <w:pPr>
              <w:spacing w:after="40"/>
            </w:pPr>
            <w:r>
              <w:rPr>
                <w:b/>
                <w:color w:val="192D48"/>
                <w:sz w:val="21"/>
              </w:rPr>
              <w:t>North-star outcome</w:t>
            </w:r>
          </w:p>
          <w:p>
            <w:pPr>
              <w:spacing w:after="40"/>
            </w:pPr>
            <w:r>
              <w:rPr>
                <w:color w:val="262B30"/>
                <w:sz w:val="19"/>
              </w:rPr>
              <w:t>AI becomes the fund’s operating layer: every employee can ask, investigate, decide, create, and initiate work through a trusted AI interface; agents can coordinate workflows and pursue bounded goals; core systems remain the systems of record and policy engines.</w:t>
            </w:r>
          </w:p>
        </w:tc>
      </w:tr>
    </w:tbl>
    <w:p>
      <w:pPr>
        <w:spacing w:after="20"/>
      </w:pPr>
    </w:p>
    <w:p>
      <w:r>
        <w:t>The recommended strategy is not to build a single “super agent.” Build an enterprise agentic platform with common primitives: model access, identity, tools, knowledge, memory, workflow execution, policy enforcement, evaluation, observability, and audit. Amazon Bedrock remains the foundation-model and managed AI control plane. Newer Bedrock AgentCore capabilities can provide runtime, identity, gateway/tool integration, memory, and observability, while the fund retains ownership of enterprise policy, data contracts, approval authorities, and workflow semantics. AWS describes AgentCore as framework/model agnostic and designed to securely run agents with permissions, persistent memory, and observability. [1]</w:t>
      </w:r>
    </w:p>
    <w:tbl>
      <w:tblPr>
        <w:tblW w:type="auto" w:w="0"/>
        <w:jc w:val="center"/>
        <w:tblLook w:firstColumn="1" w:firstRow="1" w:lastColumn="0" w:lastRow="0" w:noHBand="0" w:noVBand="1" w:val="04A0"/>
      </w:tblPr>
      <w:tblGrid>
        <w:gridCol w:w="2498"/>
        <w:gridCol w:w="2498"/>
        <w:gridCol w:w="2498"/>
        <w:gridCol w:w="2498"/>
      </w:tblGrid>
      <w:tr>
        <w:trPr>
          <w:tblHeader w:val="true"/>
        </w:trPr>
        <w:tc>
          <w:tcPr>
            <w:tcW w:type="dxa" w:w="2376"/>
            <w:shd w:fill="193048"/>
          </w:tcPr>
          <w:p>
            <w:pPr>
              <w:jc w:val="left"/>
            </w:pPr>
            <w:r/>
            <w:r>
              <w:rPr>
                <w:b/>
                <w:color w:val="FFFFFF"/>
                <w:sz w:val="17"/>
              </w:rPr>
              <w:t>Dimension</w:t>
            </w:r>
          </w:p>
        </w:tc>
        <w:tc>
          <w:tcPr>
            <w:tcW w:type="dxa" w:w="2376"/>
            <w:shd w:fill="193048"/>
          </w:tcPr>
          <w:p>
            <w:pPr>
              <w:jc w:val="left"/>
            </w:pPr>
            <w:r/>
            <w:r>
              <w:rPr>
                <w:b/>
                <w:color w:val="FFFFFF"/>
                <w:sz w:val="17"/>
              </w:rPr>
              <w:t>Baseline problem</w:t>
            </w:r>
          </w:p>
        </w:tc>
        <w:tc>
          <w:tcPr>
            <w:tcW w:type="dxa" w:w="2376"/>
            <w:shd w:fill="193048"/>
          </w:tcPr>
          <w:p>
            <w:pPr>
              <w:jc w:val="left"/>
            </w:pPr>
            <w:r/>
            <w:r>
              <w:rPr>
                <w:b/>
                <w:color w:val="FFFFFF"/>
                <w:sz w:val="17"/>
              </w:rPr>
              <w:t>Target state</w:t>
            </w:r>
          </w:p>
        </w:tc>
        <w:tc>
          <w:tcPr>
            <w:tcW w:type="dxa" w:w="2376"/>
            <w:shd w:fill="193048"/>
          </w:tcPr>
          <w:p>
            <w:pPr>
              <w:jc w:val="left"/>
            </w:pPr>
            <w:r/>
            <w:r>
              <w:rPr>
                <w:b/>
                <w:color w:val="FFFFFF"/>
                <w:sz w:val="17"/>
              </w:rPr>
              <w:t>Executive metric</w:t>
            </w:r>
          </w:p>
        </w:tc>
      </w:tr>
      <w:tr>
        <w:trPr>
          <w:cantSplit/>
        </w:trPr>
        <w:tc>
          <w:tcPr>
            <w:tcW w:type="dxa" w:w="2498"/>
            <w:shd w:fill="F1F4F7"/>
          </w:tcPr>
          <w:p>
            <w:pPr>
              <w:jc w:val="left"/>
            </w:pPr>
            <w:r/>
            <w:r>
              <w:rPr>
                <w:b/>
                <w:color w:val="262B30"/>
                <w:sz w:val="16"/>
              </w:rPr>
              <w:t>Employee leverage</w:t>
            </w:r>
          </w:p>
        </w:tc>
        <w:tc>
          <w:tcPr>
            <w:tcW w:type="dxa" w:w="2498"/>
          </w:tcPr>
          <w:p>
            <w:pPr>
              <w:jc w:val="left"/>
            </w:pPr>
            <w:r/>
            <w:r>
              <w:rPr>
                <w:b w:val="0"/>
                <w:color w:val="262B30"/>
                <w:sz w:val="16"/>
              </w:rPr>
              <w:t>Search + manual coordination</w:t>
            </w:r>
          </w:p>
        </w:tc>
        <w:tc>
          <w:tcPr>
            <w:tcW w:type="dxa" w:w="2498"/>
          </w:tcPr>
          <w:p>
            <w:pPr>
              <w:jc w:val="left"/>
            </w:pPr>
            <w:r/>
            <w:r>
              <w:rPr>
                <w:b w:val="0"/>
                <w:color w:val="262B30"/>
                <w:sz w:val="16"/>
              </w:rPr>
              <w:t>AI workspace with grounded answers and task initiation</w:t>
            </w:r>
          </w:p>
        </w:tc>
        <w:tc>
          <w:tcPr>
            <w:tcW w:type="dxa" w:w="2498"/>
          </w:tcPr>
          <w:p>
            <w:pPr>
              <w:jc w:val="left"/>
            </w:pPr>
            <w:r/>
            <w:r>
              <w:rPr>
                <w:b w:val="0"/>
                <w:color w:val="262B30"/>
                <w:sz w:val="16"/>
              </w:rPr>
              <w:t>% work completed through AI interface</w:t>
            </w:r>
          </w:p>
        </w:tc>
      </w:tr>
      <w:tr>
        <w:trPr>
          <w:cantSplit/>
        </w:trPr>
        <w:tc>
          <w:tcPr>
            <w:tcW w:type="dxa" w:w="2498"/>
            <w:shd w:fill="F1F4F7"/>
          </w:tcPr>
          <w:p>
            <w:pPr>
              <w:jc w:val="left"/>
            </w:pPr>
            <w:r/>
            <w:r>
              <w:rPr>
                <w:b/>
                <w:color w:val="262B30"/>
                <w:sz w:val="16"/>
              </w:rPr>
              <w:t>Investment intelligence</w:t>
            </w:r>
          </w:p>
        </w:tc>
        <w:tc>
          <w:tcPr>
            <w:tcW w:type="dxa" w:w="2498"/>
          </w:tcPr>
          <w:p>
            <w:pPr>
              <w:jc w:val="left"/>
            </w:pPr>
            <w:r/>
            <w:r>
              <w:rPr>
                <w:b w:val="0"/>
                <w:color w:val="262B30"/>
                <w:sz w:val="16"/>
              </w:rPr>
              <w:t>Research fragmented across systems</w:t>
            </w:r>
          </w:p>
        </w:tc>
        <w:tc>
          <w:tcPr>
            <w:tcW w:type="dxa" w:w="2498"/>
          </w:tcPr>
          <w:p>
            <w:pPr>
              <w:jc w:val="left"/>
            </w:pPr>
            <w:r/>
            <w:r>
              <w:rPr>
                <w:b w:val="0"/>
                <w:color w:val="262B30"/>
                <w:sz w:val="16"/>
              </w:rPr>
              <w:t>AI analyst layer with source provenance and scenario synthesis</w:t>
            </w:r>
          </w:p>
        </w:tc>
        <w:tc>
          <w:tcPr>
            <w:tcW w:type="dxa" w:w="2498"/>
          </w:tcPr>
          <w:p>
            <w:pPr>
              <w:jc w:val="left"/>
            </w:pPr>
            <w:r/>
            <w:r>
              <w:rPr>
                <w:b w:val="0"/>
                <w:color w:val="262B30"/>
                <w:sz w:val="16"/>
              </w:rPr>
              <w:t>Research cycle time; citation coverage</w:t>
            </w:r>
          </w:p>
        </w:tc>
      </w:tr>
      <w:tr>
        <w:trPr>
          <w:cantSplit/>
        </w:trPr>
        <w:tc>
          <w:tcPr>
            <w:tcW w:type="dxa" w:w="2498"/>
            <w:shd w:fill="F1F4F7"/>
          </w:tcPr>
          <w:p>
            <w:pPr>
              <w:jc w:val="left"/>
            </w:pPr>
            <w:r/>
            <w:r>
              <w:rPr>
                <w:b/>
                <w:color w:val="262B30"/>
                <w:sz w:val="16"/>
              </w:rPr>
              <w:t>Operations</w:t>
            </w:r>
          </w:p>
        </w:tc>
        <w:tc>
          <w:tcPr>
            <w:tcW w:type="dxa" w:w="2498"/>
          </w:tcPr>
          <w:p>
            <w:pPr>
              <w:jc w:val="left"/>
            </w:pPr>
            <w:r/>
            <w:r>
              <w:rPr>
                <w:b w:val="0"/>
                <w:color w:val="262B30"/>
                <w:sz w:val="16"/>
              </w:rPr>
              <w:t>Human handoffs dominate</w:t>
            </w:r>
          </w:p>
        </w:tc>
        <w:tc>
          <w:tcPr>
            <w:tcW w:type="dxa" w:w="2498"/>
          </w:tcPr>
          <w:p>
            <w:pPr>
              <w:jc w:val="left"/>
            </w:pPr>
            <w:r/>
            <w:r>
              <w:rPr>
                <w:b w:val="0"/>
                <w:color w:val="262B30"/>
                <w:sz w:val="16"/>
              </w:rPr>
              <w:t>Agents orchestrate workflows with deterministic controls</w:t>
            </w:r>
          </w:p>
        </w:tc>
        <w:tc>
          <w:tcPr>
            <w:tcW w:type="dxa" w:w="2498"/>
          </w:tcPr>
          <w:p>
            <w:pPr>
              <w:jc w:val="left"/>
            </w:pPr>
            <w:r/>
            <w:r>
              <w:rPr>
                <w:b w:val="0"/>
                <w:color w:val="262B30"/>
                <w:sz w:val="16"/>
              </w:rPr>
              <w:t>Straight-through processing; exception rate</w:t>
            </w:r>
          </w:p>
        </w:tc>
      </w:tr>
      <w:tr>
        <w:trPr>
          <w:cantSplit/>
        </w:trPr>
        <w:tc>
          <w:tcPr>
            <w:tcW w:type="dxa" w:w="2498"/>
            <w:shd w:fill="F1F4F7"/>
          </w:tcPr>
          <w:p>
            <w:pPr>
              <w:jc w:val="left"/>
            </w:pPr>
            <w:r/>
            <w:r>
              <w:rPr>
                <w:b/>
                <w:color w:val="262B30"/>
                <w:sz w:val="16"/>
              </w:rPr>
              <w:t>Risk &amp; compliance</w:t>
            </w:r>
          </w:p>
        </w:tc>
        <w:tc>
          <w:tcPr>
            <w:tcW w:type="dxa" w:w="2498"/>
          </w:tcPr>
          <w:p>
            <w:pPr>
              <w:jc w:val="left"/>
            </w:pPr>
            <w:r/>
            <w:r>
              <w:rPr>
                <w:b w:val="0"/>
                <w:color w:val="262B30"/>
                <w:sz w:val="16"/>
              </w:rPr>
              <w:t>Reactive review</w:t>
            </w:r>
          </w:p>
        </w:tc>
        <w:tc>
          <w:tcPr>
            <w:tcW w:type="dxa" w:w="2498"/>
          </w:tcPr>
          <w:p>
            <w:pPr>
              <w:jc w:val="left"/>
            </w:pPr>
            <w:r/>
            <w:r>
              <w:rPr>
                <w:b w:val="0"/>
                <w:color w:val="262B30"/>
                <w:sz w:val="16"/>
              </w:rPr>
              <w:t>Continuous AI-assisted monitoring with human sign-off</w:t>
            </w:r>
          </w:p>
        </w:tc>
        <w:tc>
          <w:tcPr>
            <w:tcW w:type="dxa" w:w="2498"/>
          </w:tcPr>
          <w:p>
            <w:pPr>
              <w:jc w:val="left"/>
            </w:pPr>
            <w:r/>
            <w:r>
              <w:rPr>
                <w:b w:val="0"/>
                <w:color w:val="262B30"/>
                <w:sz w:val="16"/>
              </w:rPr>
              <w:t>Alert precision; review time</w:t>
            </w:r>
          </w:p>
        </w:tc>
      </w:tr>
      <w:tr>
        <w:trPr>
          <w:cantSplit/>
        </w:trPr>
        <w:tc>
          <w:tcPr>
            <w:tcW w:type="dxa" w:w="2498"/>
            <w:shd w:fill="F1F4F7"/>
          </w:tcPr>
          <w:p>
            <w:pPr>
              <w:jc w:val="left"/>
            </w:pPr>
            <w:r/>
            <w:r>
              <w:rPr>
                <w:b/>
                <w:color w:val="262B30"/>
                <w:sz w:val="16"/>
              </w:rPr>
              <w:t>Autonomy</w:t>
            </w:r>
          </w:p>
        </w:tc>
        <w:tc>
          <w:tcPr>
            <w:tcW w:type="dxa" w:w="2498"/>
          </w:tcPr>
          <w:p>
            <w:pPr>
              <w:jc w:val="left"/>
            </w:pPr>
            <w:r/>
            <w:r>
              <w:rPr>
                <w:b w:val="0"/>
                <w:color w:val="262B30"/>
                <w:sz w:val="16"/>
              </w:rPr>
              <w:t>Scripts / isolated bots</w:t>
            </w:r>
          </w:p>
        </w:tc>
        <w:tc>
          <w:tcPr>
            <w:tcW w:type="dxa" w:w="2498"/>
          </w:tcPr>
          <w:p>
            <w:pPr>
              <w:jc w:val="left"/>
            </w:pPr>
            <w:r/>
            <w:r>
              <w:rPr>
                <w:b w:val="0"/>
                <w:color w:val="262B30"/>
                <w:sz w:val="16"/>
              </w:rPr>
              <w:t>Goal-driven, bounded agents with policies and stop conditions</w:t>
            </w:r>
          </w:p>
        </w:tc>
        <w:tc>
          <w:tcPr>
            <w:tcW w:type="dxa" w:w="2498"/>
          </w:tcPr>
          <w:p>
            <w:pPr>
              <w:jc w:val="left"/>
            </w:pPr>
            <w:r/>
            <w:r>
              <w:rPr>
                <w:b w:val="0"/>
                <w:color w:val="262B30"/>
                <w:sz w:val="16"/>
              </w:rPr>
              <w:t>% tasks autonomously completed within SLA</w:t>
            </w:r>
          </w:p>
        </w:tc>
      </w:tr>
      <w:tr>
        <w:trPr>
          <w:cantSplit/>
        </w:trPr>
        <w:tc>
          <w:tcPr>
            <w:tcW w:type="dxa" w:w="2498"/>
            <w:shd w:fill="F1F4F7"/>
          </w:tcPr>
          <w:p>
            <w:pPr>
              <w:jc w:val="left"/>
            </w:pPr>
            <w:r/>
            <w:r>
              <w:rPr>
                <w:b/>
                <w:color w:val="262B30"/>
                <w:sz w:val="16"/>
              </w:rPr>
              <w:t>Platform economics</w:t>
            </w:r>
          </w:p>
        </w:tc>
        <w:tc>
          <w:tcPr>
            <w:tcW w:type="dxa" w:w="2498"/>
          </w:tcPr>
          <w:p>
            <w:pPr>
              <w:jc w:val="left"/>
            </w:pPr>
            <w:r/>
            <w:r>
              <w:rPr>
                <w:b w:val="0"/>
                <w:color w:val="262B30"/>
                <w:sz w:val="16"/>
              </w:rPr>
              <w:t>AI pilots with opaque cost</w:t>
            </w:r>
          </w:p>
        </w:tc>
        <w:tc>
          <w:tcPr>
            <w:tcW w:type="dxa" w:w="2498"/>
          </w:tcPr>
          <w:p>
            <w:pPr>
              <w:jc w:val="left"/>
            </w:pPr>
            <w:r/>
            <w:r>
              <w:rPr>
                <w:b w:val="0"/>
                <w:color w:val="262B30"/>
                <w:sz w:val="16"/>
              </w:rPr>
              <w:t>Reusable platform + model routing + unit economics</w:t>
            </w:r>
          </w:p>
        </w:tc>
        <w:tc>
          <w:tcPr>
            <w:tcW w:type="dxa" w:w="2498"/>
          </w:tcPr>
          <w:p>
            <w:pPr>
              <w:jc w:val="left"/>
            </w:pPr>
            <w:r/>
            <w:r>
              <w:rPr>
                <w:b w:val="0"/>
                <w:color w:val="262B30"/>
                <w:sz w:val="16"/>
              </w:rPr>
              <w:t>Cost per task / outcome; platform reuse rate</w:t>
            </w:r>
          </w:p>
        </w:tc>
      </w:tr>
    </w:tbl>
    <w:tbl>
      <w:tblPr>
        <w:tblW w:type="auto" w:w="0"/>
        <w:jc w:val="center"/>
        <w:tblLook w:firstColumn="1" w:firstRow="1" w:lastColumn="0" w:lastRow="0" w:noHBand="0" w:noVBand="1" w:val="04A0"/>
      </w:tblPr>
      <w:tblGrid>
        <w:gridCol w:w="9994"/>
      </w:tblGrid>
      <w:tr>
        <w:tc>
          <w:tcPr>
            <w:tcW w:type="dxa" w:w="9994"/>
            <w:shd w:fill="EAF2FA"/>
            <w:tcBorders>
              <w:top w:val="single" w:sz="1" w:color="DDE3E8"/>
              <w:left w:val="single" w:sz="10" w:color="2166AC"/>
              <w:bottom w:val="single" w:sz="1" w:color="DDE3E8"/>
              <w:right w:val="single" w:sz="1" w:color="DDE3E8"/>
            </w:tcBorders>
          </w:tcPr>
          <w:p>
            <w:pPr>
              <w:spacing w:after="40"/>
            </w:pPr>
            <w:r>
              <w:rPr>
                <w:b/>
                <w:color w:val="192D48"/>
                <w:sz w:val="21"/>
              </w:rPr>
              <w:t>Three strategic principles</w:t>
            </w:r>
          </w:p>
          <w:p>
            <w:pPr>
              <w:spacing w:after="40"/>
            </w:pPr>
            <w:r>
              <w:rPr>
                <w:color w:val="262B30"/>
                <w:sz w:val="19"/>
              </w:rPr>
              <w:t>1) Separate reasoning from authority. 2) Treat tools and data as governed enterprise capabilities, not prompts. 3) Increase autonomy only when evaluation, auditability, and rollback are stronger than the risk of the action.</w:t>
            </w:r>
          </w:p>
        </w:tc>
      </w:tr>
    </w:tbl>
    <w:p>
      <w:pPr>
        <w:spacing w:after="20"/>
      </w:pPr>
    </w:p>
    <w:p>
      <w:pPr>
        <w:pStyle w:val="Heading1"/>
      </w:pPr>
      <w:r>
        <w:t>Report at a Glance</w:t>
      </w:r>
    </w:p>
    <w:p>
      <w:pPr>
        <w:spacing w:after="80"/>
        <w:ind w:left="115" w:hanging="115"/>
      </w:pPr>
      <w:r>
        <w:rPr>
          <w:b w:val="0"/>
        </w:rPr>
        <w:t xml:space="preserve">1. </w:t>
      </w:r>
      <w:r>
        <w:t>Vision and target operating model</w:t>
      </w:r>
    </w:p>
    <w:p>
      <w:pPr>
        <w:spacing w:after="80"/>
        <w:ind w:left="115" w:hanging="115"/>
      </w:pPr>
      <w:r>
        <w:rPr>
          <w:b w:val="0"/>
        </w:rPr>
        <w:t xml:space="preserve">2. </w:t>
      </w:r>
      <w:r>
        <w:t>Target platform architecture on AWS / Bedrock</w:t>
      </w:r>
    </w:p>
    <w:p>
      <w:pPr>
        <w:spacing w:after="80"/>
        <w:ind w:left="115" w:hanging="115"/>
      </w:pPr>
      <w:r>
        <w:rPr>
          <w:b w:val="0"/>
        </w:rPr>
        <w:t xml:space="preserve">3. </w:t>
      </w:r>
      <w:r>
        <w:t>Comprehensive capability roadmap: 15 platform domains</w:t>
      </w:r>
    </w:p>
    <w:p>
      <w:pPr>
        <w:spacing w:after="80"/>
        <w:ind w:left="115" w:hanging="115"/>
      </w:pPr>
      <w:r>
        <w:rPr>
          <w:b w:val="0"/>
        </w:rPr>
        <w:t xml:space="preserve">4. </w:t>
      </w:r>
      <w:r>
        <w:t>Priority pension-fund use cases across investment and enterprise functions</w:t>
      </w:r>
    </w:p>
    <w:p>
      <w:pPr>
        <w:spacing w:after="80"/>
        <w:ind w:left="115" w:hanging="115"/>
      </w:pPr>
      <w:r>
        <w:rPr>
          <w:b w:val="0"/>
        </w:rPr>
        <w:t xml:space="preserve">5. </w:t>
      </w:r>
      <w:r>
        <w:t>Autonomy ladder and controls for financial / operational actions</w:t>
      </w:r>
    </w:p>
    <w:p>
      <w:pPr>
        <w:spacing w:after="80"/>
        <w:ind w:left="115" w:hanging="115"/>
      </w:pPr>
      <w:r>
        <w:rPr>
          <w:b w:val="0"/>
        </w:rPr>
        <w:t xml:space="preserve">6. </w:t>
      </w:r>
      <w:r>
        <w:t>Evaluation, observability, security, privacy, governance and model risk</w:t>
      </w:r>
    </w:p>
    <w:p>
      <w:pPr>
        <w:spacing w:after="80"/>
        <w:ind w:left="115" w:hanging="115"/>
      </w:pPr>
      <w:r>
        <w:rPr>
          <w:b w:val="0"/>
        </w:rPr>
        <w:t xml:space="preserve">7. </w:t>
      </w:r>
      <w:r>
        <w:t>24-month roadmap, sequencing, milestones and KPIs</w:t>
      </w:r>
    </w:p>
    <w:p>
      <w:pPr>
        <w:spacing w:after="80"/>
        <w:ind w:left="115" w:hanging="115"/>
      </w:pPr>
      <w:r>
        <w:rPr>
          <w:b w:val="0"/>
        </w:rPr>
        <w:t xml:space="preserve">8. </w:t>
      </w:r>
      <w:r>
        <w:t>Organization, delivery model, investment priorities and executive decisions</w:t>
      </w:r>
    </w:p>
    <w:p>
      <w:pPr>
        <w:pStyle w:val="Heading1"/>
      </w:pPr>
      <w:r>
        <w:t>1. Vision: From AI Applications to an AI Operating System</w:t>
      </w:r>
    </w:p>
    <w:p>
      <w:r>
        <w:t>The operating-system metaphor is useful when it means “common execution substrate,” not “one AI controls the enterprise.” The platform should expose a stable set of capabilities that all AI experiences use: identity, context, knowledge, tools, policies, workflows, memory, evaluation and telemetry. Business applications then become thin experiences over the same governed substrate.</w:t>
      </w:r>
    </w:p>
    <w:p>
      <w:pPr>
        <w:pStyle w:val="Heading2"/>
      </w:pPr>
      <w:r>
        <w:t>1.1 Target user experience</w:t>
      </w:r>
    </w:p>
    <w:p>
      <w:pPr>
        <w:pStyle w:val="ListBullet"/>
        <w:spacing w:after="60"/>
      </w:pPr>
      <w:r>
        <w:t>Ask: natural-language interaction for questions, analysis, explanation, scenario exploration and navigation across trusted enterprise knowledge.</w:t>
      </w:r>
    </w:p>
    <w:p>
      <w:pPr>
        <w:pStyle w:val="ListBullet"/>
        <w:spacing w:after="60"/>
      </w:pPr>
      <w:r>
        <w:t>Work: the assistant can draft, compare, reconcile, summarize, classify, create tickets, prepare approvals and hand work to deterministic workflows.</w:t>
      </w:r>
    </w:p>
    <w:p>
      <w:pPr>
        <w:pStyle w:val="ListBullet"/>
        <w:spacing w:after="60"/>
      </w:pPr>
      <w:r>
        <w:t>Act: the agent can execute pre-authorized actions through governed tools, with explicit checkpoints for material decisions or irreversible changes.</w:t>
      </w:r>
    </w:p>
    <w:p>
      <w:pPr>
        <w:pStyle w:val="ListBullet"/>
        <w:spacing w:after="60"/>
      </w:pPr>
      <w:r>
        <w:t>Pursue a goal: the user can give a bounded objective (“monitor covenant exceptions this quarter and escalate material breaches”) with a budget, deadline, allowed tools, thresholds and escalation policy.</w:t>
      </w:r>
    </w:p>
    <w:p>
      <w:pPr>
        <w:pStyle w:val="ListBullet"/>
        <w:spacing w:after="60"/>
      </w:pPr>
      <w:r>
        <w:t>Learn: the platform retains approved, auditable memory about the user, team, task and prior outcomes without turning raw conversation history into uncontrolled institutional memory.</w:t>
      </w:r>
    </w:p>
    <w:p>
      <w:pPr>
        <w:pStyle w:val="Heading2"/>
      </w:pPr>
      <w:r>
        <w:t>1.2 What remains non-negotiably deterministic</w:t>
      </w:r>
    </w:p>
    <w:p>
      <w:pPr>
        <w:pStyle w:val="ListBullet"/>
        <w:spacing w:after="60"/>
      </w:pPr>
      <w:r>
        <w:t>Trades, cash movements, accounting postings, payment instructions, legal commitments, material beneficiary decisions and regulated submissions should execute through deterministic systems and controls; AI may recommend, prepare or route them.</w:t>
      </w:r>
    </w:p>
    <w:p>
      <w:pPr>
        <w:pStyle w:val="ListBullet"/>
        <w:spacing w:after="60"/>
      </w:pPr>
      <w:r>
        <w:t>Authorization must derive from enterprise identity, role, entitlements, transaction limits and policy — never from the model’s interpretation of a prompt.</w:t>
      </w:r>
    </w:p>
    <w:p>
      <w:pPr>
        <w:pStyle w:val="ListBullet"/>
        <w:spacing w:after="60"/>
      </w:pPr>
      <w:r>
        <w:t>Every material agent action must be attributable to a human or service principal, its policy decision, the exact tool version, relevant inputs, and the resulting system-of-record change.</w:t>
      </w:r>
    </w:p>
    <w:p>
      <w:r>
        <w:br w:type="page"/>
      </w:r>
    </w:p>
    <w:p>
      <w:pPr>
        <w:pStyle w:val="Heading1"/>
      </w:pPr>
      <w:r>
        <w:t>2. Target Architecture</w:t>
      </w:r>
    </w:p>
    <w:p>
      <w:r>
        <w:t>A five-plane architecture separates concerns and creates clear security / reliability boundaries. The design is intentionally compatible with AWS managed services while preserving portability at the application boundary.</w:t>
      </w:r>
    </w:p>
    <w:tbl>
      <w:tblPr>
        <w:tblW w:type="auto" w:w="0"/>
        <w:jc w:val="center"/>
        <w:tblLook w:firstColumn="1" w:firstRow="1" w:lastColumn="0" w:lastRow="0" w:noHBand="0" w:noVBand="1" w:val="04A0"/>
      </w:tblPr>
      <w:tblGrid>
        <w:gridCol w:w="3331"/>
        <w:gridCol w:w="3331"/>
        <w:gridCol w:w="3331"/>
      </w:tblGrid>
      <w:tr>
        <w:trPr>
          <w:tblHeader w:val="true"/>
        </w:trPr>
        <w:tc>
          <w:tcPr>
            <w:tcW w:type="dxa" w:w="3331"/>
            <w:shd w:fill="193048"/>
          </w:tcPr>
          <w:p>
            <w:pPr>
              <w:jc w:val="left"/>
            </w:pPr>
            <w:r/>
            <w:r>
              <w:rPr>
                <w:b/>
                <w:color w:val="FFFFFF"/>
                <w:sz w:val="17"/>
              </w:rPr>
              <w:t>Plane</w:t>
            </w:r>
          </w:p>
        </w:tc>
        <w:tc>
          <w:tcPr>
            <w:tcW w:type="dxa" w:w="3331"/>
            <w:shd w:fill="193048"/>
          </w:tcPr>
          <w:p>
            <w:pPr>
              <w:jc w:val="left"/>
            </w:pPr>
            <w:r/>
            <w:r>
              <w:rPr>
                <w:b/>
                <w:color w:val="FFFFFF"/>
                <w:sz w:val="17"/>
              </w:rPr>
              <w:t>Responsibilities</w:t>
            </w:r>
          </w:p>
        </w:tc>
        <w:tc>
          <w:tcPr>
            <w:tcW w:type="dxa" w:w="3331"/>
            <w:shd w:fill="193048"/>
          </w:tcPr>
          <w:p>
            <w:pPr>
              <w:jc w:val="left"/>
            </w:pPr>
            <w:r/>
            <w:r>
              <w:rPr>
                <w:b/>
                <w:color w:val="FFFFFF"/>
                <w:sz w:val="17"/>
              </w:rPr>
              <w:t>Representative AWS / platform components</w:t>
            </w:r>
          </w:p>
        </w:tc>
      </w:tr>
      <w:tr>
        <w:tc>
          <w:tcPr>
            <w:tcW w:type="dxa" w:w="3331"/>
            <w:shd w:fill="F7F9FB"/>
          </w:tcPr>
          <w:p>
            <w:pPr>
              <w:jc w:val="left"/>
            </w:pPr>
            <w:r/>
            <w:r>
              <w:rPr>
                <w:b/>
                <w:color w:val="262B30"/>
                <w:sz w:val="16"/>
              </w:rPr>
              <w:t>Experience plane</w:t>
            </w:r>
          </w:p>
        </w:tc>
        <w:tc>
          <w:tcPr>
            <w:tcW w:type="dxa" w:w="3331"/>
            <w:shd w:fill="F7F9FB"/>
          </w:tcPr>
          <w:p>
            <w:pPr>
              <w:jc w:val="left"/>
            </w:pPr>
            <w:r/>
            <w:r>
              <w:rPr>
                <w:b w:val="0"/>
                <w:color w:val="262B30"/>
                <w:sz w:val="16"/>
              </w:rPr>
              <w:t>Employee workspace; role-specific copilots; APIs; Teams/web/mobile; workflow inbox</w:t>
            </w:r>
          </w:p>
        </w:tc>
        <w:tc>
          <w:tcPr>
            <w:tcW w:type="dxa" w:w="3331"/>
            <w:shd w:fill="F7F9FB"/>
          </w:tcPr>
          <w:p>
            <w:pPr>
              <w:jc w:val="left"/>
            </w:pPr>
            <w:r/>
            <w:r>
              <w:rPr>
                <w:b w:val="0"/>
                <w:color w:val="262B30"/>
                <w:sz w:val="16"/>
              </w:rPr>
              <w:t>Web app / portal, enterprise SSO, API gateway, collaboration integrations</w:t>
            </w:r>
          </w:p>
        </w:tc>
      </w:tr>
      <w:tr>
        <w:tc>
          <w:tcPr>
            <w:tcW w:type="dxa" w:w="3331"/>
          </w:tcPr>
          <w:p>
            <w:pPr>
              <w:jc w:val="left"/>
            </w:pPr>
            <w:r/>
            <w:r>
              <w:rPr>
                <w:b/>
                <w:color w:val="262B30"/>
                <w:sz w:val="16"/>
              </w:rPr>
              <w:t>Agent control plane</w:t>
            </w:r>
          </w:p>
        </w:tc>
        <w:tc>
          <w:tcPr>
            <w:tcW w:type="dxa" w:w="3331"/>
          </w:tcPr>
          <w:p>
            <w:pPr>
              <w:jc w:val="left"/>
            </w:pPr>
            <w:r/>
            <w:r>
              <w:rPr>
                <w:b w:val="0"/>
                <w:color w:val="262B30"/>
                <w:sz w:val="16"/>
              </w:rPr>
              <w:t>Agent lifecycle, routing, planning, policies, tool registry, memory, evaluation, observability</w:t>
            </w:r>
          </w:p>
        </w:tc>
        <w:tc>
          <w:tcPr>
            <w:tcW w:type="dxa" w:w="3331"/>
          </w:tcPr>
          <w:p>
            <w:pPr>
              <w:jc w:val="left"/>
            </w:pPr>
            <w:r/>
            <w:r>
              <w:rPr>
                <w:b w:val="0"/>
                <w:color w:val="262B30"/>
                <w:sz w:val="16"/>
              </w:rPr>
              <w:t>Amazon Bedrock, Bedrock Guardrails, AgentCore Runtime / Gateway / Identity / Memory / Observability, orchestration framework</w:t>
            </w:r>
          </w:p>
        </w:tc>
      </w:tr>
      <w:tr>
        <w:tc>
          <w:tcPr>
            <w:tcW w:type="dxa" w:w="3331"/>
            <w:shd w:fill="F7F9FB"/>
          </w:tcPr>
          <w:p>
            <w:pPr>
              <w:jc w:val="left"/>
            </w:pPr>
            <w:r/>
            <w:r>
              <w:rPr>
                <w:b/>
                <w:color w:val="262B30"/>
                <w:sz w:val="16"/>
              </w:rPr>
              <w:t>Knowledge &amp; data plane</w:t>
            </w:r>
          </w:p>
        </w:tc>
        <w:tc>
          <w:tcPr>
            <w:tcW w:type="dxa" w:w="3331"/>
            <w:shd w:fill="F7F9FB"/>
          </w:tcPr>
          <w:p>
            <w:pPr>
              <w:jc w:val="left"/>
            </w:pPr>
            <w:r/>
            <w:r>
              <w:rPr>
                <w:b w:val="0"/>
                <w:color w:val="262B30"/>
                <w:sz w:val="16"/>
              </w:rPr>
              <w:t>Enterprise search, structured analytics, unstructured content, graph, metadata, data quality, entitlements</w:t>
            </w:r>
          </w:p>
        </w:tc>
        <w:tc>
          <w:tcPr>
            <w:tcW w:type="dxa" w:w="3331"/>
            <w:shd w:fill="F7F9FB"/>
          </w:tcPr>
          <w:p>
            <w:pPr>
              <w:jc w:val="left"/>
            </w:pPr>
            <w:r/>
            <w:r>
              <w:rPr>
                <w:b w:val="0"/>
                <w:color w:val="262B30"/>
                <w:sz w:val="16"/>
              </w:rPr>
              <w:t>Lakehouse / warehouse, S3, Bedrock Knowledge Bases, vector + keyword retrieval, knowledge graph / Neptune where justified</w:t>
            </w:r>
          </w:p>
        </w:tc>
      </w:tr>
      <w:tr>
        <w:tc>
          <w:tcPr>
            <w:tcW w:type="dxa" w:w="3331"/>
          </w:tcPr>
          <w:p>
            <w:pPr>
              <w:jc w:val="left"/>
            </w:pPr>
            <w:r/>
            <w:r>
              <w:rPr>
                <w:b/>
                <w:color w:val="262B30"/>
                <w:sz w:val="16"/>
              </w:rPr>
              <w:t>Action &amp; workflow plane</w:t>
            </w:r>
          </w:p>
        </w:tc>
        <w:tc>
          <w:tcPr>
            <w:tcW w:type="dxa" w:w="3331"/>
          </w:tcPr>
          <w:p>
            <w:pPr>
              <w:jc w:val="left"/>
            </w:pPr>
            <w:r/>
            <w:r>
              <w:rPr>
                <w:b w:val="0"/>
                <w:color w:val="262B30"/>
                <w:sz w:val="16"/>
              </w:rPr>
              <w:t>Business APIs, deterministic workflows, approvals, human-in-the-loop, transactions, eventing</w:t>
            </w:r>
          </w:p>
        </w:tc>
        <w:tc>
          <w:tcPr>
            <w:tcW w:type="dxa" w:w="3331"/>
          </w:tcPr>
          <w:p>
            <w:pPr>
              <w:jc w:val="left"/>
            </w:pPr>
            <w:r/>
            <w:r>
              <w:rPr>
                <w:b w:val="0"/>
                <w:color w:val="262B30"/>
                <w:sz w:val="16"/>
              </w:rPr>
              <w:t>API Gateway, Lambda/ECS, Step Functions / workflow engine, EventBridge, service APIs, approval service</w:t>
            </w:r>
          </w:p>
        </w:tc>
      </w:tr>
      <w:tr>
        <w:tc>
          <w:tcPr>
            <w:tcW w:type="dxa" w:w="3331"/>
            <w:shd w:fill="F7F9FB"/>
          </w:tcPr>
          <w:p>
            <w:pPr>
              <w:jc w:val="left"/>
            </w:pPr>
            <w:r/>
            <w:r>
              <w:rPr>
                <w:b/>
                <w:color w:val="262B30"/>
                <w:sz w:val="16"/>
              </w:rPr>
              <w:t>Trust &amp; platform plane</w:t>
            </w:r>
          </w:p>
        </w:tc>
        <w:tc>
          <w:tcPr>
            <w:tcW w:type="dxa" w:w="3331"/>
            <w:shd w:fill="F7F9FB"/>
          </w:tcPr>
          <w:p>
            <w:pPr>
              <w:jc w:val="left"/>
            </w:pPr>
            <w:r/>
            <w:r>
              <w:rPr>
                <w:b w:val="0"/>
                <w:color w:val="262B30"/>
                <w:sz w:val="16"/>
              </w:rPr>
              <w:t>IAM, secrets, network isolation, audit, privacy, records, evaluation, FinOps, SDLC</w:t>
            </w:r>
          </w:p>
        </w:tc>
        <w:tc>
          <w:tcPr>
            <w:tcW w:type="dxa" w:w="3331"/>
            <w:shd w:fill="F7F9FB"/>
          </w:tcPr>
          <w:p>
            <w:pPr>
              <w:jc w:val="left"/>
            </w:pPr>
            <w:r/>
            <w:r>
              <w:rPr>
                <w:b w:val="0"/>
                <w:color w:val="262B30"/>
                <w:sz w:val="16"/>
              </w:rPr>
              <w:t>IAM/Identity, KMS, CloudTrail, CloudWatch, centralized logging, policy engine, CI/CD, model registry</w:t>
            </w:r>
          </w:p>
        </w:tc>
      </w:tr>
    </w:tbl>
    <w:tbl>
      <w:tblPr>
        <w:tblW w:type="auto" w:w="0"/>
        <w:jc w:val="center"/>
        <w:tblLook w:firstColumn="1" w:firstRow="1" w:lastColumn="0" w:lastRow="0" w:noHBand="0" w:noVBand="1" w:val="04A0"/>
      </w:tblPr>
      <w:tblGrid>
        <w:gridCol w:w="9994"/>
      </w:tblGrid>
      <w:tr>
        <w:tc>
          <w:tcPr>
            <w:tcW w:type="dxa" w:w="9994"/>
            <w:shd w:fill="FBF2E5"/>
            <w:tcBorders>
              <w:top w:val="single" w:sz="1" w:color="DDE3E8"/>
              <w:left w:val="single" w:sz="10" w:color="B47023"/>
              <w:bottom w:val="single" w:sz="1" w:color="DDE3E8"/>
              <w:right w:val="single" w:sz="1" w:color="DDE3E8"/>
            </w:tcBorders>
          </w:tcPr>
          <w:p>
            <w:pPr>
              <w:spacing w:after="40"/>
            </w:pPr>
            <w:r>
              <w:rPr>
                <w:b/>
                <w:color w:val="192D48"/>
                <w:sz w:val="21"/>
              </w:rPr>
              <w:t>Architecture rule</w:t>
            </w:r>
          </w:p>
          <w:p>
            <w:pPr>
              <w:spacing w:after="40"/>
            </w:pPr>
            <w:r>
              <w:rPr>
                <w:color w:val="262B30"/>
                <w:sz w:val="19"/>
              </w:rPr>
              <w:t>The agent is not the system of record. It is a policy-constrained reasoning and coordination layer over systems of record and deterministic workflow engines.</w:t>
            </w:r>
          </w:p>
        </w:tc>
      </w:tr>
    </w:tbl>
    <w:p>
      <w:pPr>
        <w:spacing w:after="20"/>
      </w:pPr>
    </w:p>
    <w:p>
      <w:pPr>
        <w:pStyle w:val="Heading1"/>
      </w:pPr>
      <w:r>
        <w:t>3. Model Foundation and Model Routing</w:t>
      </w:r>
    </w:p>
    <w:p>
      <w:r>
        <w:t>The platform should optimize for business outcomes, not for one “best model.” Bedrock provides the managed model access layer; the application should add a model-routing abstraction so agents can select among frontier, smaller, specialized and embedding/reranking models based on task, latency, sensitivity, cost and reliability.</w:t>
      </w:r>
    </w:p>
    <w:p>
      <w:pPr>
        <w:pStyle w:val="ListBullet"/>
        <w:spacing w:after="60"/>
      </w:pPr>
      <w:r>
        <w:t>Create a model catalog with approved model versions, capabilities, regions, data-handling constraints, benchmark scores and cost characteristics.</w:t>
      </w:r>
    </w:p>
    <w:p>
      <w:pPr>
        <w:pStyle w:val="ListBullet"/>
        <w:spacing w:after="60"/>
      </w:pPr>
      <w:r>
        <w:t>Use task-based routing: small/fast models for classification, extraction and simple tool selection; stronger reasoning models for investment synthesis, complex research and multi-step planning; specialized models for embeddings, reranking, parsing and document understanding.</w:t>
      </w:r>
    </w:p>
    <w:p>
      <w:pPr>
        <w:pStyle w:val="ListBullet"/>
        <w:spacing w:after="60"/>
      </w:pPr>
      <w:r>
        <w:t>Pin critical workloads to versioned model configurations. Treat model upgrades as production changes requiring regression evaluation, cost comparison and risk review.</w:t>
      </w:r>
    </w:p>
    <w:p>
      <w:pPr>
        <w:pStyle w:val="ListBullet"/>
        <w:spacing w:after="60"/>
      </w:pPr>
      <w:r>
        <w:t>Use inference profiles / cross-Region patterns where appropriate for throughput, cost and resilience; AWS documents inference profiles as a way to track cost/metrics and distribute inference across Regions. [2]</w:t>
      </w:r>
    </w:p>
    <w:p>
      <w:pPr>
        <w:pStyle w:val="ListBullet"/>
        <w:spacing w:after="60"/>
      </w:pPr>
      <w:r>
        <w:t>Design for fallback: if the preferred model fails, degrade to an approved fallback or return “cannot complete safely” rather than improvising.</w:t>
      </w:r>
    </w:p>
    <w:p>
      <w:pPr>
        <w:pStyle w:val="Heading2"/>
      </w:pPr>
      <w:r>
        <w:t>Challenges</w:t>
      </w:r>
    </w:p>
    <w:p>
      <w:pPr>
        <w:pStyle w:val="ListBullet"/>
        <w:spacing w:after="60"/>
      </w:pPr>
      <w:r>
        <w:t>Model behavior changes without API changes; model upgrades can silently change tool selection, reasoning style or extraction accuracy.</w:t>
      </w:r>
    </w:p>
    <w:p>
      <w:pPr>
        <w:pStyle w:val="ListBullet"/>
        <w:spacing w:after="60"/>
      </w:pPr>
      <w:r>
        <w:t>Latency and cost vary by model and reasoning depth. Agentic workloads can amplify cost because one user request may create many model/tool calls.</w:t>
      </w:r>
    </w:p>
    <w:p>
      <w:pPr>
        <w:pStyle w:val="ListBullet"/>
        <w:spacing w:after="60"/>
      </w:pPr>
      <w:r>
        <w:t>Benchmarking is multidimensional: accuracy alone is insufficient; require business success, policy compliance, citation quality, latency, cost and failure recovery metrics.</w:t>
      </w:r>
    </w:p>
    <w:p>
      <w:pPr>
        <w:pStyle w:val="Heading1"/>
      </w:pPr>
      <w:r>
        <w:t>4. Enterprise Knowledge and Context</w:t>
      </w:r>
    </w:p>
    <w:p>
      <w:r>
        <w:t>Enterprise knowledge is the core substrate of an AI operating system. Treat ingestion, authorization, freshness and provenance as first-class platform services. Bedrock Knowledge Bases supports retrieval, citations, reranking, multimodal content and structured-data access; current AWS guidance also highlights agentic retrieval that can decompose complex queries and iterate on retrieval. [3]</w:t>
      </w:r>
    </w:p>
    <w:tbl>
      <w:tblPr>
        <w:tblW w:type="auto" w:w="0"/>
        <w:jc w:val="center"/>
        <w:tblLook w:firstColumn="1" w:firstRow="1" w:lastColumn="0" w:lastRow="0" w:noHBand="0" w:noVBand="1" w:val="04A0"/>
      </w:tblPr>
      <w:tblGrid>
        <w:gridCol w:w="3331"/>
        <w:gridCol w:w="3331"/>
        <w:gridCol w:w="3331"/>
      </w:tblGrid>
      <w:tr>
        <w:trPr>
          <w:tblHeader w:val="true"/>
        </w:trPr>
        <w:tc>
          <w:tcPr>
            <w:tcW w:type="dxa" w:w="1944"/>
            <w:shd w:fill="193048"/>
          </w:tcPr>
          <w:p>
            <w:pPr>
              <w:jc w:val="left"/>
            </w:pPr>
            <w:r/>
            <w:r>
              <w:rPr>
                <w:b/>
                <w:color w:val="FFFFFF"/>
                <w:sz w:val="16"/>
              </w:rPr>
              <w:t>Capability</w:t>
            </w:r>
          </w:p>
        </w:tc>
        <w:tc>
          <w:tcPr>
            <w:tcW w:type="dxa" w:w="4392"/>
            <w:shd w:fill="193048"/>
          </w:tcPr>
          <w:p>
            <w:pPr>
              <w:jc w:val="left"/>
            </w:pPr>
            <w:r/>
            <w:r>
              <w:rPr>
                <w:b/>
                <w:color w:val="FFFFFF"/>
                <w:sz w:val="16"/>
              </w:rPr>
              <w:t>Best practices</w:t>
            </w:r>
          </w:p>
        </w:tc>
        <w:tc>
          <w:tcPr>
            <w:tcW w:type="dxa" w:w="3816"/>
            <w:shd w:fill="193048"/>
          </w:tcPr>
          <w:p>
            <w:pPr>
              <w:jc w:val="left"/>
            </w:pPr>
            <w:r/>
            <w:r>
              <w:rPr>
                <w:b/>
                <w:color w:val="FFFFFF"/>
                <w:sz w:val="16"/>
              </w:rPr>
              <w:t>Key challenges</w:t>
            </w:r>
          </w:p>
        </w:tc>
      </w:tr>
      <w:tr>
        <w:trPr>
          <w:cantSplit/>
        </w:trPr>
        <w:tc>
          <w:tcPr>
            <w:tcW w:type="dxa" w:w="3331"/>
            <w:shd w:fill="F7F9FB"/>
          </w:tcPr>
          <w:p>
            <w:pPr>
              <w:jc w:val="left"/>
            </w:pPr>
            <w:r/>
            <w:r>
              <w:rPr>
                <w:b/>
                <w:color w:val="262B30"/>
                <w:sz w:val="15"/>
              </w:rPr>
              <w:t>Document ingestion</w:t>
            </w:r>
          </w:p>
        </w:tc>
        <w:tc>
          <w:tcPr>
            <w:tcW w:type="dxa" w:w="3331"/>
            <w:shd w:fill="F7F9FB"/>
          </w:tcPr>
          <w:p>
            <w:pPr>
              <w:jc w:val="left"/>
            </w:pPr>
            <w:r/>
            <w:r>
              <w:rPr>
                <w:b w:val="0"/>
                <w:color w:val="262B30"/>
                <w:sz w:val="15"/>
              </w:rPr>
              <w:t>Canonical source registry; versioning; chunking by semantic boundaries; metadata; ACL propagation; OCR/vision parsing for tables/charts; freshness SLAs</w:t>
            </w:r>
          </w:p>
        </w:tc>
        <w:tc>
          <w:tcPr>
            <w:tcW w:type="dxa" w:w="3331"/>
            <w:shd w:fill="F7F9FB"/>
          </w:tcPr>
          <w:p>
            <w:pPr>
              <w:jc w:val="left"/>
            </w:pPr>
            <w:r/>
            <w:r>
              <w:rPr>
                <w:b w:val="0"/>
                <w:color w:val="262B30"/>
                <w:sz w:val="15"/>
              </w:rPr>
              <w:t>Broken layouts; duplicate versions; stale documents; ACL mismatch; hidden tables / spreadsheet logic</w:t>
            </w:r>
          </w:p>
        </w:tc>
      </w:tr>
      <w:tr>
        <w:trPr>
          <w:cantSplit/>
        </w:trPr>
        <w:tc>
          <w:tcPr>
            <w:tcW w:type="dxa" w:w="3331"/>
          </w:tcPr>
          <w:p>
            <w:pPr>
              <w:jc w:val="left"/>
            </w:pPr>
            <w:r/>
            <w:r>
              <w:rPr>
                <w:b/>
                <w:color w:val="262B30"/>
                <w:sz w:val="15"/>
              </w:rPr>
              <w:t>Retrieval</w:t>
            </w:r>
          </w:p>
        </w:tc>
        <w:tc>
          <w:tcPr>
            <w:tcW w:type="dxa" w:w="3331"/>
          </w:tcPr>
          <w:p>
            <w:pPr>
              <w:jc w:val="left"/>
            </w:pPr>
            <w:r/>
            <w:r>
              <w:rPr>
                <w:b w:val="0"/>
                <w:color w:val="262B30"/>
                <w:sz w:val="15"/>
              </w:rPr>
              <w:t>Hybrid retrieval; reranking; query rewriting/decomposition; domain-specific indexes; filters by authority/date/portfolio/entity</w:t>
            </w:r>
          </w:p>
        </w:tc>
        <w:tc>
          <w:tcPr>
            <w:tcW w:type="dxa" w:w="3331"/>
          </w:tcPr>
          <w:p>
            <w:pPr>
              <w:jc w:val="left"/>
            </w:pPr>
            <w:r/>
            <w:r>
              <w:rPr>
                <w:b w:val="0"/>
                <w:color w:val="262B30"/>
                <w:sz w:val="15"/>
              </w:rPr>
              <w:t>High recall can reduce precision; semantic similarity is not truth; retrieval can cross security boundaries</w:t>
            </w:r>
          </w:p>
        </w:tc>
      </w:tr>
      <w:tr>
        <w:trPr>
          <w:cantSplit/>
        </w:trPr>
        <w:tc>
          <w:tcPr>
            <w:tcW w:type="dxa" w:w="3331"/>
            <w:shd w:fill="F7F9FB"/>
          </w:tcPr>
          <w:p>
            <w:pPr>
              <w:jc w:val="left"/>
            </w:pPr>
            <w:r/>
            <w:r>
              <w:rPr>
                <w:b/>
                <w:color w:val="262B30"/>
                <w:sz w:val="15"/>
              </w:rPr>
              <w:t>Structured data</w:t>
            </w:r>
          </w:p>
        </w:tc>
        <w:tc>
          <w:tcPr>
            <w:tcW w:type="dxa" w:w="3331"/>
            <w:shd w:fill="F7F9FB"/>
          </w:tcPr>
          <w:p>
            <w:pPr>
              <w:jc w:val="left"/>
            </w:pPr>
            <w:r/>
            <w:r>
              <w:rPr>
                <w:b w:val="0"/>
                <w:color w:val="262B30"/>
                <w:sz w:val="15"/>
              </w:rPr>
              <w:t>Expose governed query services rather than embedding numeric truth; semantic layer for portfolio/ledger concepts; validation against source systems</w:t>
            </w:r>
          </w:p>
        </w:tc>
        <w:tc>
          <w:tcPr>
            <w:tcW w:type="dxa" w:w="3331"/>
            <w:shd w:fill="F7F9FB"/>
          </w:tcPr>
          <w:p>
            <w:pPr>
              <w:jc w:val="left"/>
            </w:pPr>
            <w:r/>
            <w:r>
              <w:rPr>
                <w:b w:val="0"/>
                <w:color w:val="262B30"/>
                <w:sz w:val="15"/>
              </w:rPr>
              <w:t>Schema drift; ambiguous business definitions; point-in-time consistency; double counting</w:t>
            </w:r>
          </w:p>
        </w:tc>
      </w:tr>
      <w:tr>
        <w:trPr>
          <w:cantSplit/>
        </w:trPr>
        <w:tc>
          <w:tcPr>
            <w:tcW w:type="dxa" w:w="3331"/>
          </w:tcPr>
          <w:p>
            <w:pPr>
              <w:jc w:val="left"/>
            </w:pPr>
            <w:r/>
            <w:r>
              <w:rPr>
                <w:b/>
                <w:color w:val="262B30"/>
                <w:sz w:val="15"/>
              </w:rPr>
              <w:t>Knowledge graph</w:t>
            </w:r>
          </w:p>
        </w:tc>
        <w:tc>
          <w:tcPr>
            <w:tcW w:type="dxa" w:w="3331"/>
          </w:tcPr>
          <w:p>
            <w:pPr>
              <w:jc w:val="left"/>
            </w:pPr>
            <w:r/>
            <w:r>
              <w:rPr>
                <w:b w:val="0"/>
                <w:color w:val="262B30"/>
                <w:sz w:val="15"/>
              </w:rPr>
              <w:t>Use graph for entities, relationships, lineage and “who/what is connected” questions; combine with vector/keyword retrieval</w:t>
            </w:r>
          </w:p>
        </w:tc>
        <w:tc>
          <w:tcPr>
            <w:tcW w:type="dxa" w:w="3331"/>
          </w:tcPr>
          <w:p>
            <w:pPr>
              <w:jc w:val="left"/>
            </w:pPr>
            <w:r/>
            <w:r>
              <w:rPr>
                <w:b w:val="0"/>
                <w:color w:val="262B30"/>
                <w:sz w:val="15"/>
              </w:rPr>
              <w:t>Graph maintenance; ontology disputes; noisy relationships; query planning complexity</w:t>
            </w:r>
          </w:p>
        </w:tc>
      </w:tr>
      <w:tr>
        <w:trPr>
          <w:cantSplit/>
        </w:trPr>
        <w:tc>
          <w:tcPr>
            <w:tcW w:type="dxa" w:w="3331"/>
            <w:shd w:fill="F7F9FB"/>
          </w:tcPr>
          <w:p>
            <w:pPr>
              <w:jc w:val="left"/>
            </w:pPr>
            <w:r/>
            <w:r>
              <w:rPr>
                <w:b/>
                <w:color w:val="262B30"/>
                <w:sz w:val="15"/>
              </w:rPr>
              <w:t>Provenance</w:t>
            </w:r>
          </w:p>
        </w:tc>
        <w:tc>
          <w:tcPr>
            <w:tcW w:type="dxa" w:w="3331"/>
            <w:shd w:fill="F7F9FB"/>
          </w:tcPr>
          <w:p>
            <w:pPr>
              <w:jc w:val="left"/>
            </w:pPr>
            <w:r/>
            <w:r>
              <w:rPr>
                <w:b w:val="0"/>
                <w:color w:val="262B30"/>
                <w:sz w:val="15"/>
              </w:rPr>
              <w:t>Every material answer carries source identifiers, timestamps, data lineage and confidence/coverage signals</w:t>
            </w:r>
          </w:p>
        </w:tc>
        <w:tc>
          <w:tcPr>
            <w:tcW w:type="dxa" w:w="3331"/>
            <w:shd w:fill="F7F9FB"/>
          </w:tcPr>
          <w:p>
            <w:pPr>
              <w:jc w:val="left"/>
            </w:pPr>
            <w:r/>
            <w:r>
              <w:rPr>
                <w:b w:val="0"/>
                <w:color w:val="262B30"/>
                <w:sz w:val="15"/>
              </w:rPr>
              <w:t>Citations can prove where a claim came from, not that the claim is correct</w:t>
            </w:r>
          </w:p>
        </w:tc>
      </w:tr>
    </w:tbl>
    <w:tbl>
      <w:tblPr>
        <w:tblW w:type="auto" w:w="0"/>
        <w:jc w:val="center"/>
        <w:tblLook w:firstColumn="1" w:firstRow="1" w:lastColumn="0" w:lastRow="0" w:noHBand="0" w:noVBand="1" w:val="04A0"/>
      </w:tblPr>
      <w:tblGrid>
        <w:gridCol w:w="9994"/>
      </w:tblGrid>
      <w:tr>
        <w:tc>
          <w:tcPr>
            <w:tcW w:type="dxa" w:w="9994"/>
            <w:shd w:fill="FBECEC"/>
            <w:tcBorders>
              <w:top w:val="single" w:sz="1" w:color="DDE3E8"/>
              <w:left w:val="single" w:sz="10" w:color="A43E3E"/>
              <w:bottom w:val="single" w:sz="1" w:color="DDE3E8"/>
              <w:right w:val="single" w:sz="1" w:color="DDE3E8"/>
            </w:tcBorders>
          </w:tcPr>
          <w:p>
            <w:pPr>
              <w:spacing w:after="40"/>
            </w:pPr>
            <w:r>
              <w:rPr>
                <w:b/>
                <w:color w:val="192D48"/>
                <w:sz w:val="21"/>
              </w:rPr>
              <w:t>Important Bedrock nuance</w:t>
            </w:r>
          </w:p>
          <w:p>
            <w:pPr>
              <w:spacing w:after="40"/>
            </w:pPr>
            <w:r>
              <w:rPr>
                <w:color w:val="262B30"/>
                <w:sz w:val="19"/>
              </w:rPr>
              <w:t>Bedrock Guardrails do not automatically protect the raw reference material retrieved from a Knowledge Base at runtime. Apply authorization and data filtering before retrieval, and treat retrieval results as sensitive data. [4]</w:t>
            </w:r>
          </w:p>
        </w:tc>
      </w:tr>
    </w:tbl>
    <w:p>
      <w:pPr>
        <w:spacing w:after="20"/>
      </w:pPr>
    </w:p>
    <w:p>
      <w:pPr>
        <w:pStyle w:val="Heading1"/>
      </w:pPr>
      <w:r>
        <w:t>5. Identity, Security and Entitlements</w:t>
      </w:r>
    </w:p>
    <w:p>
      <w:r>
        <w:t>Agent identity is fundamentally different from application authentication. An agent must have a durable, auditable identity plus a constrained set of capabilities. AWS AgentCore Identity is designed to manage identities and credentials for agents and automated workloads, including access to AWS resources and third-party services. [5]</w:t>
      </w:r>
    </w:p>
    <w:p>
      <w:pPr>
        <w:pStyle w:val="ListBullet"/>
        <w:spacing w:after="60"/>
      </w:pPr>
      <w:r>
        <w:t>Use user identity + agent identity + tool identity; never collapse them into a shared service account.</w:t>
      </w:r>
    </w:p>
    <w:p>
      <w:pPr>
        <w:pStyle w:val="ListBullet"/>
        <w:spacing w:after="60"/>
      </w:pPr>
      <w:r>
        <w:t>Use least privilege, short-lived credentials and scoped delegation. Production IAM policies should be purpose-built rather than broad development policies; AWS explicitly warns that development-oriented AgentCore CLI policies are not appropriate for production. [6]</w:t>
      </w:r>
    </w:p>
    <w:p>
      <w:pPr>
        <w:pStyle w:val="ListBullet"/>
        <w:spacing w:after="60"/>
      </w:pPr>
      <w:r>
        <w:t>Propagate entitlements to retrieval: an agent should never retrieve a document the user could not access directly, unless an explicit service-level authority authorizes it.</w:t>
      </w:r>
    </w:p>
    <w:p>
      <w:pPr>
        <w:pStyle w:val="ListBullet"/>
        <w:spacing w:after="60"/>
      </w:pPr>
      <w:r>
        <w:t>Create action risk tiers: read-only; reversible write; business-impacting write; irreversible / regulated action. Map each tier to approval, transaction limits, dual control and logging requirements.</w:t>
      </w:r>
    </w:p>
    <w:p>
      <w:pPr>
        <w:pStyle w:val="ListBullet"/>
        <w:spacing w:after="60"/>
      </w:pPr>
      <w:r>
        <w:t>Protect against prompt injection and data exfiltration using layered controls: input filtering, tool allowlists, output inspection, secret isolation, egress controls and policy enforcement outside the model. Bedrock Guardrails supports prompt-attack filtering and configurable content / topic controls. [7][8]</w:t>
      </w:r>
    </w:p>
    <w:p>
      <w:pPr>
        <w:pStyle w:val="Heading2"/>
      </w:pPr>
      <w:r>
        <w:t>Challenges</w:t>
      </w:r>
    </w:p>
    <w:p>
      <w:pPr>
        <w:pStyle w:val="ListBullet"/>
        <w:spacing w:after="60"/>
      </w:pPr>
      <w:r>
        <w:t>“The agent can read everything because the user can” is often false once agents act on shared service credentials. Build explicit delegation semantics.</w:t>
      </w:r>
    </w:p>
    <w:p>
      <w:pPr>
        <w:pStyle w:val="ListBullet"/>
        <w:spacing w:after="60"/>
      </w:pPr>
      <w:r>
        <w:t>Tool descriptions themselves are attack surfaces. Treat tools, schemas and external content as untrusted inputs to planning.</w:t>
      </w:r>
    </w:p>
    <w:p>
      <w:pPr>
        <w:pStyle w:val="ListBullet"/>
        <w:spacing w:after="60"/>
      </w:pPr>
      <w:r>
        <w:t>Human approval UI becomes a control boundary: the user must understand what will happen, which data will be used, what will change and what the agent recommends.</w:t>
      </w:r>
    </w:p>
    <w:p>
      <w:pPr>
        <w:pStyle w:val="Heading1"/>
      </w:pPr>
      <w:r>
        <w:t>6. Tool and Action Plane</w:t>
      </w:r>
    </w:p>
    <w:p>
      <w:r>
        <w:t>Tools are the agent’s hands. Standardize them as reusable enterprise capabilities, not ad-hoc functions hidden inside prompts. Prefer existing APIs and deterministic services; wrap them with consistent schemas, authorization, idempotency and audit metadata. Bedrock AgentCore Gateway can centralize access to tools and backend targets and provide authentication / observability around agent-to-service calls. [9]</w:t>
      </w:r>
    </w:p>
    <w:p>
      <w:pPr>
        <w:pStyle w:val="Heading2"/>
      </w:pPr>
      <w:r>
        <w:t>6.1 Developer Ecosystem: Make the Platform a Fund-Wide AI Factory</w:t>
      </w:r>
    </w:p>
    <w:p>
      <w:pPr/>
      <w:r>
        <w:t>The platform should not only run agents built by a central AI team. It should become a governed internal ecosystem in which investment, risk, operations, technology and corporate teams can build reusable skills, tools and workflows without rebuilding infrastructure. The central platform team owns the paved road; domain teams own business capabilities and outcomes.</w:t>
      </w:r>
    </w:p>
    <w:p>
      <w:pPr/>
      <w:r>
        <w:t>The design principle is to separate what a developer creates from what the platform governs. A developer should be able to package a skill or tool with a standard SDK, test it locally, publish it to a registry, request permissions, pass automated security/evaluation checks, and promote it through environments. The safe path should be the easiest path.</w:t>
      </w:r>
    </w:p>
    <w:p>
      <w:pPr>
        <w:pStyle w:val="Heading2"/>
      </w:pPr>
      <w:r>
        <w:t>6.2 Standardize the Building Blocks</w:t>
      </w:r>
    </w:p>
    <w:tbl>
      <w:tblPr>
        <w:tblStyle w:val="TableGrid"/>
        <w:tblW w:type="auto" w:w="0"/>
        <w:tblLook w:firstColumn="1" w:firstRow="1" w:lastColumn="0" w:lastRow="0" w:noHBand="0" w:noVBand="1" w:val="04A0"/>
      </w:tblPr>
      <w:tblGrid>
        <w:gridCol w:w="2498"/>
        <w:gridCol w:w="2498"/>
        <w:gridCol w:w="2498"/>
        <w:gridCol w:w="2498"/>
      </w:tblGrid>
      <w:tr>
        <w:tc>
          <w:tcPr>
            <w:tcW w:type="dxa" w:w="2498"/>
          </w:tcPr>
          <w:p>
            <w:r>
              <w:t>Building block</w:t>
            </w:r>
          </w:p>
        </w:tc>
        <w:tc>
          <w:tcPr>
            <w:tcW w:type="dxa" w:w="2498"/>
          </w:tcPr>
          <w:p>
            <w:r>
              <w:t>What developers create</w:t>
            </w:r>
          </w:p>
        </w:tc>
        <w:tc>
          <w:tcPr>
            <w:tcW w:type="dxa" w:w="2498"/>
          </w:tcPr>
          <w:p>
            <w:r>
              <w:t>Platform contract</w:t>
            </w:r>
          </w:p>
        </w:tc>
        <w:tc>
          <w:tcPr>
            <w:tcW w:type="dxa" w:w="2498"/>
          </w:tcPr>
          <w:p>
            <w:r>
              <w:t>Pension-fund examples</w:t>
            </w:r>
          </w:p>
        </w:tc>
      </w:tr>
      <w:tr>
        <w:tc>
          <w:tcPr>
            <w:tcW w:type="dxa" w:w="2498"/>
          </w:tcPr>
          <w:p>
            <w:r>
              <w:t>Tool</w:t>
            </w:r>
          </w:p>
        </w:tc>
        <w:tc>
          <w:tcPr>
            <w:tcW w:type="dxa" w:w="2498"/>
          </w:tcPr>
          <w:p>
            <w:r>
              <w:t>Bounded callable capability with typed input/output</w:t>
            </w:r>
          </w:p>
        </w:tc>
        <w:tc>
          <w:tcPr>
            <w:tcW w:type="dxa" w:w="2498"/>
          </w:tcPr>
          <w:p>
            <w:r>
              <w:t>Schema, auth, authorization scope, timeout, idempotency, audit metadata, owner, SLA</w:t>
            </w:r>
          </w:p>
        </w:tc>
        <w:tc>
          <w:tcPr>
            <w:tcW w:type="dxa" w:w="2498"/>
          </w:tcPr>
          <w:p>
            <w:r>
              <w:t>Portfolio lookup; risk calculation; market-data query; document retrieval; ticket creation</w:t>
            </w:r>
          </w:p>
        </w:tc>
      </w:tr>
      <w:tr>
        <w:tc>
          <w:tcPr>
            <w:tcW w:type="dxa" w:w="2498"/>
          </w:tcPr>
          <w:p>
            <w:r>
              <w:t>Skill</w:t>
            </w:r>
          </w:p>
        </w:tc>
        <w:tc>
          <w:tcPr>
            <w:tcW w:type="dxa" w:w="2498"/>
          </w:tcPr>
          <w:p>
            <w:r>
              <w:t>Reusable instructions + decision procedure + tool composition</w:t>
            </w:r>
          </w:p>
        </w:tc>
        <w:tc>
          <w:tcPr>
            <w:tcW w:type="dxa" w:w="2498"/>
          </w:tcPr>
          <w:p>
            <w:r>
              <w:t>Manifest, inputs/outputs, allowed tools, policy constraints, eval suite, version, owner</w:t>
            </w:r>
          </w:p>
        </w:tc>
        <w:tc>
          <w:tcPr>
            <w:tcW w:type="dxa" w:w="2498"/>
          </w:tcPr>
          <w:p>
            <w:r>
              <w:t>Investment memo drafting; manager due diligence; earnings analysis; incident triage</w:t>
            </w:r>
          </w:p>
        </w:tc>
      </w:tr>
      <w:tr>
        <w:tc>
          <w:tcPr>
            <w:tcW w:type="dxa" w:w="2498"/>
          </w:tcPr>
          <w:p>
            <w:r>
              <w:t>Workflow</w:t>
            </w:r>
          </w:p>
        </w:tc>
        <w:tc>
          <w:tcPr>
            <w:tcW w:type="dxa" w:w="2498"/>
          </w:tcPr>
          <w:p>
            <w:r>
              <w:t>Deterministic or hybrid multi-step process</w:t>
            </w:r>
          </w:p>
        </w:tc>
        <w:tc>
          <w:tcPr>
            <w:tcW w:type="dxa" w:w="2498"/>
          </w:tcPr>
          <w:p>
            <w:r>
              <w:t>State model, retries, approvals, compensation, observability, SLA, human checkpoints</w:t>
            </w:r>
          </w:p>
        </w:tc>
        <w:tc>
          <w:tcPr>
            <w:tcW w:type="dxa" w:w="2498"/>
          </w:tcPr>
          <w:p>
            <w:r>
              <w:t>Quarterly valuation review; onboarding; compliance review; reporting package</w:t>
            </w:r>
          </w:p>
        </w:tc>
      </w:tr>
      <w:tr>
        <w:tc>
          <w:tcPr>
            <w:tcW w:type="dxa" w:w="2498"/>
          </w:tcPr>
          <w:p>
            <w:r>
              <w:t>Agent</w:t>
            </w:r>
          </w:p>
        </w:tc>
        <w:tc>
          <w:tcPr>
            <w:tcW w:type="dxa" w:w="2498"/>
          </w:tcPr>
          <w:p>
            <w:r>
              <w:t>Goal-directed application selecting skills/tools</w:t>
            </w:r>
          </w:p>
        </w:tc>
        <w:tc>
          <w:tcPr>
            <w:tcW w:type="dxa" w:w="2498"/>
          </w:tcPr>
          <w:p>
            <w:r>
              <w:t>Agent identity, model policy, tool allow-list, autonomy tier, memory policy, evals</w:t>
            </w:r>
          </w:p>
        </w:tc>
        <w:tc>
          <w:tcPr>
            <w:tcW w:type="dxa" w:w="2498"/>
          </w:tcPr>
          <w:p>
            <w:r>
              <w:t>Research assistant; operations agent; technology support agent</w:t>
            </w:r>
          </w:p>
        </w:tc>
      </w:tr>
      <w:tr>
        <w:tc>
          <w:tcPr>
            <w:tcW w:type="dxa" w:w="2498"/>
          </w:tcPr>
          <w:p>
            <w:r>
              <w:t>Policy</w:t>
            </w:r>
          </w:p>
        </w:tc>
        <w:tc>
          <w:tcPr>
            <w:tcW w:type="dxa" w:w="2498"/>
          </w:tcPr>
          <w:p>
            <w:r>
              <w:t>Machine-enforceable guardrail</w:t>
            </w:r>
          </w:p>
        </w:tc>
        <w:tc>
          <w:tcPr>
            <w:tcW w:type="dxa" w:w="2498"/>
          </w:tcPr>
          <w:p>
            <w:r>
              <w:t>Versioned rules evaluated at runtime with deny/approve semantics</w:t>
            </w:r>
          </w:p>
        </w:tc>
        <w:tc>
          <w:tcPr>
            <w:tcW w:type="dxa" w:w="2498"/>
          </w:tcPr>
          <w:p>
            <w:r>
              <w:t>Trading limits; data entitlements; segregation of duties; approval thresholds</w:t>
            </w:r>
          </w:p>
        </w:tc>
      </w:tr>
    </w:tbl>
    <w:p>
      <w:pPr/>
      <w:r>
        <w:t>Recommended ecosystem capabilities</w:t>
      </w:r>
    </w:p>
    <w:p>
      <w:pPr>
        <w:pStyle w:val="ListBullet"/>
      </w:pPr>
      <w:r>
        <w:t>Developer SDK and templates: Python/TypeScript libraries, CLI tooling, local emulators, standard manifests, typed tool schemas, tracing hooks and test harnesses. Developers should not need to understand the underlying Bedrock orchestration internals.</w:t>
      </w:r>
    </w:p>
    <w:p>
      <w:pPr>
        <w:pStyle w:val="ListBullet"/>
      </w:pPr>
      <w:r>
        <w:t>Skill and tool registry: searchable catalog containing owner, description, version, dependencies, data classifications, permissions, evaluation results, SLA, cost profile, usage and lifecycle status. Skills/tools become first-class software assets.</w:t>
      </w:r>
    </w:p>
    <w:p>
      <w:pPr>
        <w:pStyle w:val="ListBullet"/>
      </w:pPr>
      <w:r>
        <w:t>Discovery and semantic routing: registry metadata is exposed to agents so they can discover the right capability at runtime. Use explicit descriptions, examples and typed schemas rather than prompt text alone.</w:t>
      </w:r>
    </w:p>
    <w:p>
      <w:pPr>
        <w:pStyle w:val="ListBullet"/>
      </w:pPr>
      <w:r>
        <w:t>MCP/OpenAPI integration layer: support open standards where useful so existing enterprise APIs and internal tools can be wrapped without proprietary agent-specific implementations. MCP is an integration option; governance remains a platform responsibility.</w:t>
      </w:r>
    </w:p>
    <w:p>
      <w:pPr>
        <w:pStyle w:val="ListBullet"/>
      </w:pPr>
      <w:r>
        <w:t>Sandbox and developer environments: isolated environments with synthetic/masked data, restricted credentials and deterministic fixtures. Developers can test behavior before production access.</w:t>
      </w:r>
    </w:p>
    <w:p>
      <w:pPr>
        <w:pStyle w:val="ListBullet"/>
      </w:pPr>
      <w:r>
        <w:t>CI/CD and promotion pipeline: linting, schema validation, unit tests, agent evaluations, security scanning, dependency scanning, prompt/instruction checks and policy validation before promotion.</w:t>
      </w:r>
    </w:p>
    <w:p>
      <w:pPr>
        <w:pStyle w:val="ListBullet"/>
      </w:pPr>
      <w:r>
        <w:t>Certification and trust tiers: classify capabilities as experimental, team-approved, enterprise-approved and production-critical. Higher-risk tools require stronger evidence, ownership and approval.</w:t>
      </w:r>
    </w:p>
    <w:p>
      <w:pPr>
        <w:pStyle w:val="ListBullet"/>
      </w:pPr>
      <w:r>
        <w:t>Versioning and compatibility: independently version tool schemas, skills, prompts/instructions, policies and workflows. Support compatibility, deprecation windows, rollback and pinning.</w:t>
      </w:r>
    </w:p>
    <w:p>
      <w:pPr>
        <w:pStyle w:val="ListBullet"/>
      </w:pPr>
      <w:r>
        <w:t>Permission broker: bind every invocation to user, agent identity, purpose, data classification and requested action. Prefer short-lived, least-privilege credentials and runtime policy decisions.</w:t>
      </w:r>
    </w:p>
    <w:p>
      <w:pPr>
        <w:pStyle w:val="ListBullet"/>
      </w:pPr>
      <w:r>
        <w:t>Runtime governance: enforce allow-lists, rate limits, budgets, DLP, data-residency rules, approval gates and maximum autonomy at runtime.</w:t>
      </w:r>
    </w:p>
    <w:p>
      <w:pPr>
        <w:pStyle w:val="ListBullet"/>
      </w:pPr>
      <w:r>
        <w:t>Evaluation service: every published skill has a domain-specific eval suite covering correctness, grounding, tool selection, policy adherence and failure behavior. Production skills continuously collect regression cases.</w:t>
      </w:r>
    </w:p>
    <w:p>
      <w:pPr>
        <w:pStyle w:val="ListBullet"/>
      </w:pPr>
      <w:r>
        <w:t>Observability and lineage: trace user → agent → skill → tool → data → model → action, including versions and policy decisions. This is essential for audit, incident investigation and model-risk management.</w:t>
      </w:r>
    </w:p>
    <w:p>
      <w:pPr>
        <w:pStyle w:val="ListBullet"/>
      </w:pPr>
      <w:r>
        <w:t>Usage and chargeback: measure invocations, latency, model/tool cost and business value by team/capability. This enables FinOps and prevents uncontrolled agent proliferation.</w:t>
      </w:r>
    </w:p>
    <w:p>
      <w:pPr>
        <w:pStyle w:val="ListBullet"/>
      </w:pPr>
      <w:r>
        <w:t>Internal marketplace/catalog: search, compare, request access, subscribe to approved skills and see documentation/evaluation status. Reuse should be visible.</w:t>
      </w:r>
    </w:p>
    <w:p>
      <w:pPr>
        <w:pStyle w:val="ListBullet"/>
      </w:pPr>
      <w:r>
        <w:t>Ownership and support: every production capability has a business owner, technical owner, risk classification, support contact and review/retirement date. No orphaned production skill or tool.</w:t>
      </w:r>
    </w:p>
    <w:p>
      <w:pPr>
        <w:pStyle w:val="Heading2"/>
      </w:pPr>
      <w:r>
        <w:t>6.3 Lifecycle: Build → Certify → Publish → Compose → Observe → Improve</w:t>
      </w:r>
    </w:p>
    <w:p>
      <w:pPr/>
      <w:r>
        <w:t>A two-speed operating model is recommended. Domain teams move quickly inside a governed sandbox, while the central AI platform provides reusable infrastructure and controls. A capability becomes enterprise-grade only after passing automated and, where appropriate, human certification.</w:t>
      </w:r>
    </w:p>
    <w:tbl>
      <w:tblPr>
        <w:tblStyle w:val="TableGrid"/>
        <w:tblW w:type="auto" w:w="0"/>
        <w:tblLook w:firstColumn="1" w:firstRow="1" w:lastColumn="0" w:lastRow="0" w:noHBand="0" w:noVBand="1" w:val="04A0"/>
      </w:tblPr>
      <w:tblGrid>
        <w:gridCol w:w="4997"/>
        <w:gridCol w:w="4997"/>
      </w:tblGrid>
      <w:tr>
        <w:tc>
          <w:tcPr>
            <w:tcW w:type="dxa" w:w="4997"/>
          </w:tcPr>
          <w:p>
            <w:r>
              <w:t>Lifecycle stage</w:t>
            </w:r>
          </w:p>
        </w:tc>
        <w:tc>
          <w:tcPr>
            <w:tcW w:type="dxa" w:w="4997"/>
          </w:tcPr>
          <w:p>
            <w:r>
              <w:t>Platform responsibility</w:t>
            </w:r>
          </w:p>
        </w:tc>
      </w:tr>
      <w:tr>
        <w:tc>
          <w:tcPr>
            <w:tcW w:type="dxa" w:w="4997"/>
          </w:tcPr>
          <w:p>
            <w:r>
              <w:t>Build</w:t>
            </w:r>
          </w:p>
        </w:tc>
        <w:tc>
          <w:tcPr>
            <w:tcW w:type="dxa" w:w="4997"/>
          </w:tcPr>
          <w:p>
            <w:r>
              <w:t>SDK/templates, approved data access, local testing and standard telemetry.</w:t>
            </w:r>
          </w:p>
        </w:tc>
      </w:tr>
      <w:tr>
        <w:tc>
          <w:tcPr>
            <w:tcW w:type="dxa" w:w="4997"/>
          </w:tcPr>
          <w:p>
            <w:r>
              <w:t>Certify</w:t>
            </w:r>
          </w:p>
        </w:tc>
        <w:tc>
          <w:tcPr>
            <w:tcW w:type="dxa" w:w="4997"/>
          </w:tcPr>
          <w:p>
            <w:r>
              <w:t>Automated security, privacy, policy, reliability and domain-evaluation gates; human review for high-risk capabilities.</w:t>
            </w:r>
          </w:p>
        </w:tc>
      </w:tr>
      <w:tr>
        <w:tc>
          <w:tcPr>
            <w:tcW w:type="dxa" w:w="4997"/>
          </w:tcPr>
          <w:p>
            <w:r>
              <w:t>Publish</w:t>
            </w:r>
          </w:p>
        </w:tc>
        <w:tc>
          <w:tcPr>
            <w:tcW w:type="dxa" w:w="4997"/>
          </w:tcPr>
          <w:p>
            <w:r>
              <w:t>Registry metadata, ownership, permissions, dependencies, cost and trust tier.</w:t>
            </w:r>
          </w:p>
        </w:tc>
      </w:tr>
      <w:tr>
        <w:tc>
          <w:tcPr>
            <w:tcW w:type="dxa" w:w="4997"/>
          </w:tcPr>
          <w:p>
            <w:r>
              <w:t>Compose</w:t>
            </w:r>
          </w:p>
        </w:tc>
        <w:tc>
          <w:tcPr>
            <w:tcW w:type="dxa" w:w="4997"/>
          </w:tcPr>
          <w:p>
            <w:r>
              <w:t>Discovery and reuse through registry APIs, semantic search and governed composition.</w:t>
            </w:r>
          </w:p>
        </w:tc>
      </w:tr>
      <w:tr>
        <w:tc>
          <w:tcPr>
            <w:tcW w:type="dxa" w:w="4997"/>
          </w:tcPr>
          <w:p>
            <w:r>
              <w:t>Observe</w:t>
            </w:r>
          </w:p>
        </w:tc>
        <w:tc>
          <w:tcPr>
            <w:tcW w:type="dxa" w:w="4997"/>
          </w:tcPr>
          <w:p>
            <w:r>
              <w:t>Runtime traces, outcomes, policy decisions, cost, latency and user feedback.</w:t>
            </w:r>
          </w:p>
        </w:tc>
      </w:tr>
      <w:tr>
        <w:tc>
          <w:tcPr>
            <w:tcW w:type="dxa" w:w="4997"/>
          </w:tcPr>
          <w:p>
            <w:r>
              <w:t>Improve</w:t>
            </w:r>
          </w:p>
        </w:tc>
        <w:tc>
          <w:tcPr>
            <w:tcW w:type="dxa" w:w="4997"/>
          </w:tcPr>
          <w:p>
            <w:r>
              <w:t>Convert failures into regression tests; evaluate new versions and retain rollback.</w:t>
            </w:r>
          </w:p>
        </w:tc>
      </w:tr>
    </w:tbl>
    <w:p>
      <w:pPr/>
      <w:r>
        <w:t>Important architectural distinction: a skill is not simply a prompt stored in a database. In a production platform it should be a versioned, testable, discoverable software artifact with explicit capabilities, dependencies, permissions and measurable behavior.</w:t>
      </w:r>
    </w:p>
    <w:p>
      <w:pPr>
        <w:pStyle w:val="Heading2"/>
      </w:pPr>
      <w:r>
        <w:t>6.4 Ecosystem Governance Challenges</w:t>
      </w:r>
    </w:p>
    <w:p>
      <w:pPr>
        <w:pStyle w:val="ListBullet"/>
      </w:pPr>
      <w:r>
        <w:t>Skill explosion and duplication: dozens of teams may create similar capabilities. Registry metadata, ownership and reuse analytics are needed to consolidate them.</w:t>
      </w:r>
    </w:p>
    <w:p>
      <w:pPr>
        <w:pStyle w:val="ListBullet"/>
      </w:pPr>
      <w:r>
        <w:t>Prompt/instruction drift: changing a skill can change downstream agent behavior even when its API is unchanged. Treat behavioral changes as release events and run regression evaluations.</w:t>
      </w:r>
    </w:p>
    <w:p>
      <w:pPr>
        <w:pStyle w:val="ListBullet"/>
      </w:pPr>
      <w:r>
        <w:t>Composability versus safety: free composition increases emergent behavior. Enforce capability boundaries and maximum autonomy at the agent/session level.</w:t>
      </w:r>
    </w:p>
    <w:p>
      <w:pPr>
        <w:pStyle w:val="ListBullet"/>
      </w:pPr>
      <w:r>
        <w:t>Supply-chain risk: skills depend on code, packages, APIs, prompts, models and data. Apply dependency pinning, provenance, scanning and release controls.</w:t>
      </w:r>
    </w:p>
    <w:p>
      <w:pPr>
        <w:pStyle w:val="ListBullet"/>
      </w:pPr>
      <w:r>
        <w:t>Hidden privilege escalation: a low-risk skill can become high-risk when combined with a powerful tool. Authorization must evaluate the effective action, not only the skill label.</w:t>
      </w:r>
    </w:p>
    <w:p>
      <w:pPr>
        <w:pStyle w:val="ListBullet"/>
      </w:pPr>
      <w:r>
        <w:t>Evaluation portability: a skill that works for one investment team may fail in another context. Maintain generic platform evaluations plus domain-specific evaluations.</w:t>
      </w:r>
    </w:p>
    <w:p>
      <w:pPr>
        <w:pStyle w:val="ListBullet"/>
      </w:pPr>
      <w:r>
        <w:t>Central-platform bottleneck: if every capability requires manual approval, adoption will stall. Automate low-risk certification and reserve human review for high-impact capabilities.</w:t>
      </w:r>
    </w:p>
    <w:p>
      <w:pPr>
        <w:pStyle w:val="ListBullet"/>
      </w:pPr>
      <w:r>
        <w:t>Vendor coupling: Bedrock can remain the infrastructure foundation while skill/tool contracts stay model- and vendor-portable where practical.</w:t>
      </w:r>
    </w:p>
    <w:p>
      <w:pPr>
        <w:pStyle w:val="Heading2"/>
      </w:pPr>
      <w:r>
        <w:t>6.5 Recommended Platform Products for Fund Developers</w:t>
      </w:r>
    </w:p>
    <w:p>
      <w:pPr>
        <w:pStyle w:val="ListBullet"/>
      </w:pPr>
      <w:r>
        <w:t>AI Developer Portal — documentation, catalog, templates, examples, access requests, ownership and certification status.</w:t>
      </w:r>
    </w:p>
    <w:p>
      <w:pPr>
        <w:pStyle w:val="ListBullet"/>
      </w:pPr>
      <w:r>
        <w:t>Agent/Skill SDK — standard APIs, manifests, tracing, tool invocation, memory access and evaluation hooks.</w:t>
      </w:r>
    </w:p>
    <w:p>
      <w:pPr>
        <w:pStyle w:val="ListBullet"/>
      </w:pPr>
      <w:r>
        <w:t>Capability Registry — source of truth for skills, tools, workflows, agents, policies, versions and dependencies.</w:t>
      </w:r>
    </w:p>
    <w:p>
      <w:pPr>
        <w:pStyle w:val="ListBullet"/>
      </w:pPr>
      <w:r>
        <w:t>AI Control Plane — lifecycle, approvals, policy configuration, model routing, environment promotion and kill switches.</w:t>
      </w:r>
    </w:p>
    <w:p>
      <w:pPr>
        <w:pStyle w:val="ListBullet"/>
      </w:pPr>
      <w:r>
        <w:t>Agent Runtime — execution, orchestration, state, retries, budgets, timeouts, concurrency and human-in-the-loop controls.</w:t>
      </w:r>
    </w:p>
    <w:p>
      <w:pPr>
        <w:pStyle w:val="ListBullet"/>
      </w:pPr>
      <w:r>
        <w:t>Evaluation Platform — offline benchmark suites, scenario tests, red teaming, regression testing and production-quality monitoring.</w:t>
      </w:r>
    </w:p>
    <w:p>
      <w:pPr>
        <w:pStyle w:val="ListBullet"/>
      </w:pPr>
      <w:r>
        <w:t>Tool Gateway — secure access to enterprise APIs, databases and external services with centralized authorization and audit.</w:t>
      </w:r>
    </w:p>
    <w:p>
      <w:pPr>
        <w:pStyle w:val="ListBullet"/>
      </w:pPr>
      <w:r>
        <w:t>AI Observability Platform — end-to-end traces, quality metrics, policy events, cost, latency and business outcomes.</w:t>
      </w:r>
    </w:p>
    <w:p>
      <w:pPr>
        <w:pStyle w:val="Heading2"/>
      </w:pPr>
      <w:r>
        <w:t>6.6 Ecosystem Roadmap</w:t>
      </w:r>
    </w:p>
    <w:p>
      <w:pPr>
        <w:pStyle w:val="ListBullet"/>
      </w:pPr>
      <w:r>
        <w:t>0–90 days: publish SDK/manifest standard, initial tool registry, developer sandbox, 3–5 reference skills, CI evaluation gates and ownership model.</w:t>
      </w:r>
    </w:p>
    <w:p>
      <w:pPr>
        <w:pStyle w:val="ListBullet"/>
      </w:pPr>
      <w:r>
        <w:t>3–6 months: launch the internal AI developer portal, semantic capability discovery, automated certification for low-risk skills, tool gateway and production tracing.</w:t>
      </w:r>
    </w:p>
    <w:p>
      <w:pPr>
        <w:pStyle w:val="ListBullet"/>
      </w:pPr>
      <w:r>
        <w:t>6–12 months: enable cross-domain skill reuse, versioned workflow packages, policy-as-code, trust tiers, cost attribution and continuous regression evaluation.</w:t>
      </w:r>
    </w:p>
    <w:p>
      <w:pPr>
        <w:pStyle w:val="ListBullet"/>
      </w:pPr>
      <w:r>
        <w:t>12–24 months: mature into an internal AI marketplace with composable capabilities, self-service promotion, automated governance and portfolio-level optimization based on business outcomes.</w:t>
      </w:r>
    </w:p>
    <w:tbl>
      <w:tblPr>
        <w:tblW w:type="auto" w:w="0"/>
        <w:jc w:val="center"/>
        <w:tblLook w:firstColumn="1" w:firstRow="1" w:lastColumn="0" w:lastRow="0" w:noHBand="0" w:noVBand="1" w:val="04A0"/>
      </w:tblPr>
      <w:tblGrid>
        <w:gridCol w:w="3331"/>
        <w:gridCol w:w="3331"/>
        <w:gridCol w:w="3331"/>
      </w:tblGrid>
      <w:tr>
        <w:trPr>
          <w:tblHeader w:val="true"/>
        </w:trPr>
        <w:tc>
          <w:tcPr>
            <w:tcW w:type="dxa" w:w="1872"/>
            <w:shd w:fill="193048"/>
          </w:tcPr>
          <w:p>
            <w:pPr>
              <w:jc w:val="left"/>
            </w:pPr>
            <w:r/>
            <w:r>
              <w:rPr>
                <w:b/>
                <w:color w:val="FFFFFF"/>
                <w:sz w:val="16"/>
              </w:rPr>
              <w:t>Design rule</w:t>
            </w:r>
          </w:p>
        </w:tc>
        <w:tc>
          <w:tcPr>
            <w:tcW w:type="dxa" w:w="4392"/>
            <w:shd w:fill="193048"/>
          </w:tcPr>
          <w:p>
            <w:pPr>
              <w:jc w:val="left"/>
            </w:pPr>
            <w:r/>
            <w:r>
              <w:rPr>
                <w:b/>
                <w:color w:val="FFFFFF"/>
                <w:sz w:val="16"/>
              </w:rPr>
              <w:t>Best practice</w:t>
            </w:r>
          </w:p>
        </w:tc>
        <w:tc>
          <w:tcPr>
            <w:tcW w:type="dxa" w:w="3888"/>
            <w:shd w:fill="193048"/>
          </w:tcPr>
          <w:p>
            <w:pPr>
              <w:jc w:val="left"/>
            </w:pPr>
            <w:r/>
            <w:r>
              <w:rPr>
                <w:b/>
                <w:color w:val="FFFFFF"/>
                <w:sz w:val="16"/>
              </w:rPr>
              <w:t>Failure mode to prevent</w:t>
            </w:r>
          </w:p>
        </w:tc>
      </w:tr>
      <w:tr>
        <w:trPr>
          <w:cantSplit/>
        </w:trPr>
        <w:tc>
          <w:tcPr>
            <w:tcW w:type="dxa" w:w="3331"/>
            <w:shd w:fill="F7F9FB"/>
          </w:tcPr>
          <w:p>
            <w:pPr>
              <w:jc w:val="left"/>
            </w:pPr>
            <w:r/>
            <w:r>
              <w:rPr>
                <w:b/>
                <w:color w:val="262B30"/>
                <w:sz w:val="15"/>
              </w:rPr>
              <w:t>Contract</w:t>
            </w:r>
          </w:p>
        </w:tc>
        <w:tc>
          <w:tcPr>
            <w:tcW w:type="dxa" w:w="3331"/>
            <w:shd w:fill="F7F9FB"/>
          </w:tcPr>
          <w:p>
            <w:pPr>
              <w:jc w:val="left"/>
            </w:pPr>
            <w:r/>
            <w:r>
              <w:rPr>
                <w:b w:val="0"/>
                <w:color w:val="262B30"/>
                <w:sz w:val="15"/>
              </w:rPr>
              <w:t>OpenAPI / MCP-like schemas; explicit inputs, outputs, errors, permissions, side effects</w:t>
            </w:r>
          </w:p>
        </w:tc>
        <w:tc>
          <w:tcPr>
            <w:tcW w:type="dxa" w:w="3331"/>
            <w:shd w:fill="F7F9FB"/>
          </w:tcPr>
          <w:p>
            <w:pPr>
              <w:jc w:val="left"/>
            </w:pPr>
            <w:r/>
            <w:r>
              <w:rPr>
                <w:b w:val="0"/>
                <w:color w:val="262B30"/>
                <w:sz w:val="15"/>
              </w:rPr>
              <w:t>Agent guesses API semantics</w:t>
            </w:r>
          </w:p>
        </w:tc>
      </w:tr>
      <w:tr>
        <w:trPr>
          <w:cantSplit/>
        </w:trPr>
        <w:tc>
          <w:tcPr>
            <w:tcW w:type="dxa" w:w="3331"/>
          </w:tcPr>
          <w:p>
            <w:pPr>
              <w:jc w:val="left"/>
            </w:pPr>
            <w:r/>
            <w:r>
              <w:rPr>
                <w:b/>
                <w:color w:val="262B30"/>
                <w:sz w:val="15"/>
              </w:rPr>
              <w:t>Idempotency</w:t>
            </w:r>
          </w:p>
        </w:tc>
        <w:tc>
          <w:tcPr>
            <w:tcW w:type="dxa" w:w="3331"/>
          </w:tcPr>
          <w:p>
            <w:pPr>
              <w:jc w:val="left"/>
            </w:pPr>
            <w:r/>
            <w:r>
              <w:rPr>
                <w:b w:val="0"/>
                <w:color w:val="262B30"/>
                <w:sz w:val="15"/>
              </w:rPr>
              <w:t>Idempotency key on writes; safe retries; transaction status lookup</w:t>
            </w:r>
          </w:p>
        </w:tc>
        <w:tc>
          <w:tcPr>
            <w:tcW w:type="dxa" w:w="3331"/>
          </w:tcPr>
          <w:p>
            <w:pPr>
              <w:jc w:val="left"/>
            </w:pPr>
            <w:r/>
            <w:r>
              <w:rPr>
                <w:b w:val="0"/>
                <w:color w:val="262B30"/>
                <w:sz w:val="15"/>
              </w:rPr>
              <w:t>Duplicate trades / payments / tickets</w:t>
            </w:r>
          </w:p>
        </w:tc>
      </w:tr>
      <w:tr>
        <w:trPr>
          <w:cantSplit/>
        </w:trPr>
        <w:tc>
          <w:tcPr>
            <w:tcW w:type="dxa" w:w="3331"/>
            <w:shd w:fill="F7F9FB"/>
          </w:tcPr>
          <w:p>
            <w:pPr>
              <w:jc w:val="left"/>
            </w:pPr>
            <w:r/>
            <w:r>
              <w:rPr>
                <w:b/>
                <w:color w:val="262B30"/>
                <w:sz w:val="15"/>
              </w:rPr>
              <w:t>Validation</w:t>
            </w:r>
          </w:p>
        </w:tc>
        <w:tc>
          <w:tcPr>
            <w:tcW w:type="dxa" w:w="3331"/>
            <w:shd w:fill="F7F9FB"/>
          </w:tcPr>
          <w:p>
            <w:pPr>
              <w:jc w:val="left"/>
            </w:pPr>
            <w:r/>
            <w:r>
              <w:rPr>
                <w:b w:val="0"/>
                <w:color w:val="262B30"/>
                <w:sz w:val="15"/>
              </w:rPr>
              <w:t>Schema + business rule validation before execution</w:t>
            </w:r>
          </w:p>
        </w:tc>
        <w:tc>
          <w:tcPr>
            <w:tcW w:type="dxa" w:w="3331"/>
            <w:shd w:fill="F7F9FB"/>
          </w:tcPr>
          <w:p>
            <w:pPr>
              <w:jc w:val="left"/>
            </w:pPr>
            <w:r/>
            <w:r>
              <w:rPr>
                <w:b w:val="0"/>
                <w:color w:val="262B30"/>
                <w:sz w:val="15"/>
              </w:rPr>
              <w:t>LLM-generated invalid parameters</w:t>
            </w:r>
          </w:p>
        </w:tc>
      </w:tr>
      <w:tr>
        <w:trPr>
          <w:cantSplit/>
        </w:trPr>
        <w:tc>
          <w:tcPr>
            <w:tcW w:type="dxa" w:w="3331"/>
          </w:tcPr>
          <w:p>
            <w:pPr>
              <w:jc w:val="left"/>
            </w:pPr>
            <w:r/>
            <w:r>
              <w:rPr>
                <w:b/>
                <w:color w:val="262B30"/>
                <w:sz w:val="15"/>
              </w:rPr>
              <w:t>Dry run</w:t>
            </w:r>
          </w:p>
        </w:tc>
        <w:tc>
          <w:tcPr>
            <w:tcW w:type="dxa" w:w="3331"/>
          </w:tcPr>
          <w:p>
            <w:pPr>
              <w:jc w:val="left"/>
            </w:pPr>
            <w:r/>
            <w:r>
              <w:rPr>
                <w:b w:val="0"/>
                <w:color w:val="262B30"/>
                <w:sz w:val="15"/>
              </w:rPr>
              <w:t>Support preview / simulation before commit</w:t>
            </w:r>
          </w:p>
        </w:tc>
        <w:tc>
          <w:tcPr>
            <w:tcW w:type="dxa" w:w="3331"/>
          </w:tcPr>
          <w:p>
            <w:pPr>
              <w:jc w:val="left"/>
            </w:pPr>
            <w:r/>
            <w:r>
              <w:rPr>
                <w:b w:val="0"/>
                <w:color w:val="262B30"/>
                <w:sz w:val="15"/>
              </w:rPr>
              <w:t>Unexpected irreversible action</w:t>
            </w:r>
          </w:p>
        </w:tc>
      </w:tr>
      <w:tr>
        <w:trPr>
          <w:cantSplit/>
        </w:trPr>
        <w:tc>
          <w:tcPr>
            <w:tcW w:type="dxa" w:w="3331"/>
            <w:shd w:fill="F7F9FB"/>
          </w:tcPr>
          <w:p>
            <w:pPr>
              <w:jc w:val="left"/>
            </w:pPr>
            <w:r/>
            <w:r>
              <w:rPr>
                <w:b/>
                <w:color w:val="262B30"/>
                <w:sz w:val="15"/>
              </w:rPr>
              <w:t>Audit</w:t>
            </w:r>
          </w:p>
        </w:tc>
        <w:tc>
          <w:tcPr>
            <w:tcW w:type="dxa" w:w="3331"/>
            <w:shd w:fill="F7F9FB"/>
          </w:tcPr>
          <w:p>
            <w:pPr>
              <w:jc w:val="left"/>
            </w:pPr>
            <w:r/>
            <w:r>
              <w:rPr>
                <w:b w:val="0"/>
                <w:color w:val="262B30"/>
                <w:sz w:val="15"/>
              </w:rPr>
              <w:t>Capture caller, agent, tool version, policy decision, input hash, result and record ID</w:t>
            </w:r>
          </w:p>
        </w:tc>
        <w:tc>
          <w:tcPr>
            <w:tcW w:type="dxa" w:w="3331"/>
            <w:shd w:fill="F7F9FB"/>
          </w:tcPr>
          <w:p>
            <w:pPr>
              <w:jc w:val="left"/>
            </w:pPr>
            <w:r/>
            <w:r>
              <w:rPr>
                <w:b w:val="0"/>
                <w:color w:val="262B30"/>
                <w:sz w:val="15"/>
              </w:rPr>
              <w:t>No reconstructable evidence</w:t>
            </w:r>
          </w:p>
        </w:tc>
      </w:tr>
      <w:tr>
        <w:trPr>
          <w:cantSplit/>
        </w:trPr>
        <w:tc>
          <w:tcPr>
            <w:tcW w:type="dxa" w:w="3331"/>
          </w:tcPr>
          <w:p>
            <w:pPr>
              <w:jc w:val="left"/>
            </w:pPr>
            <w:r/>
            <w:r>
              <w:rPr>
                <w:b/>
                <w:color w:val="262B30"/>
                <w:sz w:val="15"/>
              </w:rPr>
              <w:t>Rate / budget</w:t>
            </w:r>
          </w:p>
        </w:tc>
        <w:tc>
          <w:tcPr>
            <w:tcW w:type="dxa" w:w="3331"/>
          </w:tcPr>
          <w:p>
            <w:pPr>
              <w:jc w:val="left"/>
            </w:pPr>
            <w:r/>
            <w:r>
              <w:rPr>
                <w:b w:val="0"/>
                <w:color w:val="262B30"/>
                <w:sz w:val="15"/>
              </w:rPr>
              <w:t>Per-agent and per-user quotas, spend/time budgets</w:t>
            </w:r>
          </w:p>
        </w:tc>
        <w:tc>
          <w:tcPr>
            <w:tcW w:type="dxa" w:w="3331"/>
          </w:tcPr>
          <w:p>
            <w:pPr>
              <w:jc w:val="left"/>
            </w:pPr>
            <w:r/>
            <w:r>
              <w:rPr>
                <w:b w:val="0"/>
                <w:color w:val="262B30"/>
                <w:sz w:val="15"/>
              </w:rPr>
              <w:t>Runaway loops and cost explosions</w:t>
            </w:r>
          </w:p>
        </w:tc>
      </w:tr>
      <w:tr>
        <w:trPr>
          <w:cantSplit/>
        </w:trPr>
        <w:tc>
          <w:tcPr>
            <w:tcW w:type="dxa" w:w="3331"/>
            <w:shd w:fill="F7F9FB"/>
          </w:tcPr>
          <w:p>
            <w:pPr>
              <w:jc w:val="left"/>
            </w:pPr>
            <w:r/>
            <w:r>
              <w:rPr>
                <w:b/>
                <w:color w:val="262B30"/>
                <w:sz w:val="15"/>
              </w:rPr>
              <w:t>Human escalation</w:t>
            </w:r>
          </w:p>
        </w:tc>
        <w:tc>
          <w:tcPr>
            <w:tcW w:type="dxa" w:w="3331"/>
            <w:shd w:fill="F7F9FB"/>
          </w:tcPr>
          <w:p>
            <w:pPr>
              <w:jc w:val="left"/>
            </w:pPr>
            <w:r/>
            <w:r>
              <w:rPr>
                <w:b w:val="0"/>
                <w:color w:val="262B30"/>
                <w:sz w:val="15"/>
              </w:rPr>
              <w:t>Tool returns structured “approval required” outcome</w:t>
            </w:r>
          </w:p>
        </w:tc>
        <w:tc>
          <w:tcPr>
            <w:tcW w:type="dxa" w:w="3331"/>
            <w:shd w:fill="F7F9FB"/>
          </w:tcPr>
          <w:p>
            <w:pPr>
              <w:jc w:val="left"/>
            </w:pPr>
            <w:r/>
            <w:r>
              <w:rPr>
                <w:b w:val="0"/>
                <w:color w:val="262B30"/>
                <w:sz w:val="15"/>
              </w:rPr>
              <w:t>Agent bypasses approval through alternate path</w:t>
            </w:r>
          </w:p>
        </w:tc>
      </w:tr>
    </w:tbl>
    <w:p>
      <w:pPr>
        <w:pStyle w:val="Heading1"/>
      </w:pPr>
      <w:r>
        <w:t>7. Agent Runtime and Orchestration</w:t>
      </w:r>
    </w:p>
    <w:p>
      <w:r>
        <w:t>Separate three patterns: deterministic workflows, agentic workflows and general-purpose goal agents. Use the least agentic pattern that solves the problem. Bedrock supports managed agents and multi-agent collaboration; AWS guidance emphasizes clearly defined supervisor/collaborator roles and minimizing overlapping responsibilities. [10]</w:t>
      </w:r>
    </w:p>
    <w:tbl>
      <w:tblPr>
        <w:tblW w:type="auto" w:w="0"/>
        <w:jc w:val="center"/>
        <w:tblLook w:firstColumn="1" w:firstRow="1" w:lastColumn="0" w:lastRow="0" w:noHBand="0" w:noVBand="1" w:val="04A0"/>
      </w:tblPr>
      <w:tblGrid>
        <w:gridCol w:w="3331"/>
        <w:gridCol w:w="3331"/>
        <w:gridCol w:w="3331"/>
      </w:tblGrid>
      <w:tr>
        <w:trPr>
          <w:tblHeader w:val="true"/>
        </w:trPr>
        <w:tc>
          <w:tcPr>
            <w:tcW w:type="dxa" w:w="2304"/>
            <w:shd w:fill="193048"/>
          </w:tcPr>
          <w:p>
            <w:pPr>
              <w:jc w:val="left"/>
            </w:pPr>
            <w:r/>
            <w:r>
              <w:rPr>
                <w:b/>
                <w:color w:val="FFFFFF"/>
                <w:sz w:val="16"/>
              </w:rPr>
              <w:t>Pattern</w:t>
            </w:r>
          </w:p>
        </w:tc>
        <w:tc>
          <w:tcPr>
            <w:tcW w:type="dxa" w:w="4320"/>
            <w:shd w:fill="193048"/>
          </w:tcPr>
          <w:p>
            <w:pPr>
              <w:jc w:val="left"/>
            </w:pPr>
            <w:r/>
            <w:r>
              <w:rPr>
                <w:b/>
                <w:color w:val="FFFFFF"/>
                <w:sz w:val="16"/>
              </w:rPr>
              <w:t>When to use</w:t>
            </w:r>
          </w:p>
        </w:tc>
        <w:tc>
          <w:tcPr>
            <w:tcW w:type="dxa" w:w="3528"/>
            <w:shd w:fill="193048"/>
          </w:tcPr>
          <w:p>
            <w:pPr>
              <w:jc w:val="left"/>
            </w:pPr>
            <w:r/>
            <w:r>
              <w:rPr>
                <w:b/>
                <w:color w:val="FFFFFF"/>
                <w:sz w:val="16"/>
              </w:rPr>
              <w:t>Recommended control</w:t>
            </w:r>
          </w:p>
        </w:tc>
      </w:tr>
      <w:tr>
        <w:trPr>
          <w:cantSplit/>
        </w:trPr>
        <w:tc>
          <w:tcPr>
            <w:tcW w:type="dxa" w:w="3331"/>
            <w:shd w:fill="F7F9FB"/>
          </w:tcPr>
          <w:p>
            <w:pPr>
              <w:jc w:val="left"/>
            </w:pPr>
            <w:r/>
            <w:r>
              <w:rPr>
                <w:b/>
                <w:color w:val="262B30"/>
                <w:sz w:val="15"/>
              </w:rPr>
              <w:t>Deterministic workflow</w:t>
            </w:r>
          </w:p>
        </w:tc>
        <w:tc>
          <w:tcPr>
            <w:tcW w:type="dxa" w:w="3331"/>
            <w:shd w:fill="F7F9FB"/>
          </w:tcPr>
          <w:p>
            <w:pPr>
              <w:jc w:val="left"/>
            </w:pPr>
            <w:r/>
            <w:r>
              <w:rPr>
                <w:b w:val="0"/>
                <w:color w:val="262B30"/>
                <w:sz w:val="15"/>
              </w:rPr>
              <w:t>Known steps, regulated process, predictable branching</w:t>
            </w:r>
          </w:p>
        </w:tc>
        <w:tc>
          <w:tcPr>
            <w:tcW w:type="dxa" w:w="3331"/>
            <w:shd w:fill="F7F9FB"/>
          </w:tcPr>
          <w:p>
            <w:pPr>
              <w:jc w:val="left"/>
            </w:pPr>
            <w:r/>
            <w:r>
              <w:rPr>
                <w:b w:val="0"/>
                <w:color w:val="262B30"/>
                <w:sz w:val="15"/>
              </w:rPr>
              <w:t>Workflow engine; explicit state transitions; zero free-form planning in critical steps</w:t>
            </w:r>
          </w:p>
        </w:tc>
      </w:tr>
      <w:tr>
        <w:trPr>
          <w:cantSplit/>
        </w:trPr>
        <w:tc>
          <w:tcPr>
            <w:tcW w:type="dxa" w:w="3331"/>
          </w:tcPr>
          <w:p>
            <w:pPr>
              <w:jc w:val="left"/>
            </w:pPr>
            <w:r/>
            <w:r>
              <w:rPr>
                <w:b/>
                <w:color w:val="262B30"/>
                <w:sz w:val="15"/>
              </w:rPr>
              <w:t>Agentic workflow</w:t>
            </w:r>
          </w:p>
        </w:tc>
        <w:tc>
          <w:tcPr>
            <w:tcW w:type="dxa" w:w="3331"/>
          </w:tcPr>
          <w:p>
            <w:pPr>
              <w:jc w:val="left"/>
            </w:pPr>
            <w:r/>
            <w:r>
              <w:rPr>
                <w:b w:val="0"/>
                <w:color w:val="262B30"/>
                <w:sz w:val="15"/>
              </w:rPr>
              <w:t>Known outcome, but reasoning is required to select documents, tools or route exceptions</w:t>
            </w:r>
          </w:p>
        </w:tc>
        <w:tc>
          <w:tcPr>
            <w:tcW w:type="dxa" w:w="3331"/>
          </w:tcPr>
          <w:p>
            <w:pPr>
              <w:jc w:val="left"/>
            </w:pPr>
            <w:r/>
            <w:r>
              <w:rPr>
                <w:b w:val="0"/>
                <w:color w:val="262B30"/>
                <w:sz w:val="15"/>
              </w:rPr>
              <w:t>State machine + LLM decisions bounded by schemas and policy</w:t>
            </w:r>
          </w:p>
        </w:tc>
      </w:tr>
      <w:tr>
        <w:trPr>
          <w:cantSplit/>
        </w:trPr>
        <w:tc>
          <w:tcPr>
            <w:tcW w:type="dxa" w:w="3331"/>
            <w:shd w:fill="F7F9FB"/>
          </w:tcPr>
          <w:p>
            <w:pPr>
              <w:jc w:val="left"/>
            </w:pPr>
            <w:r/>
            <w:r>
              <w:rPr>
                <w:b/>
                <w:color w:val="262B30"/>
                <w:sz w:val="15"/>
              </w:rPr>
              <w:t>Supervisor / specialist agents</w:t>
            </w:r>
          </w:p>
        </w:tc>
        <w:tc>
          <w:tcPr>
            <w:tcW w:type="dxa" w:w="3331"/>
            <w:shd w:fill="F7F9FB"/>
          </w:tcPr>
          <w:p>
            <w:pPr>
              <w:jc w:val="left"/>
            </w:pPr>
            <w:r/>
            <w:r>
              <w:rPr>
                <w:b w:val="0"/>
                <w:color w:val="262B30"/>
                <w:sz w:val="15"/>
              </w:rPr>
              <w:t>Distinct domains need specialized context or tools</w:t>
            </w:r>
          </w:p>
        </w:tc>
        <w:tc>
          <w:tcPr>
            <w:tcW w:type="dxa" w:w="3331"/>
            <w:shd w:fill="F7F9FB"/>
          </w:tcPr>
          <w:p>
            <w:pPr>
              <w:jc w:val="left"/>
            </w:pPr>
            <w:r/>
            <w:r>
              <w:rPr>
                <w:b w:val="0"/>
                <w:color w:val="262B30"/>
                <w:sz w:val="15"/>
              </w:rPr>
              <w:t>Clear domain boundaries, budgets, contracts, shared observability</w:t>
            </w:r>
          </w:p>
        </w:tc>
      </w:tr>
      <w:tr>
        <w:trPr>
          <w:cantSplit/>
        </w:trPr>
        <w:tc>
          <w:tcPr>
            <w:tcW w:type="dxa" w:w="3331"/>
          </w:tcPr>
          <w:p>
            <w:pPr>
              <w:jc w:val="left"/>
            </w:pPr>
            <w:r/>
            <w:r>
              <w:rPr>
                <w:b/>
                <w:color w:val="262B30"/>
                <w:sz w:val="15"/>
              </w:rPr>
              <w:t>General goal agent</w:t>
            </w:r>
          </w:p>
        </w:tc>
        <w:tc>
          <w:tcPr>
            <w:tcW w:type="dxa" w:w="3331"/>
          </w:tcPr>
          <w:p>
            <w:pPr>
              <w:jc w:val="left"/>
            </w:pPr>
            <w:r/>
            <w:r>
              <w:rPr>
                <w:b w:val="0"/>
                <w:color w:val="262B30"/>
                <w:sz w:val="15"/>
              </w:rPr>
              <w:t>Open-ended investigation or bounded operational monitoring</w:t>
            </w:r>
          </w:p>
        </w:tc>
        <w:tc>
          <w:tcPr>
            <w:tcW w:type="dxa" w:w="3331"/>
          </w:tcPr>
          <w:p>
            <w:pPr>
              <w:jc w:val="left"/>
            </w:pPr>
            <w:r/>
            <w:r>
              <w:rPr>
                <w:b w:val="0"/>
                <w:color w:val="262B30"/>
                <w:sz w:val="15"/>
              </w:rPr>
              <w:t>Goal spec + constraints + stop conditions + budget + escalation + evidence log</w:t>
            </w:r>
          </w:p>
        </w:tc>
      </w:tr>
    </w:tbl>
    <w:tbl>
      <w:tblPr>
        <w:tblW w:type="auto" w:w="0"/>
        <w:jc w:val="center"/>
        <w:tblLook w:firstColumn="1" w:firstRow="1" w:lastColumn="0" w:lastRow="0" w:noHBand="0" w:noVBand="1" w:val="04A0"/>
      </w:tblPr>
      <w:tblGrid>
        <w:gridCol w:w="9994"/>
      </w:tblGrid>
      <w:tr>
        <w:tc>
          <w:tcPr>
            <w:tcW w:type="dxa" w:w="9994"/>
            <w:shd w:fill="FBF2E5"/>
            <w:tcBorders>
              <w:top w:val="single" w:sz="1" w:color="DDE3E8"/>
              <w:left w:val="single" w:sz="10" w:color="B47023"/>
              <w:bottom w:val="single" w:sz="1" w:color="DDE3E8"/>
              <w:right w:val="single" w:sz="1" w:color="DDE3E8"/>
            </w:tcBorders>
          </w:tcPr>
          <w:p>
            <w:pPr>
              <w:spacing w:after="40"/>
            </w:pPr>
            <w:r>
              <w:rPr>
                <w:b/>
                <w:color w:val="192D48"/>
                <w:sz w:val="21"/>
              </w:rPr>
              <w:t>Best practice</w:t>
            </w:r>
          </w:p>
          <w:p>
            <w:pPr>
              <w:spacing w:after="40"/>
            </w:pPr>
            <w:r>
              <w:rPr>
                <w:color w:val="262B30"/>
                <w:sz w:val="19"/>
              </w:rPr>
              <w:t>Do not use multi-agent orchestration to compensate for poor tool contracts or poor data access. More agents generally increase latency, cost, coordination risk and evaluation complexity.</w:t>
            </w:r>
          </w:p>
        </w:tc>
      </w:tr>
    </w:tbl>
    <w:p>
      <w:pPr>
        <w:spacing w:after="20"/>
      </w:pPr>
    </w:p>
    <w:p>
      <w:pPr>
        <w:pStyle w:val="Heading1"/>
      </w:pPr>
      <w:r>
        <w:t>8. Memory and Personalization</w:t>
      </w:r>
    </w:p>
    <w:p>
      <w:r>
        <w:t>Memory should be designed as a tiered, policy-controlled capability: session context, task memory, durable user/team preferences, and institutional knowledge. Bedrock AgentCore Memory supports short-term event history and long-term memory strategies, including semantic, summary, preference and episodic patterns. [11]</w:t>
      </w:r>
    </w:p>
    <w:p>
      <w:pPr>
        <w:pStyle w:val="ListBullet"/>
        <w:spacing w:after="60"/>
      </w:pPr>
      <w:r>
        <w:t>Store durable facts only when they have an owner, source, freshness expectation and deletion / correction path.</w:t>
      </w:r>
    </w:p>
    <w:p>
      <w:pPr>
        <w:pStyle w:val="ListBullet"/>
        <w:spacing w:after="60"/>
      </w:pPr>
      <w:r>
        <w:t>Differentiate “remembered by the agent” from “authoritative enterprise data.” The latter must remain in systems of record.</w:t>
      </w:r>
    </w:p>
    <w:p>
      <w:pPr>
        <w:pStyle w:val="ListBullet"/>
        <w:spacing w:after="60"/>
      </w:pPr>
      <w:r>
        <w:t>Use actor / user scoping and tenant boundaries; never let one employee’s memory become another employee’s context without explicit policy.</w:t>
      </w:r>
    </w:p>
    <w:p>
      <w:pPr>
        <w:pStyle w:val="ListBullet"/>
        <w:spacing w:after="60"/>
      </w:pPr>
      <w:r>
        <w:t>Apply retention schedules and privacy controls to memory; treat agent memory as potentially sensitive business data.</w:t>
      </w:r>
    </w:p>
    <w:p>
      <w:pPr>
        <w:pStyle w:val="ListBullet"/>
        <w:spacing w:after="60"/>
      </w:pPr>
      <w:r>
        <w:t>Use summaries and structured memories to control context growth rather than replaying entire histories.</w:t>
      </w:r>
    </w:p>
    <w:tbl>
      <w:tblPr>
        <w:tblW w:type="auto" w:w="0"/>
        <w:jc w:val="center"/>
        <w:tblLook w:firstColumn="1" w:firstRow="1" w:lastColumn="0" w:lastRow="0" w:noHBand="0" w:noVBand="1" w:val="04A0"/>
      </w:tblPr>
      <w:tblGrid>
        <w:gridCol w:w="9994"/>
      </w:tblGrid>
      <w:tr>
        <w:tc>
          <w:tcPr>
            <w:tcW w:type="dxa" w:w="9994"/>
            <w:shd w:fill="FBECEC"/>
            <w:tcBorders>
              <w:top w:val="single" w:sz="1" w:color="DDE3E8"/>
              <w:left w:val="single" w:sz="10" w:color="A43E3E"/>
              <w:bottom w:val="single" w:sz="1" w:color="DDE3E8"/>
              <w:right w:val="single" w:sz="1" w:color="DDE3E8"/>
            </w:tcBorders>
          </w:tcPr>
          <w:p>
            <w:pPr>
              <w:spacing w:after="40"/>
            </w:pPr>
            <w:r>
              <w:rPr>
                <w:b/>
                <w:color w:val="192D48"/>
                <w:sz w:val="21"/>
              </w:rPr>
              <w:t>Challenge</w:t>
            </w:r>
          </w:p>
          <w:p>
            <w:pPr>
              <w:spacing w:after="40"/>
            </w:pPr>
            <w:r>
              <w:rPr>
                <w:color w:val="262B30"/>
                <w:sz w:val="19"/>
              </w:rPr>
              <w:t>Memory can create “sticky hallucinations”: an early wrong statement becomes a durable fact and influences future reasoning. Memory writes should be more conservative than memory reads.</w:t>
            </w:r>
          </w:p>
        </w:tc>
      </w:tr>
    </w:tbl>
    <w:p>
      <w:pPr>
        <w:spacing w:after="20"/>
      </w:pPr>
    </w:p>
    <w:p>
      <w:pPr>
        <w:pStyle w:val="Heading1"/>
      </w:pPr>
      <w:r>
        <w:t>9. Goal-Driven Autonomy and Work Execution</w:t>
      </w:r>
    </w:p>
    <w:p>
      <w:r>
        <w:t>Autonomy is the strategic differentiator, but also the highest-risk capability. The platform should introduce an explicit “goal object” rather than passing free-form goals directly to an agent. A goal object includes objective, scope, data sources, allowed tools, constraints, budget, time window, materiality threshold, approval policy, stop conditions, evidence requirements and escalation contacts.</w:t>
      </w:r>
    </w:p>
    <w:tbl>
      <w:tblPr>
        <w:tblW w:type="auto" w:w="0"/>
        <w:jc w:val="center"/>
        <w:tblLook w:firstColumn="1" w:firstRow="1" w:lastColumn="0" w:lastRow="0" w:noHBand="0" w:noVBand="1" w:val="04A0"/>
      </w:tblPr>
      <w:tblGrid>
        <w:gridCol w:w="3331"/>
        <w:gridCol w:w="3331"/>
        <w:gridCol w:w="3331"/>
      </w:tblGrid>
      <w:tr>
        <w:trPr>
          <w:tblHeader w:val="true"/>
        </w:trPr>
        <w:tc>
          <w:tcPr>
            <w:tcW w:type="dxa" w:w="2232"/>
            <w:shd w:fill="193048"/>
          </w:tcPr>
          <w:p>
            <w:pPr>
              <w:jc w:val="left"/>
            </w:pPr>
            <w:r/>
            <w:r>
              <w:rPr>
                <w:b/>
                <w:color w:val="FFFFFF"/>
                <w:sz w:val="16"/>
              </w:rPr>
              <w:t>Autonomy level</w:t>
            </w:r>
          </w:p>
        </w:tc>
        <w:tc>
          <w:tcPr>
            <w:tcW w:type="dxa" w:w="4320"/>
            <w:shd w:fill="193048"/>
          </w:tcPr>
          <w:p>
            <w:pPr>
              <w:jc w:val="left"/>
            </w:pPr>
            <w:r/>
            <w:r>
              <w:rPr>
                <w:b/>
                <w:color w:val="FFFFFF"/>
                <w:sz w:val="16"/>
              </w:rPr>
              <w:t>Example</w:t>
            </w:r>
          </w:p>
        </w:tc>
        <w:tc>
          <w:tcPr>
            <w:tcW w:type="dxa" w:w="3600"/>
            <w:shd w:fill="193048"/>
          </w:tcPr>
          <w:p>
            <w:pPr>
              <w:jc w:val="left"/>
            </w:pPr>
            <w:r/>
            <w:r>
              <w:rPr>
                <w:b/>
                <w:color w:val="FFFFFF"/>
                <w:sz w:val="16"/>
              </w:rPr>
              <w:t>Minimum control</w:t>
            </w:r>
          </w:p>
        </w:tc>
      </w:tr>
      <w:tr>
        <w:trPr>
          <w:cantSplit/>
        </w:trPr>
        <w:tc>
          <w:tcPr>
            <w:tcW w:type="dxa" w:w="3331"/>
            <w:shd w:fill="F7F9FB"/>
          </w:tcPr>
          <w:p>
            <w:pPr>
              <w:jc w:val="left"/>
            </w:pPr>
            <w:r/>
            <w:r>
              <w:rPr>
                <w:b/>
                <w:color w:val="262B30"/>
                <w:sz w:val="15"/>
              </w:rPr>
              <w:t>L0 — Answer</w:t>
            </w:r>
          </w:p>
        </w:tc>
        <w:tc>
          <w:tcPr>
            <w:tcW w:type="dxa" w:w="3331"/>
            <w:shd w:fill="F7F9FB"/>
          </w:tcPr>
          <w:p>
            <w:pPr>
              <w:jc w:val="left"/>
            </w:pPr>
            <w:r/>
            <w:r>
              <w:rPr>
                <w:b w:val="0"/>
                <w:color w:val="262B30"/>
                <w:sz w:val="15"/>
              </w:rPr>
              <w:t>“What is the current exposure to X?”</w:t>
            </w:r>
          </w:p>
        </w:tc>
        <w:tc>
          <w:tcPr>
            <w:tcW w:type="dxa" w:w="3331"/>
            <w:shd w:fill="F7F9FB"/>
          </w:tcPr>
          <w:p>
            <w:pPr>
              <w:jc w:val="left"/>
            </w:pPr>
            <w:r/>
            <w:r>
              <w:rPr>
                <w:b w:val="0"/>
                <w:color w:val="262B30"/>
                <w:sz w:val="15"/>
              </w:rPr>
              <w:t>Grounded retrieval + citations</w:t>
            </w:r>
          </w:p>
        </w:tc>
      </w:tr>
      <w:tr>
        <w:trPr>
          <w:cantSplit/>
        </w:trPr>
        <w:tc>
          <w:tcPr>
            <w:tcW w:type="dxa" w:w="3331"/>
          </w:tcPr>
          <w:p>
            <w:pPr>
              <w:jc w:val="left"/>
            </w:pPr>
            <w:r/>
            <w:r>
              <w:rPr>
                <w:b/>
                <w:color w:val="262B30"/>
                <w:sz w:val="15"/>
              </w:rPr>
              <w:t>L1 — Recommend</w:t>
            </w:r>
          </w:p>
        </w:tc>
        <w:tc>
          <w:tcPr>
            <w:tcW w:type="dxa" w:w="3331"/>
          </w:tcPr>
          <w:p>
            <w:pPr>
              <w:jc w:val="left"/>
            </w:pPr>
            <w:r/>
            <w:r>
              <w:rPr>
                <w:b w:val="0"/>
                <w:color w:val="262B30"/>
                <w:sz w:val="15"/>
              </w:rPr>
              <w:t>“Which managers merit deeper diligence?”</w:t>
            </w:r>
          </w:p>
        </w:tc>
        <w:tc>
          <w:tcPr>
            <w:tcW w:type="dxa" w:w="3331"/>
          </w:tcPr>
          <w:p>
            <w:pPr>
              <w:jc w:val="left"/>
            </w:pPr>
            <w:r/>
            <w:r>
              <w:rPr>
                <w:b w:val="0"/>
                <w:color w:val="262B30"/>
                <w:sz w:val="15"/>
              </w:rPr>
              <w:t>Evidence + rationale + human decision</w:t>
            </w:r>
          </w:p>
        </w:tc>
      </w:tr>
      <w:tr>
        <w:trPr>
          <w:cantSplit/>
        </w:trPr>
        <w:tc>
          <w:tcPr>
            <w:tcW w:type="dxa" w:w="3331"/>
            <w:shd w:fill="F7F9FB"/>
          </w:tcPr>
          <w:p>
            <w:pPr>
              <w:jc w:val="left"/>
            </w:pPr>
            <w:r/>
            <w:r>
              <w:rPr>
                <w:b/>
                <w:color w:val="262B30"/>
                <w:sz w:val="15"/>
              </w:rPr>
              <w:t>L2 — Prepare</w:t>
            </w:r>
          </w:p>
        </w:tc>
        <w:tc>
          <w:tcPr>
            <w:tcW w:type="dxa" w:w="3331"/>
            <w:shd w:fill="F7F9FB"/>
          </w:tcPr>
          <w:p>
            <w:pPr>
              <w:jc w:val="left"/>
            </w:pPr>
            <w:r/>
            <w:r>
              <w:rPr>
                <w:b w:val="0"/>
                <w:color w:val="262B30"/>
                <w:sz w:val="15"/>
              </w:rPr>
              <w:t>“Prepare a rebalancing proposal.”</w:t>
            </w:r>
          </w:p>
        </w:tc>
        <w:tc>
          <w:tcPr>
            <w:tcW w:type="dxa" w:w="3331"/>
            <w:shd w:fill="F7F9FB"/>
          </w:tcPr>
          <w:p>
            <w:pPr>
              <w:jc w:val="left"/>
            </w:pPr>
            <w:r/>
            <w:r>
              <w:rPr>
                <w:b w:val="0"/>
                <w:color w:val="262B30"/>
                <w:sz w:val="15"/>
              </w:rPr>
              <w:t>Simulation / draft only; no commit</w:t>
            </w:r>
          </w:p>
        </w:tc>
      </w:tr>
      <w:tr>
        <w:trPr>
          <w:cantSplit/>
        </w:trPr>
        <w:tc>
          <w:tcPr>
            <w:tcW w:type="dxa" w:w="3331"/>
          </w:tcPr>
          <w:p>
            <w:pPr>
              <w:jc w:val="left"/>
            </w:pPr>
            <w:r/>
            <w:r>
              <w:rPr>
                <w:b/>
                <w:color w:val="262B30"/>
                <w:sz w:val="15"/>
              </w:rPr>
              <w:t>L3 — Execute with approval</w:t>
            </w:r>
          </w:p>
        </w:tc>
        <w:tc>
          <w:tcPr>
            <w:tcW w:type="dxa" w:w="3331"/>
          </w:tcPr>
          <w:p>
            <w:pPr>
              <w:jc w:val="left"/>
            </w:pPr>
            <w:r/>
            <w:r>
              <w:rPr>
                <w:b w:val="0"/>
                <w:color w:val="262B30"/>
                <w:sz w:val="15"/>
              </w:rPr>
              <w:t>“Prepare and route the trade.”</w:t>
            </w:r>
          </w:p>
        </w:tc>
        <w:tc>
          <w:tcPr>
            <w:tcW w:type="dxa" w:w="3331"/>
          </w:tcPr>
          <w:p>
            <w:pPr>
              <w:jc w:val="left"/>
            </w:pPr>
            <w:r/>
            <w:r>
              <w:rPr>
                <w:b w:val="0"/>
                <w:color w:val="262B30"/>
                <w:sz w:val="15"/>
              </w:rPr>
              <w:t>Policy check + human approval + deterministic execution</w:t>
            </w:r>
          </w:p>
        </w:tc>
      </w:tr>
      <w:tr>
        <w:trPr>
          <w:cantSplit/>
        </w:trPr>
        <w:tc>
          <w:tcPr>
            <w:tcW w:type="dxa" w:w="3331"/>
            <w:shd w:fill="F7F9FB"/>
          </w:tcPr>
          <w:p>
            <w:pPr>
              <w:jc w:val="left"/>
            </w:pPr>
            <w:r/>
            <w:r>
              <w:rPr>
                <w:b/>
                <w:color w:val="262B30"/>
                <w:sz w:val="15"/>
              </w:rPr>
              <w:t>L4 — Bounded autonomous execution</w:t>
            </w:r>
          </w:p>
        </w:tc>
        <w:tc>
          <w:tcPr>
            <w:tcW w:type="dxa" w:w="3331"/>
            <w:shd w:fill="F7F9FB"/>
          </w:tcPr>
          <w:p>
            <w:pPr>
              <w:jc w:val="left"/>
            </w:pPr>
            <w:r/>
            <w:r>
              <w:rPr>
                <w:b w:val="0"/>
                <w:color w:val="262B30"/>
                <w:sz w:val="15"/>
              </w:rPr>
              <w:t>“Monitor and remediate pre-defined operational exceptions.”</w:t>
            </w:r>
          </w:p>
        </w:tc>
        <w:tc>
          <w:tcPr>
            <w:tcW w:type="dxa" w:w="3331"/>
            <w:shd w:fill="F7F9FB"/>
          </w:tcPr>
          <w:p>
            <w:pPr>
              <w:jc w:val="left"/>
            </w:pPr>
            <w:r/>
            <w:r>
              <w:rPr>
                <w:b w:val="0"/>
                <w:color w:val="262B30"/>
                <w:sz w:val="15"/>
              </w:rPr>
              <w:t>Explicit policy, quotas, stop conditions, rollback, continuous monitoring</w:t>
            </w:r>
          </w:p>
        </w:tc>
      </w:tr>
      <w:tr>
        <w:trPr>
          <w:cantSplit/>
        </w:trPr>
        <w:tc>
          <w:tcPr>
            <w:tcW w:type="dxa" w:w="3331"/>
          </w:tcPr>
          <w:p>
            <w:pPr>
              <w:jc w:val="left"/>
            </w:pPr>
            <w:r/>
            <w:r>
              <w:rPr>
                <w:b/>
                <w:color w:val="262B30"/>
                <w:sz w:val="15"/>
              </w:rPr>
              <w:t>L5 — Strategic autonomy</w:t>
            </w:r>
          </w:p>
        </w:tc>
        <w:tc>
          <w:tcPr>
            <w:tcW w:type="dxa" w:w="3331"/>
          </w:tcPr>
          <w:p>
            <w:pPr>
              <w:jc w:val="left"/>
            </w:pPr>
            <w:r/>
            <w:r>
              <w:rPr>
                <w:b w:val="0"/>
                <w:color w:val="262B30"/>
                <w:sz w:val="15"/>
              </w:rPr>
              <w:t>“Optimize the portfolio toward a multi-year objective.”</w:t>
            </w:r>
          </w:p>
        </w:tc>
        <w:tc>
          <w:tcPr>
            <w:tcW w:type="dxa" w:w="3331"/>
          </w:tcPr>
          <w:p>
            <w:pPr>
              <w:jc w:val="left"/>
            </w:pPr>
            <w:r/>
            <w:r>
              <w:rPr>
                <w:b w:val="0"/>
                <w:color w:val="262B30"/>
                <w:sz w:val="15"/>
              </w:rPr>
              <w:t>Not recommended as a direct execution mode; use AI for scenario generation and decision support</w:t>
            </w:r>
          </w:p>
        </w:tc>
      </w:tr>
    </w:tbl>
    <w:tbl>
      <w:tblPr>
        <w:tblW w:type="auto" w:w="0"/>
        <w:jc w:val="center"/>
        <w:tblLook w:firstColumn="1" w:firstRow="1" w:lastColumn="0" w:lastRow="0" w:noHBand="0" w:noVBand="1" w:val="04A0"/>
      </w:tblPr>
      <w:tblGrid>
        <w:gridCol w:w="9994"/>
      </w:tblGrid>
      <w:tr>
        <w:tc>
          <w:tcPr>
            <w:tcW w:type="dxa" w:w="9994"/>
            <w:shd w:fill="EAF6F5"/>
            <w:tcBorders>
              <w:top w:val="single" w:sz="1" w:color="DDE3E8"/>
              <w:left w:val="single" w:sz="10" w:color="237A7A"/>
              <w:bottom w:val="single" w:sz="1" w:color="DDE3E8"/>
              <w:right w:val="single" w:sz="1" w:color="DDE3E8"/>
            </w:tcBorders>
          </w:tcPr>
          <w:p>
            <w:pPr>
              <w:spacing w:after="40"/>
            </w:pPr>
            <w:r>
              <w:rPr>
                <w:b/>
                <w:color w:val="192D48"/>
                <w:sz w:val="21"/>
              </w:rPr>
              <w:t>Pension-fund guardrail</w:t>
            </w:r>
          </w:p>
          <w:p>
            <w:pPr>
              <w:spacing w:after="40"/>
            </w:pPr>
            <w:r>
              <w:rPr>
                <w:color w:val="262B30"/>
                <w:sz w:val="19"/>
              </w:rPr>
              <w:t>For material investment, fiduciary, beneficiary, legal or cash decisions, the default mode should remain human-governed. The platform can autonomously perform surveillance, data preparation, reconciliation, routing and other bounded actions where the policy envelope is objectively testable.</w:t>
            </w:r>
          </w:p>
        </w:tc>
      </w:tr>
    </w:tbl>
    <w:p>
      <w:pPr>
        <w:spacing w:after="20"/>
      </w:pPr>
    </w:p>
    <w:p>
      <w:pPr>
        <w:pStyle w:val="Heading1"/>
      </w:pPr>
      <w:r>
        <w:t>10. AI Governance, Model Risk and Responsible AI</w:t>
      </w:r>
    </w:p>
    <w:p>
      <w:r>
        <w:t>Governance should be embedded into the platform, not a review committee that manually approves every agent. The policy engine should know what an agent is allowed to do; evaluation gates should determine what model/tool versions are deployable; audit must make outcomes reconstructable.</w:t>
      </w:r>
    </w:p>
    <w:tbl>
      <w:tblPr>
        <w:tblW w:type="auto" w:w="0"/>
        <w:jc w:val="center"/>
        <w:tblLook w:firstColumn="1" w:firstRow="1" w:lastColumn="0" w:lastRow="0" w:noHBand="0" w:noVBand="1" w:val="04A0"/>
      </w:tblPr>
      <w:tblGrid>
        <w:gridCol w:w="3331"/>
        <w:gridCol w:w="3331"/>
        <w:gridCol w:w="3331"/>
      </w:tblGrid>
      <w:tr>
        <w:trPr>
          <w:tblHeader w:val="true"/>
        </w:trPr>
        <w:tc>
          <w:tcPr>
            <w:tcW w:type="dxa" w:w="2016"/>
            <w:shd w:fill="193048"/>
          </w:tcPr>
          <w:p>
            <w:pPr>
              <w:jc w:val="left"/>
            </w:pPr>
            <w:r/>
            <w:r>
              <w:rPr>
                <w:b/>
                <w:color w:val="FFFFFF"/>
                <w:sz w:val="16"/>
              </w:rPr>
              <w:t>Control domain</w:t>
            </w:r>
          </w:p>
        </w:tc>
        <w:tc>
          <w:tcPr>
            <w:tcW w:type="dxa" w:w="4536"/>
            <w:shd w:fill="193048"/>
          </w:tcPr>
          <w:p>
            <w:pPr>
              <w:jc w:val="left"/>
            </w:pPr>
            <w:r/>
            <w:r>
              <w:rPr>
                <w:b/>
                <w:color w:val="FFFFFF"/>
                <w:sz w:val="16"/>
              </w:rPr>
              <w:t>Best practice</w:t>
            </w:r>
          </w:p>
        </w:tc>
        <w:tc>
          <w:tcPr>
            <w:tcW w:type="dxa" w:w="3600"/>
            <w:shd w:fill="193048"/>
          </w:tcPr>
          <w:p>
            <w:pPr>
              <w:jc w:val="left"/>
            </w:pPr>
            <w:r/>
            <w:r>
              <w:rPr>
                <w:b/>
                <w:color w:val="FFFFFF"/>
                <w:sz w:val="16"/>
              </w:rPr>
              <w:t>Evidence / artifact</w:t>
            </w:r>
          </w:p>
        </w:tc>
      </w:tr>
      <w:tr>
        <w:trPr>
          <w:cantSplit/>
        </w:trPr>
        <w:tc>
          <w:tcPr>
            <w:tcW w:type="dxa" w:w="3331"/>
            <w:shd w:fill="F7F9FB"/>
          </w:tcPr>
          <w:p>
            <w:pPr>
              <w:jc w:val="left"/>
            </w:pPr>
            <w:r/>
            <w:r>
              <w:rPr>
                <w:b/>
                <w:color w:val="262B30"/>
                <w:sz w:val="15"/>
              </w:rPr>
              <w:t>Use-case classification</w:t>
            </w:r>
          </w:p>
        </w:tc>
        <w:tc>
          <w:tcPr>
            <w:tcW w:type="dxa" w:w="3331"/>
            <w:shd w:fill="F7F9FB"/>
          </w:tcPr>
          <w:p>
            <w:pPr>
              <w:jc w:val="left"/>
            </w:pPr>
            <w:r/>
            <w:r>
              <w:rPr>
                <w:b w:val="0"/>
                <w:color w:val="262B30"/>
                <w:sz w:val="15"/>
              </w:rPr>
              <w:t>Risk-tier every AI capability based on impact, autonomy, data sensitivity and reversibility</w:t>
            </w:r>
          </w:p>
        </w:tc>
        <w:tc>
          <w:tcPr>
            <w:tcW w:type="dxa" w:w="3331"/>
            <w:shd w:fill="F7F9FB"/>
          </w:tcPr>
          <w:p>
            <w:pPr>
              <w:jc w:val="left"/>
            </w:pPr>
            <w:r/>
            <w:r>
              <w:rPr>
                <w:b w:val="0"/>
                <w:color w:val="262B30"/>
                <w:sz w:val="15"/>
              </w:rPr>
              <w:t>AI use-case register + risk tier</w:t>
            </w:r>
          </w:p>
        </w:tc>
      </w:tr>
      <w:tr>
        <w:trPr>
          <w:cantSplit/>
        </w:trPr>
        <w:tc>
          <w:tcPr>
            <w:tcW w:type="dxa" w:w="3331"/>
          </w:tcPr>
          <w:p>
            <w:pPr>
              <w:jc w:val="left"/>
            </w:pPr>
            <w:r/>
            <w:r>
              <w:rPr>
                <w:b/>
                <w:color w:val="262B30"/>
                <w:sz w:val="15"/>
              </w:rPr>
              <w:t>Model risk</w:t>
            </w:r>
          </w:p>
        </w:tc>
        <w:tc>
          <w:tcPr>
            <w:tcW w:type="dxa" w:w="3331"/>
          </w:tcPr>
          <w:p>
            <w:pPr>
              <w:jc w:val="left"/>
            </w:pPr>
            <w:r/>
            <w:r>
              <w:rPr>
                <w:b w:val="0"/>
                <w:color w:val="262B30"/>
                <w:sz w:val="15"/>
              </w:rPr>
              <w:t>Independent challenge for material models; benchmark on fund-specific tasks; monitor drift</w:t>
            </w:r>
          </w:p>
        </w:tc>
        <w:tc>
          <w:tcPr>
            <w:tcW w:type="dxa" w:w="3331"/>
          </w:tcPr>
          <w:p>
            <w:pPr>
              <w:jc w:val="left"/>
            </w:pPr>
            <w:r/>
            <w:r>
              <w:rPr>
                <w:b w:val="0"/>
                <w:color w:val="262B30"/>
                <w:sz w:val="15"/>
              </w:rPr>
              <w:t>Model card + validation report + release approval</w:t>
            </w:r>
          </w:p>
        </w:tc>
      </w:tr>
      <w:tr>
        <w:trPr>
          <w:cantSplit/>
        </w:trPr>
        <w:tc>
          <w:tcPr>
            <w:tcW w:type="dxa" w:w="3331"/>
            <w:shd w:fill="F7F9FB"/>
          </w:tcPr>
          <w:p>
            <w:pPr>
              <w:jc w:val="left"/>
            </w:pPr>
            <w:r/>
            <w:r>
              <w:rPr>
                <w:b/>
                <w:color w:val="262B30"/>
                <w:sz w:val="15"/>
              </w:rPr>
              <w:t>Human oversight</w:t>
            </w:r>
          </w:p>
        </w:tc>
        <w:tc>
          <w:tcPr>
            <w:tcW w:type="dxa" w:w="3331"/>
            <w:shd w:fill="F7F9FB"/>
          </w:tcPr>
          <w:p>
            <w:pPr>
              <w:jc w:val="left"/>
            </w:pPr>
            <w:r/>
            <w:r>
              <w:rPr>
                <w:b w:val="0"/>
                <w:color w:val="262B30"/>
                <w:sz w:val="15"/>
              </w:rPr>
              <w:t>Define meaningful oversight, not ceremonial approval; allow reject / modify / override</w:t>
            </w:r>
          </w:p>
        </w:tc>
        <w:tc>
          <w:tcPr>
            <w:tcW w:type="dxa" w:w="3331"/>
            <w:shd w:fill="F7F9FB"/>
          </w:tcPr>
          <w:p>
            <w:pPr>
              <w:jc w:val="left"/>
            </w:pPr>
            <w:r/>
            <w:r>
              <w:rPr>
                <w:b w:val="0"/>
                <w:color w:val="262B30"/>
                <w:sz w:val="15"/>
              </w:rPr>
              <w:t>Approval record + exception metrics</w:t>
            </w:r>
          </w:p>
        </w:tc>
      </w:tr>
      <w:tr>
        <w:trPr>
          <w:cantSplit/>
        </w:trPr>
        <w:tc>
          <w:tcPr>
            <w:tcW w:type="dxa" w:w="3331"/>
          </w:tcPr>
          <w:p>
            <w:pPr>
              <w:jc w:val="left"/>
            </w:pPr>
            <w:r/>
            <w:r>
              <w:rPr>
                <w:b/>
                <w:color w:val="262B30"/>
                <w:sz w:val="15"/>
              </w:rPr>
              <w:t>Explainability</w:t>
            </w:r>
          </w:p>
        </w:tc>
        <w:tc>
          <w:tcPr>
            <w:tcW w:type="dxa" w:w="3331"/>
          </w:tcPr>
          <w:p>
            <w:pPr>
              <w:jc w:val="left"/>
            </w:pPr>
            <w:r/>
            <w:r>
              <w:rPr>
                <w:b w:val="0"/>
                <w:color w:val="262B30"/>
                <w:sz w:val="15"/>
              </w:rPr>
              <w:t>Provide evidence, sources, assumptions, policy checks and decision trace where relevant</w:t>
            </w:r>
          </w:p>
        </w:tc>
        <w:tc>
          <w:tcPr>
            <w:tcW w:type="dxa" w:w="3331"/>
          </w:tcPr>
          <w:p>
            <w:pPr>
              <w:jc w:val="left"/>
            </w:pPr>
            <w:r/>
            <w:r>
              <w:rPr>
                <w:b w:val="0"/>
                <w:color w:val="262B30"/>
                <w:sz w:val="15"/>
              </w:rPr>
              <w:t>Trace + citations + explanation packet</w:t>
            </w:r>
          </w:p>
        </w:tc>
      </w:tr>
      <w:tr>
        <w:trPr>
          <w:cantSplit/>
        </w:trPr>
        <w:tc>
          <w:tcPr>
            <w:tcW w:type="dxa" w:w="3331"/>
            <w:shd w:fill="F7F9FB"/>
          </w:tcPr>
          <w:p>
            <w:pPr>
              <w:jc w:val="left"/>
            </w:pPr>
            <w:r/>
            <w:r>
              <w:rPr>
                <w:b/>
                <w:color w:val="262B30"/>
                <w:sz w:val="15"/>
              </w:rPr>
              <w:t>Privacy</w:t>
            </w:r>
          </w:p>
        </w:tc>
        <w:tc>
          <w:tcPr>
            <w:tcW w:type="dxa" w:w="3331"/>
            <w:shd w:fill="F7F9FB"/>
          </w:tcPr>
          <w:p>
            <w:pPr>
              <w:jc w:val="left"/>
            </w:pPr>
            <w:r/>
            <w:r>
              <w:rPr>
                <w:b w:val="0"/>
                <w:color w:val="262B30"/>
                <w:sz w:val="15"/>
              </w:rPr>
              <w:t>Privacy-by-design, purpose limitation, minimization, transparency, correction/deletion paths</w:t>
            </w:r>
          </w:p>
        </w:tc>
        <w:tc>
          <w:tcPr>
            <w:tcW w:type="dxa" w:w="3331"/>
            <w:shd w:fill="F7F9FB"/>
          </w:tcPr>
          <w:p>
            <w:pPr>
              <w:jc w:val="left"/>
            </w:pPr>
            <w:r/>
            <w:r>
              <w:rPr>
                <w:b w:val="0"/>
                <w:color w:val="262B30"/>
                <w:sz w:val="15"/>
              </w:rPr>
              <w:t>PIA / privacy assessment + data map</w:t>
            </w:r>
          </w:p>
        </w:tc>
      </w:tr>
      <w:tr>
        <w:trPr>
          <w:cantSplit/>
        </w:trPr>
        <w:tc>
          <w:tcPr>
            <w:tcW w:type="dxa" w:w="3331"/>
          </w:tcPr>
          <w:p>
            <w:pPr>
              <w:jc w:val="left"/>
            </w:pPr>
            <w:r/>
            <w:r>
              <w:rPr>
                <w:b/>
                <w:color w:val="262B30"/>
                <w:sz w:val="15"/>
              </w:rPr>
              <w:t>Third-party risk</w:t>
            </w:r>
          </w:p>
        </w:tc>
        <w:tc>
          <w:tcPr>
            <w:tcW w:type="dxa" w:w="3331"/>
          </w:tcPr>
          <w:p>
            <w:pPr>
              <w:jc w:val="left"/>
            </w:pPr>
            <w:r/>
            <w:r>
              <w:rPr>
                <w:b w:val="0"/>
                <w:color w:val="262B30"/>
                <w:sz w:val="15"/>
              </w:rPr>
              <w:t>Assess model/provider, data residency, retention, security, resilience and exit strategy</w:t>
            </w:r>
          </w:p>
        </w:tc>
        <w:tc>
          <w:tcPr>
            <w:tcW w:type="dxa" w:w="3331"/>
          </w:tcPr>
          <w:p>
            <w:pPr>
              <w:jc w:val="left"/>
            </w:pPr>
            <w:r/>
            <w:r>
              <w:rPr>
                <w:b w:val="0"/>
                <w:color w:val="262B30"/>
                <w:sz w:val="15"/>
              </w:rPr>
              <w:t>Vendor risk assessment + contractual controls</w:t>
            </w:r>
          </w:p>
        </w:tc>
      </w:tr>
      <w:tr>
        <w:trPr>
          <w:cantSplit/>
        </w:trPr>
        <w:tc>
          <w:tcPr>
            <w:tcW w:type="dxa" w:w="3331"/>
            <w:shd w:fill="F7F9FB"/>
          </w:tcPr>
          <w:p>
            <w:pPr>
              <w:jc w:val="left"/>
            </w:pPr>
            <w:r/>
            <w:r>
              <w:rPr>
                <w:b/>
                <w:color w:val="262B30"/>
                <w:sz w:val="15"/>
              </w:rPr>
              <w:t>Incident management</w:t>
            </w:r>
          </w:p>
        </w:tc>
        <w:tc>
          <w:tcPr>
            <w:tcW w:type="dxa" w:w="3331"/>
            <w:shd w:fill="F7F9FB"/>
          </w:tcPr>
          <w:p>
            <w:pPr>
              <w:jc w:val="left"/>
            </w:pPr>
            <w:r/>
            <w:r>
              <w:rPr>
                <w:b w:val="0"/>
                <w:color w:val="262B30"/>
                <w:sz w:val="15"/>
              </w:rPr>
              <w:t>Treat AI failures like operational incidents with severity, containment, root cause and remediation</w:t>
            </w:r>
          </w:p>
        </w:tc>
        <w:tc>
          <w:tcPr>
            <w:tcW w:type="dxa" w:w="3331"/>
            <w:shd w:fill="F7F9FB"/>
          </w:tcPr>
          <w:p>
            <w:pPr>
              <w:jc w:val="left"/>
            </w:pPr>
            <w:r/>
            <w:r>
              <w:rPr>
                <w:b w:val="0"/>
                <w:color w:val="262B30"/>
                <w:sz w:val="15"/>
              </w:rPr>
              <w:t>Incident record + postmortem</w:t>
            </w:r>
          </w:p>
        </w:tc>
      </w:tr>
    </w:tbl>
    <w:p>
      <w:r>
        <w:t>For a Canadian pension context, the governance model should be aligned to the fund’s specific legal and regulatory perimeter. OSFI has highlighted frontier AI as an evolving technology / cyber / operational-resilience risk and explicitly points to technology, operational resilience and third-party risk disciplines. [12] Canada’s Privacy Commissioner also recommends privacy-by-design, transparency, explainability and limiting the sharing of personal or confidential information in generative-AI deployments. [13] NIST AI RMF and its Generative AI Profile provide a useful cross-sector governance vocabulary covering trustworthy AI risk management. [14]</w:t>
      </w:r>
    </w:p>
    <w:p>
      <w:pPr>
        <w:pStyle w:val="Heading1"/>
      </w:pPr>
      <w:r>
        <w:t>11. Evaluation, Testing and Observability</w:t>
      </w:r>
    </w:p>
    <w:p>
      <w:r>
        <w:t>Traditional software tests are necessary but insufficient. Agentic systems need continuous behavioral evaluation. Build an evaluation harness before scaling the number of agents.</w:t>
      </w:r>
    </w:p>
    <w:p>
      <w:pPr>
        <w:pStyle w:val="ListBullet"/>
        <w:spacing w:after="60"/>
      </w:pPr>
      <w:r>
        <w:t>Golden tasks: representative fund questions, document retrieval tasks, tool calls, exception scenarios and workflow cases.</w:t>
      </w:r>
    </w:p>
    <w:p>
      <w:pPr>
        <w:pStyle w:val="ListBullet"/>
        <w:spacing w:after="60"/>
      </w:pPr>
      <w:r>
        <w:t>Policy tests: unauthorized data request, prompt injection, exfiltration attempt, bypass approval, unsafe tool arguments, excessive autonomy.</w:t>
      </w:r>
    </w:p>
    <w:p>
      <w:pPr>
        <w:pStyle w:val="ListBullet"/>
        <w:spacing w:after="60"/>
      </w:pPr>
      <w:r>
        <w:t>Outcome metrics: task success, factuality, citation correctness, retrieval recall/precision, tool success, policy compliance, escalation quality.</w:t>
      </w:r>
    </w:p>
    <w:p>
      <w:pPr>
        <w:pStyle w:val="ListBullet"/>
        <w:spacing w:after="60"/>
      </w:pPr>
      <w:r>
        <w:t>Operational metrics: latency, token usage, cost per outcome, failure rate, retry count, queue depth, model fallback rate.</w:t>
      </w:r>
    </w:p>
    <w:p>
      <w:pPr>
        <w:pStyle w:val="ListBullet"/>
        <w:spacing w:after="60"/>
      </w:pPr>
      <w:r>
        <w:t>Agent trajectory tests: evaluate not just final answer but tool sequence, unnecessary actions, budget adherence, stopping behavior and recovery after tool failure.</w:t>
      </w:r>
    </w:p>
    <w:p>
      <w:pPr>
        <w:pStyle w:val="ListBullet"/>
        <w:spacing w:after="60"/>
      </w:pPr>
      <w:r>
        <w:t>Production observability: trace the full chain from user → model → retrieval → tool → workflow → system-of-record change. AgentCore Observability provides traces, metrics and OpenTelemetry-compatible telemetry for runtime environments. [15]</w:t>
      </w:r>
    </w:p>
    <w:tbl>
      <w:tblPr>
        <w:tblW w:type="auto" w:w="0"/>
        <w:jc w:val="center"/>
        <w:tblLook w:firstColumn="1" w:firstRow="1" w:lastColumn="0" w:lastRow="0" w:noHBand="0" w:noVBand="1" w:val="04A0"/>
      </w:tblPr>
      <w:tblGrid>
        <w:gridCol w:w="9994"/>
      </w:tblGrid>
      <w:tr>
        <w:tc>
          <w:tcPr>
            <w:tcW w:type="dxa" w:w="9994"/>
            <w:shd w:fill="EAF2FA"/>
            <w:tcBorders>
              <w:top w:val="single" w:sz="1" w:color="DDE3E8"/>
              <w:left w:val="single" w:sz="10" w:color="2166AC"/>
              <w:bottom w:val="single" w:sz="1" w:color="DDE3E8"/>
              <w:right w:val="single" w:sz="1" w:color="DDE3E8"/>
            </w:tcBorders>
          </w:tcPr>
          <w:p>
            <w:pPr>
              <w:spacing w:after="40"/>
            </w:pPr>
            <w:r>
              <w:rPr>
                <w:b/>
                <w:color w:val="192D48"/>
                <w:sz w:val="21"/>
              </w:rPr>
              <w:t>Metric shift</w:t>
            </w:r>
          </w:p>
          <w:p>
            <w:pPr>
              <w:spacing w:after="40"/>
            </w:pPr>
            <w:r>
              <w:rPr>
                <w:color w:val="262B30"/>
                <w:sz w:val="19"/>
              </w:rPr>
              <w:t>The primary KPI should be “business outcome per unit of cost and risk,” not tokens, model quality scores or number of agents deployed.</w:t>
            </w:r>
          </w:p>
        </w:tc>
      </w:tr>
    </w:tbl>
    <w:p>
      <w:pPr>
        <w:spacing w:after="20"/>
      </w:pPr>
    </w:p>
    <w:p>
      <w:pPr>
        <w:pStyle w:val="Heading1"/>
      </w:pPr>
      <w:r>
        <w:t>12. Platform Engineering, Reliability and FinOps</w:t>
      </w:r>
    </w:p>
    <w:tbl>
      <w:tblPr>
        <w:tblW w:type="auto" w:w="0"/>
        <w:jc w:val="center"/>
        <w:tblLook w:firstColumn="1" w:firstRow="1" w:lastColumn="0" w:lastRow="0" w:noHBand="0" w:noVBand="1" w:val="04A0"/>
      </w:tblPr>
      <w:tblGrid>
        <w:gridCol w:w="3331"/>
        <w:gridCol w:w="3331"/>
        <w:gridCol w:w="3331"/>
      </w:tblGrid>
      <w:tr>
        <w:trPr>
          <w:tblHeader w:val="true"/>
        </w:trPr>
        <w:tc>
          <w:tcPr>
            <w:tcW w:type="dxa" w:w="1944"/>
            <w:shd w:fill="193048"/>
          </w:tcPr>
          <w:p>
            <w:pPr>
              <w:jc w:val="left"/>
            </w:pPr>
            <w:r/>
            <w:r>
              <w:rPr>
                <w:b/>
                <w:color w:val="FFFFFF"/>
                <w:sz w:val="16"/>
              </w:rPr>
              <w:t>Area</w:t>
            </w:r>
          </w:p>
        </w:tc>
        <w:tc>
          <w:tcPr>
            <w:tcW w:type="dxa" w:w="4536"/>
            <w:shd w:fill="193048"/>
          </w:tcPr>
          <w:p>
            <w:pPr>
              <w:jc w:val="left"/>
            </w:pPr>
            <w:r/>
            <w:r>
              <w:rPr>
                <w:b/>
                <w:color w:val="FFFFFF"/>
                <w:sz w:val="16"/>
              </w:rPr>
              <w:t>Best practices</w:t>
            </w:r>
          </w:p>
        </w:tc>
        <w:tc>
          <w:tcPr>
            <w:tcW w:type="dxa" w:w="3672"/>
            <w:shd w:fill="193048"/>
          </w:tcPr>
          <w:p>
            <w:pPr>
              <w:jc w:val="left"/>
            </w:pPr>
            <w:r/>
            <w:r>
              <w:rPr>
                <w:b/>
                <w:color w:val="FFFFFF"/>
                <w:sz w:val="16"/>
              </w:rPr>
              <w:t>Challenges</w:t>
            </w:r>
          </w:p>
        </w:tc>
      </w:tr>
      <w:tr>
        <w:trPr>
          <w:cantSplit/>
        </w:trPr>
        <w:tc>
          <w:tcPr>
            <w:tcW w:type="dxa" w:w="3331"/>
            <w:shd w:fill="F7F9FB"/>
          </w:tcPr>
          <w:p>
            <w:pPr>
              <w:jc w:val="left"/>
            </w:pPr>
            <w:r/>
            <w:r>
              <w:rPr>
                <w:b/>
                <w:color w:val="262B30"/>
                <w:sz w:val="15"/>
              </w:rPr>
              <w:t>Agent lifecycle</w:t>
            </w:r>
          </w:p>
        </w:tc>
        <w:tc>
          <w:tcPr>
            <w:tcW w:type="dxa" w:w="3331"/>
            <w:shd w:fill="F7F9FB"/>
          </w:tcPr>
          <w:p>
            <w:pPr>
              <w:jc w:val="left"/>
            </w:pPr>
            <w:r/>
            <w:r>
              <w:rPr>
                <w:b w:val="0"/>
                <w:color w:val="262B30"/>
                <w:sz w:val="15"/>
              </w:rPr>
              <w:t>Templates, golden paths, environment promotion, versioned prompts/tools/policies, canary releases</w:t>
            </w:r>
          </w:p>
        </w:tc>
        <w:tc>
          <w:tcPr>
            <w:tcW w:type="dxa" w:w="3331"/>
            <w:shd w:fill="F7F9FB"/>
          </w:tcPr>
          <w:p>
            <w:pPr>
              <w:jc w:val="left"/>
            </w:pPr>
            <w:r/>
            <w:r>
              <w:rPr>
                <w:b w:val="0"/>
                <w:color w:val="262B30"/>
                <w:sz w:val="15"/>
              </w:rPr>
              <w:t>Agent configuration is often distributed across code, prompts, model settings and external services</w:t>
            </w:r>
          </w:p>
        </w:tc>
      </w:tr>
      <w:tr>
        <w:trPr>
          <w:cantSplit/>
        </w:trPr>
        <w:tc>
          <w:tcPr>
            <w:tcW w:type="dxa" w:w="3331"/>
          </w:tcPr>
          <w:p>
            <w:pPr>
              <w:jc w:val="left"/>
            </w:pPr>
            <w:r/>
            <w:r>
              <w:rPr>
                <w:b/>
                <w:color w:val="262B30"/>
                <w:sz w:val="15"/>
              </w:rPr>
              <w:t>Reliability</w:t>
            </w:r>
          </w:p>
        </w:tc>
        <w:tc>
          <w:tcPr>
            <w:tcW w:type="dxa" w:w="3331"/>
          </w:tcPr>
          <w:p>
            <w:pPr>
              <w:jc w:val="left"/>
            </w:pPr>
            <w:r/>
            <w:r>
              <w:rPr>
                <w:b w:val="0"/>
                <w:color w:val="262B30"/>
                <w:sz w:val="15"/>
              </w:rPr>
              <w:t>Timeouts, retries, circuit breakers, idempotency, checkpointing, resumable runs, graceful degradation</w:t>
            </w:r>
          </w:p>
        </w:tc>
        <w:tc>
          <w:tcPr>
            <w:tcW w:type="dxa" w:w="3331"/>
          </w:tcPr>
          <w:p>
            <w:pPr>
              <w:jc w:val="left"/>
            </w:pPr>
            <w:r/>
            <w:r>
              <w:rPr>
                <w:b w:val="0"/>
                <w:color w:val="262B30"/>
                <w:sz w:val="15"/>
              </w:rPr>
              <w:t>Non-deterministic failures and partial side effects</w:t>
            </w:r>
          </w:p>
        </w:tc>
      </w:tr>
      <w:tr>
        <w:trPr>
          <w:cantSplit/>
        </w:trPr>
        <w:tc>
          <w:tcPr>
            <w:tcW w:type="dxa" w:w="3331"/>
            <w:shd w:fill="F7F9FB"/>
          </w:tcPr>
          <w:p>
            <w:pPr>
              <w:jc w:val="left"/>
            </w:pPr>
            <w:r/>
            <w:r>
              <w:rPr>
                <w:b/>
                <w:color w:val="262B30"/>
                <w:sz w:val="15"/>
              </w:rPr>
              <w:t>Cost</w:t>
            </w:r>
          </w:p>
        </w:tc>
        <w:tc>
          <w:tcPr>
            <w:tcW w:type="dxa" w:w="3331"/>
            <w:shd w:fill="F7F9FB"/>
          </w:tcPr>
          <w:p>
            <w:pPr>
              <w:jc w:val="left"/>
            </w:pPr>
            <w:r/>
            <w:r>
              <w:rPr>
                <w:b w:val="0"/>
                <w:color w:val="262B30"/>
                <w:sz w:val="15"/>
              </w:rPr>
              <w:t>Token budgets, model routing, caching, retrieval limits, concurrency control, per-task cost attribution</w:t>
            </w:r>
          </w:p>
        </w:tc>
        <w:tc>
          <w:tcPr>
            <w:tcW w:type="dxa" w:w="3331"/>
            <w:shd w:fill="F7F9FB"/>
          </w:tcPr>
          <w:p>
            <w:pPr>
              <w:jc w:val="left"/>
            </w:pPr>
            <w:r/>
            <w:r>
              <w:rPr>
                <w:b w:val="0"/>
                <w:color w:val="262B30"/>
                <w:sz w:val="15"/>
              </w:rPr>
              <w:t>Agent loops multiply cost; users underestimate hidden downstream tool costs</w:t>
            </w:r>
          </w:p>
        </w:tc>
      </w:tr>
      <w:tr>
        <w:trPr>
          <w:cantSplit/>
        </w:trPr>
        <w:tc>
          <w:tcPr>
            <w:tcW w:type="dxa" w:w="3331"/>
          </w:tcPr>
          <w:p>
            <w:pPr>
              <w:jc w:val="left"/>
            </w:pPr>
            <w:r/>
            <w:r>
              <w:rPr>
                <w:b/>
                <w:color w:val="262B30"/>
                <w:sz w:val="15"/>
              </w:rPr>
              <w:t>Scale</w:t>
            </w:r>
          </w:p>
        </w:tc>
        <w:tc>
          <w:tcPr>
            <w:tcW w:type="dxa" w:w="3331"/>
          </w:tcPr>
          <w:p>
            <w:pPr>
              <w:jc w:val="left"/>
            </w:pPr>
            <w:r/>
            <w:r>
              <w:rPr>
                <w:b w:val="0"/>
                <w:color w:val="262B30"/>
                <w:sz w:val="15"/>
              </w:rPr>
              <w:t>Queue-based async execution for long jobs; isolate workloads; quotas</w:t>
            </w:r>
          </w:p>
        </w:tc>
        <w:tc>
          <w:tcPr>
            <w:tcW w:type="dxa" w:w="3331"/>
          </w:tcPr>
          <w:p>
            <w:pPr>
              <w:jc w:val="left"/>
            </w:pPr>
            <w:r/>
            <w:r>
              <w:rPr>
                <w:b w:val="0"/>
                <w:color w:val="262B30"/>
                <w:sz w:val="15"/>
              </w:rPr>
              <w:t>Burstiness and long-running agents consume shared capacity</w:t>
            </w:r>
          </w:p>
        </w:tc>
      </w:tr>
      <w:tr>
        <w:trPr>
          <w:cantSplit/>
        </w:trPr>
        <w:tc>
          <w:tcPr>
            <w:tcW w:type="dxa" w:w="3331"/>
            <w:shd w:fill="F7F9FB"/>
          </w:tcPr>
          <w:p>
            <w:pPr>
              <w:jc w:val="left"/>
            </w:pPr>
            <w:r/>
            <w:r>
              <w:rPr>
                <w:b/>
                <w:color w:val="262B30"/>
                <w:sz w:val="15"/>
              </w:rPr>
              <w:t>Portability</w:t>
            </w:r>
          </w:p>
        </w:tc>
        <w:tc>
          <w:tcPr>
            <w:tcW w:type="dxa" w:w="3331"/>
            <w:shd w:fill="F7F9FB"/>
          </w:tcPr>
          <w:p>
            <w:pPr>
              <w:jc w:val="left"/>
            </w:pPr>
            <w:r/>
            <w:r>
              <w:rPr>
                <w:b w:val="0"/>
                <w:color w:val="262B30"/>
                <w:sz w:val="15"/>
              </w:rPr>
              <w:t>MCP/OpenAPI tool contracts; model abstraction; portable policy semantics</w:t>
            </w:r>
          </w:p>
        </w:tc>
        <w:tc>
          <w:tcPr>
            <w:tcW w:type="dxa" w:w="3331"/>
            <w:shd w:fill="F7F9FB"/>
          </w:tcPr>
          <w:p>
            <w:pPr>
              <w:jc w:val="left"/>
            </w:pPr>
            <w:r/>
            <w:r>
              <w:rPr>
                <w:b w:val="0"/>
                <w:color w:val="262B30"/>
                <w:sz w:val="15"/>
              </w:rPr>
              <w:t>Managed services can create lock-in; portability can add complexity</w:t>
            </w:r>
          </w:p>
        </w:tc>
      </w:tr>
      <w:tr>
        <w:trPr>
          <w:cantSplit/>
        </w:trPr>
        <w:tc>
          <w:tcPr>
            <w:tcW w:type="dxa" w:w="3331"/>
          </w:tcPr>
          <w:p>
            <w:pPr>
              <w:jc w:val="left"/>
            </w:pPr>
            <w:r/>
            <w:r>
              <w:rPr>
                <w:b/>
                <w:color w:val="262B30"/>
                <w:sz w:val="15"/>
              </w:rPr>
              <w:t>Developer experience</w:t>
            </w:r>
          </w:p>
        </w:tc>
        <w:tc>
          <w:tcPr>
            <w:tcW w:type="dxa" w:w="3331"/>
          </w:tcPr>
          <w:p>
            <w:pPr>
              <w:jc w:val="left"/>
            </w:pPr>
            <w:r/>
            <w:r>
              <w:rPr>
                <w:b w:val="0"/>
                <w:color w:val="262B30"/>
                <w:sz w:val="15"/>
              </w:rPr>
              <w:t>CLI/templates, local test harness, trace viewer, policy simulator, synthetic test data</w:t>
            </w:r>
          </w:p>
        </w:tc>
        <w:tc>
          <w:tcPr>
            <w:tcW w:type="dxa" w:w="3331"/>
          </w:tcPr>
          <w:p>
            <w:pPr>
              <w:jc w:val="left"/>
            </w:pPr>
            <w:r/>
            <w:r>
              <w:rPr>
                <w:b w:val="0"/>
                <w:color w:val="262B30"/>
                <w:sz w:val="15"/>
              </w:rPr>
              <w:t>Without a paved road, teams build inconsistent agent stacks</w:t>
            </w:r>
          </w:p>
        </w:tc>
      </w:tr>
      <w:tr>
        <w:trPr>
          <w:cantSplit/>
        </w:trPr>
        <w:tc>
          <w:tcPr>
            <w:tcW w:type="dxa" w:w="3331"/>
            <w:shd w:fill="F7F9FB"/>
          </w:tcPr>
          <w:p>
            <w:pPr>
              <w:jc w:val="left"/>
            </w:pPr>
            <w:r/>
            <w:r>
              <w:rPr>
                <w:b/>
                <w:color w:val="262B30"/>
                <w:sz w:val="15"/>
              </w:rPr>
              <w:t>Disaster recovery</w:t>
            </w:r>
          </w:p>
        </w:tc>
        <w:tc>
          <w:tcPr>
            <w:tcW w:type="dxa" w:w="3331"/>
            <w:shd w:fill="F7F9FB"/>
          </w:tcPr>
          <w:p>
            <w:pPr>
              <w:jc w:val="left"/>
            </w:pPr>
            <w:r/>
            <w:r>
              <w:rPr>
                <w:b w:val="0"/>
                <w:color w:val="262B30"/>
                <w:sz w:val="15"/>
              </w:rPr>
              <w:t>Replayable task state, versioned artifacts, backup of memory and policy configuration</w:t>
            </w:r>
          </w:p>
        </w:tc>
        <w:tc>
          <w:tcPr>
            <w:tcW w:type="dxa" w:w="3331"/>
            <w:shd w:fill="F7F9FB"/>
          </w:tcPr>
          <w:p>
            <w:pPr>
              <w:jc w:val="left"/>
            </w:pPr>
            <w:r/>
            <w:r>
              <w:rPr>
                <w:b w:val="0"/>
                <w:color w:val="262B30"/>
                <w:sz w:val="15"/>
              </w:rPr>
              <w:t>Reproducing an agent run after model/provider changes can be difficult</w:t>
            </w:r>
          </w:p>
        </w:tc>
      </w:tr>
    </w:tbl>
    <w:p>
      <w:pPr>
        <w:pStyle w:val="Heading1"/>
      </w:pPr>
      <w:r>
        <w:t>13. Pension-Fund Use-Case Portfolio</w:t>
      </w:r>
    </w:p>
    <w:p>
      <w:r>
        <w:t>Prioritize by business value × data readiness × execution feasibility × risk. The first wave should create reusable capabilities, not isolated demos.</w:t>
      </w:r>
    </w:p>
    <w:tbl>
      <w:tblPr>
        <w:tblW w:type="auto" w:w="0"/>
        <w:jc w:val="center"/>
        <w:tblLook w:firstColumn="1" w:firstRow="1" w:lastColumn="0" w:lastRow="0" w:noHBand="0" w:noVBand="1" w:val="04A0"/>
      </w:tblPr>
      <w:tblGrid>
        <w:gridCol w:w="1999"/>
        <w:gridCol w:w="1999"/>
        <w:gridCol w:w="1999"/>
        <w:gridCol w:w="1999"/>
        <w:gridCol w:w="1999"/>
      </w:tblGrid>
      <w:tr>
        <w:trPr>
          <w:tblHeader w:val="true"/>
        </w:trPr>
        <w:tc>
          <w:tcPr>
            <w:tcW w:type="dxa" w:w="2232"/>
            <w:shd w:fill="193048"/>
          </w:tcPr>
          <w:p>
            <w:pPr>
              <w:jc w:val="left"/>
            </w:pPr>
            <w:r/>
            <w:r>
              <w:rPr>
                <w:b/>
                <w:color w:val="FFFFFF"/>
                <w:sz w:val="16"/>
              </w:rPr>
              <w:t>Use case</w:t>
            </w:r>
          </w:p>
        </w:tc>
        <w:tc>
          <w:tcPr>
            <w:tcW w:type="dxa" w:w="3672"/>
            <w:shd w:fill="193048"/>
          </w:tcPr>
          <w:p>
            <w:pPr>
              <w:jc w:val="left"/>
            </w:pPr>
            <w:r/>
            <w:r>
              <w:rPr>
                <w:b/>
                <w:color w:val="FFFFFF"/>
                <w:sz w:val="16"/>
              </w:rPr>
              <w:t>Value</w:t>
            </w:r>
          </w:p>
        </w:tc>
        <w:tc>
          <w:tcPr>
            <w:tcW w:type="dxa" w:w="1152"/>
            <w:shd w:fill="193048"/>
          </w:tcPr>
          <w:p>
            <w:pPr>
              <w:jc w:val="left"/>
            </w:pPr>
            <w:r/>
            <w:r>
              <w:rPr>
                <w:b/>
                <w:color w:val="FFFFFF"/>
                <w:sz w:val="16"/>
              </w:rPr>
              <w:t>Priority</w:t>
            </w:r>
          </w:p>
        </w:tc>
        <w:tc>
          <w:tcPr>
            <w:tcW w:type="dxa" w:w="1296"/>
            <w:shd w:fill="193048"/>
          </w:tcPr>
          <w:p>
            <w:pPr>
              <w:jc w:val="left"/>
            </w:pPr>
            <w:r/>
            <w:r>
              <w:rPr>
                <w:b/>
                <w:color w:val="FFFFFF"/>
                <w:sz w:val="16"/>
              </w:rPr>
              <w:t>Autonomy target</w:t>
            </w:r>
          </w:p>
        </w:tc>
        <w:tc>
          <w:tcPr>
            <w:tcW w:type="dxa" w:w="2376"/>
            <w:shd w:fill="193048"/>
          </w:tcPr>
          <w:p>
            <w:pPr>
              <w:jc w:val="left"/>
            </w:pPr>
            <w:r/>
            <w:r>
              <w:rPr>
                <w:b/>
                <w:color w:val="FFFFFF"/>
                <w:sz w:val="16"/>
              </w:rPr>
              <w:t>Primary platform requirement</w:t>
            </w:r>
          </w:p>
        </w:tc>
      </w:tr>
      <w:tr>
        <w:trPr>
          <w:cantSplit/>
        </w:trPr>
        <w:tc>
          <w:tcPr>
            <w:tcW w:type="dxa" w:w="1999"/>
            <w:shd w:fill="F7F9FB"/>
          </w:tcPr>
          <w:p>
            <w:pPr>
              <w:jc w:val="left"/>
            </w:pPr>
            <w:r/>
            <w:r>
              <w:rPr>
                <w:b/>
                <w:color w:val="262B30"/>
                <w:sz w:val="15"/>
              </w:rPr>
              <w:t>Investment research assistant</w:t>
            </w:r>
          </w:p>
        </w:tc>
        <w:tc>
          <w:tcPr>
            <w:tcW w:type="dxa" w:w="1999"/>
            <w:shd w:fill="F7F9FB"/>
          </w:tcPr>
          <w:p>
            <w:pPr>
              <w:jc w:val="left"/>
            </w:pPr>
            <w:r/>
            <w:r>
              <w:rPr>
                <w:b w:val="0"/>
                <w:color w:val="262B30"/>
                <w:sz w:val="15"/>
              </w:rPr>
              <w:t>Research memo synthesis, manager / asset / market question answering</w:t>
            </w:r>
          </w:p>
        </w:tc>
        <w:tc>
          <w:tcPr>
            <w:tcW w:type="dxa" w:w="1999"/>
            <w:shd w:fill="F7F9FB"/>
          </w:tcPr>
          <w:p>
            <w:pPr>
              <w:jc w:val="left"/>
            </w:pPr>
            <w:r/>
            <w:r>
              <w:rPr>
                <w:b w:val="0"/>
                <w:color w:val="262B30"/>
                <w:sz w:val="15"/>
              </w:rPr>
              <w:t>High</w:t>
            </w:r>
          </w:p>
        </w:tc>
        <w:tc>
          <w:tcPr>
            <w:tcW w:type="dxa" w:w="1999"/>
            <w:shd w:fill="F7F9FB"/>
          </w:tcPr>
          <w:p>
            <w:pPr>
              <w:jc w:val="left"/>
            </w:pPr>
            <w:r/>
            <w:r>
              <w:rPr>
                <w:b w:val="0"/>
                <w:color w:val="262B30"/>
                <w:sz w:val="15"/>
              </w:rPr>
              <w:t>L1–L2</w:t>
            </w:r>
          </w:p>
        </w:tc>
        <w:tc>
          <w:tcPr>
            <w:tcW w:type="dxa" w:w="1999"/>
            <w:shd w:fill="F7F9FB"/>
          </w:tcPr>
          <w:p>
            <w:pPr>
              <w:jc w:val="left"/>
            </w:pPr>
            <w:r/>
            <w:r>
              <w:rPr>
                <w:b w:val="0"/>
                <w:color w:val="262B30"/>
                <w:sz w:val="15"/>
              </w:rPr>
              <w:t>Grounded retrieval, citations, point-in-time data</w:t>
            </w:r>
          </w:p>
        </w:tc>
      </w:tr>
      <w:tr>
        <w:trPr>
          <w:cantSplit/>
        </w:trPr>
        <w:tc>
          <w:tcPr>
            <w:tcW w:type="dxa" w:w="1999"/>
          </w:tcPr>
          <w:p>
            <w:pPr>
              <w:jc w:val="left"/>
            </w:pPr>
            <w:r/>
            <w:r>
              <w:rPr>
                <w:b/>
                <w:color w:val="262B30"/>
                <w:sz w:val="15"/>
              </w:rPr>
              <w:t>Portfolio monitoring agent</w:t>
            </w:r>
          </w:p>
        </w:tc>
        <w:tc>
          <w:tcPr>
            <w:tcW w:type="dxa" w:w="1999"/>
          </w:tcPr>
          <w:p>
            <w:pPr>
              <w:jc w:val="left"/>
            </w:pPr>
            <w:r/>
            <w:r>
              <w:rPr>
                <w:b w:val="0"/>
                <w:color w:val="262B30"/>
                <w:sz w:val="15"/>
              </w:rPr>
              <w:t>Monitor exposures, mandates, limits, news and deviations; create alerts</w:t>
            </w:r>
          </w:p>
        </w:tc>
        <w:tc>
          <w:tcPr>
            <w:tcW w:type="dxa" w:w="1999"/>
          </w:tcPr>
          <w:p>
            <w:pPr>
              <w:jc w:val="left"/>
            </w:pPr>
            <w:r/>
            <w:r>
              <w:rPr>
                <w:b w:val="0"/>
                <w:color w:val="262B30"/>
                <w:sz w:val="15"/>
              </w:rPr>
              <w:t>Very high</w:t>
            </w:r>
          </w:p>
        </w:tc>
        <w:tc>
          <w:tcPr>
            <w:tcW w:type="dxa" w:w="1999"/>
          </w:tcPr>
          <w:p>
            <w:pPr>
              <w:jc w:val="left"/>
            </w:pPr>
            <w:r/>
            <w:r>
              <w:rPr>
                <w:b w:val="0"/>
                <w:color w:val="262B30"/>
                <w:sz w:val="15"/>
              </w:rPr>
              <w:t>L2–L4</w:t>
            </w:r>
          </w:p>
        </w:tc>
        <w:tc>
          <w:tcPr>
            <w:tcW w:type="dxa" w:w="1999"/>
          </w:tcPr>
          <w:p>
            <w:pPr>
              <w:jc w:val="left"/>
            </w:pPr>
            <w:r/>
            <w:r>
              <w:rPr>
                <w:b w:val="0"/>
                <w:color w:val="262B30"/>
                <w:sz w:val="15"/>
              </w:rPr>
              <w:t>Event-driven monitoring + thresholds + human escalation</w:t>
            </w:r>
          </w:p>
        </w:tc>
      </w:tr>
      <w:tr>
        <w:trPr>
          <w:cantSplit/>
        </w:trPr>
        <w:tc>
          <w:tcPr>
            <w:tcW w:type="dxa" w:w="1999"/>
            <w:shd w:fill="F7F9FB"/>
          </w:tcPr>
          <w:p>
            <w:pPr>
              <w:jc w:val="left"/>
            </w:pPr>
            <w:r/>
            <w:r>
              <w:rPr>
                <w:b/>
                <w:color w:val="262B30"/>
                <w:sz w:val="15"/>
              </w:rPr>
              <w:t>Due-diligence agent</w:t>
            </w:r>
          </w:p>
        </w:tc>
        <w:tc>
          <w:tcPr>
            <w:tcW w:type="dxa" w:w="1999"/>
            <w:shd w:fill="F7F9FB"/>
          </w:tcPr>
          <w:p>
            <w:pPr>
              <w:jc w:val="left"/>
            </w:pPr>
            <w:r/>
            <w:r>
              <w:rPr>
                <w:b w:val="0"/>
                <w:color w:val="262B30"/>
                <w:sz w:val="15"/>
              </w:rPr>
              <w:t>Collect documents, extract fields, compare manager responses, identify gaps</w:t>
            </w:r>
          </w:p>
        </w:tc>
        <w:tc>
          <w:tcPr>
            <w:tcW w:type="dxa" w:w="1999"/>
            <w:shd w:fill="F7F9FB"/>
          </w:tcPr>
          <w:p>
            <w:pPr>
              <w:jc w:val="left"/>
            </w:pPr>
            <w:r/>
            <w:r>
              <w:rPr>
                <w:b w:val="0"/>
                <w:color w:val="262B30"/>
                <w:sz w:val="15"/>
              </w:rPr>
              <w:t>High</w:t>
            </w:r>
          </w:p>
        </w:tc>
        <w:tc>
          <w:tcPr>
            <w:tcW w:type="dxa" w:w="1999"/>
            <w:shd w:fill="F7F9FB"/>
          </w:tcPr>
          <w:p>
            <w:pPr>
              <w:jc w:val="left"/>
            </w:pPr>
            <w:r/>
            <w:r>
              <w:rPr>
                <w:b w:val="0"/>
                <w:color w:val="262B30"/>
                <w:sz w:val="15"/>
              </w:rPr>
              <w:t>L2–L3</w:t>
            </w:r>
          </w:p>
        </w:tc>
        <w:tc>
          <w:tcPr>
            <w:tcW w:type="dxa" w:w="1999"/>
            <w:shd w:fill="F7F9FB"/>
          </w:tcPr>
          <w:p>
            <w:pPr>
              <w:jc w:val="left"/>
            </w:pPr>
            <w:r/>
            <w:r>
              <w:rPr>
                <w:b w:val="0"/>
                <w:color w:val="262B30"/>
                <w:sz w:val="15"/>
              </w:rPr>
              <w:t>Evidence provenance + structured extraction</w:t>
            </w:r>
          </w:p>
        </w:tc>
      </w:tr>
      <w:tr>
        <w:trPr>
          <w:cantSplit/>
        </w:trPr>
        <w:tc>
          <w:tcPr>
            <w:tcW w:type="dxa" w:w="1999"/>
          </w:tcPr>
          <w:p>
            <w:pPr>
              <w:jc w:val="left"/>
            </w:pPr>
            <w:r/>
            <w:r>
              <w:rPr>
                <w:b/>
                <w:color w:val="262B30"/>
                <w:sz w:val="15"/>
              </w:rPr>
              <w:t>Investment committee pack</w:t>
            </w:r>
          </w:p>
        </w:tc>
        <w:tc>
          <w:tcPr>
            <w:tcW w:type="dxa" w:w="1999"/>
          </w:tcPr>
          <w:p>
            <w:pPr>
              <w:jc w:val="left"/>
            </w:pPr>
            <w:r/>
            <w:r>
              <w:rPr>
                <w:b w:val="0"/>
                <w:color w:val="262B30"/>
                <w:sz w:val="15"/>
              </w:rPr>
              <w:t>Assemble inputs, reconcile facts, draft narrative, highlight unresolved issues</w:t>
            </w:r>
          </w:p>
        </w:tc>
        <w:tc>
          <w:tcPr>
            <w:tcW w:type="dxa" w:w="1999"/>
          </w:tcPr>
          <w:p>
            <w:pPr>
              <w:jc w:val="left"/>
            </w:pPr>
            <w:r/>
            <w:r>
              <w:rPr>
                <w:b w:val="0"/>
                <w:color w:val="262B30"/>
                <w:sz w:val="15"/>
              </w:rPr>
              <w:t>High</w:t>
            </w:r>
          </w:p>
        </w:tc>
        <w:tc>
          <w:tcPr>
            <w:tcW w:type="dxa" w:w="1999"/>
          </w:tcPr>
          <w:p>
            <w:pPr>
              <w:jc w:val="left"/>
            </w:pPr>
            <w:r/>
            <w:r>
              <w:rPr>
                <w:b w:val="0"/>
                <w:color w:val="262B30"/>
                <w:sz w:val="15"/>
              </w:rPr>
              <w:t>L2–L3</w:t>
            </w:r>
          </w:p>
        </w:tc>
        <w:tc>
          <w:tcPr>
            <w:tcW w:type="dxa" w:w="1999"/>
          </w:tcPr>
          <w:p>
            <w:pPr>
              <w:jc w:val="left"/>
            </w:pPr>
            <w:r/>
            <w:r>
              <w:rPr>
                <w:b w:val="0"/>
                <w:color w:val="262B30"/>
                <w:sz w:val="15"/>
              </w:rPr>
              <w:t>Source locking + deterministic calculations</w:t>
            </w:r>
          </w:p>
        </w:tc>
      </w:tr>
      <w:tr>
        <w:trPr>
          <w:cantSplit/>
        </w:trPr>
        <w:tc>
          <w:tcPr>
            <w:tcW w:type="dxa" w:w="1999"/>
            <w:shd w:fill="F7F9FB"/>
          </w:tcPr>
          <w:p>
            <w:pPr>
              <w:jc w:val="left"/>
            </w:pPr>
            <w:r/>
            <w:r>
              <w:rPr>
                <w:b/>
                <w:color w:val="262B30"/>
                <w:sz w:val="15"/>
              </w:rPr>
              <w:t>Risk &amp; compliance surveillance</w:t>
            </w:r>
          </w:p>
        </w:tc>
        <w:tc>
          <w:tcPr>
            <w:tcW w:type="dxa" w:w="1999"/>
            <w:shd w:fill="F7F9FB"/>
          </w:tcPr>
          <w:p>
            <w:pPr>
              <w:jc w:val="left"/>
            </w:pPr>
            <w:r/>
            <w:r>
              <w:rPr>
                <w:b w:val="0"/>
                <w:color w:val="262B30"/>
                <w:sz w:val="15"/>
              </w:rPr>
              <w:t>Continuous monitoring of policy breaches / anomalies / exceptions</w:t>
            </w:r>
          </w:p>
        </w:tc>
        <w:tc>
          <w:tcPr>
            <w:tcW w:type="dxa" w:w="1999"/>
            <w:shd w:fill="F7F9FB"/>
          </w:tcPr>
          <w:p>
            <w:pPr>
              <w:jc w:val="left"/>
            </w:pPr>
            <w:r/>
            <w:r>
              <w:rPr>
                <w:b w:val="0"/>
                <w:color w:val="262B30"/>
                <w:sz w:val="15"/>
              </w:rPr>
              <w:t>Very high</w:t>
            </w:r>
          </w:p>
        </w:tc>
        <w:tc>
          <w:tcPr>
            <w:tcW w:type="dxa" w:w="1999"/>
            <w:shd w:fill="F7F9FB"/>
          </w:tcPr>
          <w:p>
            <w:pPr>
              <w:jc w:val="left"/>
            </w:pPr>
            <w:r/>
            <w:r>
              <w:rPr>
                <w:b w:val="0"/>
                <w:color w:val="262B30"/>
                <w:sz w:val="15"/>
              </w:rPr>
              <w:t>L2–L4</w:t>
            </w:r>
          </w:p>
        </w:tc>
        <w:tc>
          <w:tcPr>
            <w:tcW w:type="dxa" w:w="1999"/>
            <w:shd w:fill="F7F9FB"/>
          </w:tcPr>
          <w:p>
            <w:pPr>
              <w:jc w:val="left"/>
            </w:pPr>
            <w:r/>
            <w:r>
              <w:rPr>
                <w:b w:val="0"/>
                <w:color w:val="262B30"/>
                <w:sz w:val="15"/>
              </w:rPr>
              <w:t>Low false-positive rate + audit trail</w:t>
            </w:r>
          </w:p>
        </w:tc>
      </w:tr>
      <w:tr>
        <w:trPr>
          <w:cantSplit/>
        </w:trPr>
        <w:tc>
          <w:tcPr>
            <w:tcW w:type="dxa" w:w="1999"/>
          </w:tcPr>
          <w:p>
            <w:pPr>
              <w:jc w:val="left"/>
            </w:pPr>
            <w:r/>
            <w:r>
              <w:rPr>
                <w:b/>
                <w:color w:val="262B30"/>
                <w:sz w:val="15"/>
              </w:rPr>
              <w:t>Operations exception resolution</w:t>
            </w:r>
          </w:p>
        </w:tc>
        <w:tc>
          <w:tcPr>
            <w:tcW w:type="dxa" w:w="1999"/>
          </w:tcPr>
          <w:p>
            <w:pPr>
              <w:jc w:val="left"/>
            </w:pPr>
            <w:r/>
            <w:r>
              <w:rPr>
                <w:b w:val="0"/>
                <w:color w:val="262B30"/>
                <w:sz w:val="15"/>
              </w:rPr>
              <w:t>Investigate breaks, classify root cause, propose remediation, route cases</w:t>
            </w:r>
          </w:p>
        </w:tc>
        <w:tc>
          <w:tcPr>
            <w:tcW w:type="dxa" w:w="1999"/>
          </w:tcPr>
          <w:p>
            <w:pPr>
              <w:jc w:val="left"/>
            </w:pPr>
            <w:r/>
            <w:r>
              <w:rPr>
                <w:b w:val="0"/>
                <w:color w:val="262B30"/>
                <w:sz w:val="15"/>
              </w:rPr>
              <w:t>Very high</w:t>
            </w:r>
          </w:p>
        </w:tc>
        <w:tc>
          <w:tcPr>
            <w:tcW w:type="dxa" w:w="1999"/>
          </w:tcPr>
          <w:p>
            <w:pPr>
              <w:jc w:val="left"/>
            </w:pPr>
            <w:r/>
            <w:r>
              <w:rPr>
                <w:b w:val="0"/>
                <w:color w:val="262B30"/>
                <w:sz w:val="15"/>
              </w:rPr>
              <w:t>L2–L4</w:t>
            </w:r>
          </w:p>
        </w:tc>
        <w:tc>
          <w:tcPr>
            <w:tcW w:type="dxa" w:w="1999"/>
          </w:tcPr>
          <w:p>
            <w:pPr>
              <w:jc w:val="left"/>
            </w:pPr>
            <w:r/>
            <w:r>
              <w:rPr>
                <w:b w:val="0"/>
                <w:color w:val="262B30"/>
                <w:sz w:val="15"/>
              </w:rPr>
              <w:t>Deterministic case management + approvals</w:t>
            </w:r>
          </w:p>
        </w:tc>
      </w:tr>
      <w:tr>
        <w:trPr>
          <w:cantSplit/>
        </w:trPr>
        <w:tc>
          <w:tcPr>
            <w:tcW w:type="dxa" w:w="1999"/>
            <w:shd w:fill="F7F9FB"/>
          </w:tcPr>
          <w:p>
            <w:pPr>
              <w:jc w:val="left"/>
            </w:pPr>
            <w:r/>
            <w:r>
              <w:rPr>
                <w:b/>
                <w:color w:val="262B30"/>
                <w:sz w:val="15"/>
              </w:rPr>
              <w:t>Data quality steward</w:t>
            </w:r>
          </w:p>
        </w:tc>
        <w:tc>
          <w:tcPr>
            <w:tcW w:type="dxa" w:w="1999"/>
            <w:shd w:fill="F7F9FB"/>
          </w:tcPr>
          <w:p>
            <w:pPr>
              <w:jc w:val="left"/>
            </w:pPr>
            <w:r/>
            <w:r>
              <w:rPr>
                <w:b w:val="0"/>
                <w:color w:val="262B30"/>
                <w:sz w:val="15"/>
              </w:rPr>
              <w:t>Profile data, detect anomalies, open remediation tickets, track closure</w:t>
            </w:r>
          </w:p>
        </w:tc>
        <w:tc>
          <w:tcPr>
            <w:tcW w:type="dxa" w:w="1999"/>
            <w:shd w:fill="F7F9FB"/>
          </w:tcPr>
          <w:p>
            <w:pPr>
              <w:jc w:val="left"/>
            </w:pPr>
            <w:r/>
            <w:r>
              <w:rPr>
                <w:b w:val="0"/>
                <w:color w:val="262B30"/>
                <w:sz w:val="15"/>
              </w:rPr>
              <w:t>High</w:t>
            </w:r>
          </w:p>
        </w:tc>
        <w:tc>
          <w:tcPr>
            <w:tcW w:type="dxa" w:w="1999"/>
            <w:shd w:fill="F7F9FB"/>
          </w:tcPr>
          <w:p>
            <w:pPr>
              <w:jc w:val="left"/>
            </w:pPr>
            <w:r/>
            <w:r>
              <w:rPr>
                <w:b w:val="0"/>
                <w:color w:val="262B30"/>
                <w:sz w:val="15"/>
              </w:rPr>
              <w:t>L2–L4</w:t>
            </w:r>
          </w:p>
        </w:tc>
        <w:tc>
          <w:tcPr>
            <w:tcW w:type="dxa" w:w="1999"/>
            <w:shd w:fill="F7F9FB"/>
          </w:tcPr>
          <w:p>
            <w:pPr>
              <w:jc w:val="left"/>
            </w:pPr>
            <w:r/>
            <w:r>
              <w:rPr>
                <w:b w:val="0"/>
                <w:color w:val="262B30"/>
                <w:sz w:val="15"/>
              </w:rPr>
              <w:t>Data quality rules + bounded writes</w:t>
            </w:r>
          </w:p>
        </w:tc>
      </w:tr>
      <w:tr>
        <w:trPr>
          <w:cantSplit/>
        </w:trPr>
        <w:tc>
          <w:tcPr>
            <w:tcW w:type="dxa" w:w="1999"/>
          </w:tcPr>
          <w:p>
            <w:pPr>
              <w:jc w:val="left"/>
            </w:pPr>
            <w:r/>
            <w:r>
              <w:rPr>
                <w:b/>
                <w:color w:val="262B30"/>
                <w:sz w:val="15"/>
              </w:rPr>
              <w:t>Legal / policy assistant</w:t>
            </w:r>
          </w:p>
        </w:tc>
        <w:tc>
          <w:tcPr>
            <w:tcW w:type="dxa" w:w="1999"/>
          </w:tcPr>
          <w:p>
            <w:pPr>
              <w:jc w:val="left"/>
            </w:pPr>
            <w:r/>
            <w:r>
              <w:rPr>
                <w:b w:val="0"/>
                <w:color w:val="262B30"/>
                <w:sz w:val="15"/>
              </w:rPr>
              <w:t>Find policies, precedents, clauses, obligations; draft review packs</w:t>
            </w:r>
          </w:p>
        </w:tc>
        <w:tc>
          <w:tcPr>
            <w:tcW w:type="dxa" w:w="1999"/>
          </w:tcPr>
          <w:p>
            <w:pPr>
              <w:jc w:val="left"/>
            </w:pPr>
            <w:r/>
            <w:r>
              <w:rPr>
                <w:b w:val="0"/>
                <w:color w:val="262B30"/>
                <w:sz w:val="15"/>
              </w:rPr>
              <w:t>High</w:t>
            </w:r>
          </w:p>
        </w:tc>
        <w:tc>
          <w:tcPr>
            <w:tcW w:type="dxa" w:w="1999"/>
          </w:tcPr>
          <w:p>
            <w:pPr>
              <w:jc w:val="left"/>
            </w:pPr>
            <w:r/>
            <w:r>
              <w:rPr>
                <w:b w:val="0"/>
                <w:color w:val="262B30"/>
                <w:sz w:val="15"/>
              </w:rPr>
              <w:t>L1–L2</w:t>
            </w:r>
          </w:p>
        </w:tc>
        <w:tc>
          <w:tcPr>
            <w:tcW w:type="dxa" w:w="1999"/>
          </w:tcPr>
          <w:p>
            <w:pPr>
              <w:jc w:val="left"/>
            </w:pPr>
            <w:r/>
            <w:r>
              <w:rPr>
                <w:b w:val="0"/>
                <w:color w:val="262B30"/>
                <w:sz w:val="15"/>
              </w:rPr>
              <w:t>Matter-level access controls; legal privilege boundaries</w:t>
            </w:r>
          </w:p>
        </w:tc>
      </w:tr>
      <w:tr>
        <w:trPr>
          <w:cantSplit/>
        </w:trPr>
        <w:tc>
          <w:tcPr>
            <w:tcW w:type="dxa" w:w="1999"/>
            <w:shd w:fill="F7F9FB"/>
          </w:tcPr>
          <w:p>
            <w:pPr>
              <w:jc w:val="left"/>
            </w:pPr>
            <w:r/>
            <w:r>
              <w:rPr>
                <w:b/>
                <w:color w:val="262B30"/>
                <w:sz w:val="15"/>
              </w:rPr>
              <w:t>Treasury / cash operations</w:t>
            </w:r>
          </w:p>
        </w:tc>
        <w:tc>
          <w:tcPr>
            <w:tcW w:type="dxa" w:w="1999"/>
            <w:shd w:fill="F7F9FB"/>
          </w:tcPr>
          <w:p>
            <w:pPr>
              <w:jc w:val="left"/>
            </w:pPr>
            <w:r/>
            <w:r>
              <w:rPr>
                <w:b w:val="0"/>
                <w:color w:val="262B30"/>
                <w:sz w:val="15"/>
              </w:rPr>
              <w:t>Cash forecast, reconciliation, exception handling, payment preparation</w:t>
            </w:r>
          </w:p>
        </w:tc>
        <w:tc>
          <w:tcPr>
            <w:tcW w:type="dxa" w:w="1999"/>
            <w:shd w:fill="F7F9FB"/>
          </w:tcPr>
          <w:p>
            <w:pPr>
              <w:jc w:val="left"/>
            </w:pPr>
            <w:r/>
            <w:r>
              <w:rPr>
                <w:b w:val="0"/>
                <w:color w:val="262B30"/>
                <w:sz w:val="15"/>
              </w:rPr>
              <w:t>High</w:t>
            </w:r>
          </w:p>
        </w:tc>
        <w:tc>
          <w:tcPr>
            <w:tcW w:type="dxa" w:w="1999"/>
            <w:shd w:fill="F7F9FB"/>
          </w:tcPr>
          <w:p>
            <w:pPr>
              <w:jc w:val="left"/>
            </w:pPr>
            <w:r/>
            <w:r>
              <w:rPr>
                <w:b w:val="0"/>
                <w:color w:val="262B30"/>
                <w:sz w:val="15"/>
              </w:rPr>
              <w:t>L2–L3</w:t>
            </w:r>
          </w:p>
        </w:tc>
        <w:tc>
          <w:tcPr>
            <w:tcW w:type="dxa" w:w="1999"/>
            <w:shd w:fill="F7F9FB"/>
          </w:tcPr>
          <w:p>
            <w:pPr>
              <w:jc w:val="left"/>
            </w:pPr>
            <w:r/>
            <w:r>
              <w:rPr>
                <w:b w:val="0"/>
                <w:color w:val="262B30"/>
                <w:sz w:val="15"/>
              </w:rPr>
              <w:t>Strict transaction controls and dual approval</w:t>
            </w:r>
          </w:p>
        </w:tc>
      </w:tr>
      <w:tr>
        <w:trPr>
          <w:cantSplit/>
        </w:trPr>
        <w:tc>
          <w:tcPr>
            <w:tcW w:type="dxa" w:w="1999"/>
          </w:tcPr>
          <w:p>
            <w:pPr>
              <w:jc w:val="left"/>
            </w:pPr>
            <w:r/>
            <w:r>
              <w:rPr>
                <w:b/>
                <w:color w:val="262B30"/>
                <w:sz w:val="15"/>
              </w:rPr>
              <w:t>Corporate services</w:t>
            </w:r>
          </w:p>
        </w:tc>
        <w:tc>
          <w:tcPr>
            <w:tcW w:type="dxa" w:w="1999"/>
          </w:tcPr>
          <w:p>
            <w:pPr>
              <w:jc w:val="left"/>
            </w:pPr>
            <w:r/>
            <w:r>
              <w:rPr>
                <w:b w:val="0"/>
                <w:color w:val="262B30"/>
                <w:sz w:val="15"/>
              </w:rPr>
              <w:t>HR / procurement / IT service workflows and knowledge</w:t>
            </w:r>
          </w:p>
        </w:tc>
        <w:tc>
          <w:tcPr>
            <w:tcW w:type="dxa" w:w="1999"/>
          </w:tcPr>
          <w:p>
            <w:pPr>
              <w:jc w:val="left"/>
            </w:pPr>
            <w:r/>
            <w:r>
              <w:rPr>
                <w:b w:val="0"/>
                <w:color w:val="262B30"/>
                <w:sz w:val="15"/>
              </w:rPr>
              <w:t>High</w:t>
            </w:r>
          </w:p>
        </w:tc>
        <w:tc>
          <w:tcPr>
            <w:tcW w:type="dxa" w:w="1999"/>
          </w:tcPr>
          <w:p>
            <w:pPr>
              <w:jc w:val="left"/>
            </w:pPr>
            <w:r/>
            <w:r>
              <w:rPr>
                <w:b w:val="0"/>
                <w:color w:val="262B30"/>
                <w:sz w:val="15"/>
              </w:rPr>
              <w:t>L2–L4</w:t>
            </w:r>
          </w:p>
        </w:tc>
        <w:tc>
          <w:tcPr>
            <w:tcW w:type="dxa" w:w="1999"/>
          </w:tcPr>
          <w:p>
            <w:pPr>
              <w:jc w:val="left"/>
            </w:pPr>
            <w:r/>
            <w:r>
              <w:rPr>
                <w:b w:val="0"/>
                <w:color w:val="262B30"/>
                <w:sz w:val="15"/>
              </w:rPr>
              <w:t>Lower-risk automation domain to build platform muscle</w:t>
            </w:r>
          </w:p>
        </w:tc>
      </w:tr>
      <w:tr>
        <w:trPr>
          <w:cantSplit/>
        </w:trPr>
        <w:tc>
          <w:tcPr>
            <w:tcW w:type="dxa" w:w="1999"/>
            <w:shd w:fill="F7F9FB"/>
          </w:tcPr>
          <w:p>
            <w:pPr>
              <w:jc w:val="left"/>
            </w:pPr>
            <w:r/>
            <w:r>
              <w:rPr>
                <w:b/>
                <w:color w:val="262B30"/>
                <w:sz w:val="15"/>
              </w:rPr>
              <w:t>Executive intelligence</w:t>
            </w:r>
          </w:p>
        </w:tc>
        <w:tc>
          <w:tcPr>
            <w:tcW w:type="dxa" w:w="1999"/>
            <w:shd w:fill="F7F9FB"/>
          </w:tcPr>
          <w:p>
            <w:pPr>
              <w:jc w:val="left"/>
            </w:pPr>
            <w:r/>
            <w:r>
              <w:rPr>
                <w:b w:val="0"/>
                <w:color w:val="262B30"/>
                <w:sz w:val="15"/>
              </w:rPr>
              <w:t>Daily operating brief, emerging risks, cross-domain questions</w:t>
            </w:r>
          </w:p>
        </w:tc>
        <w:tc>
          <w:tcPr>
            <w:tcW w:type="dxa" w:w="1999"/>
            <w:shd w:fill="F7F9FB"/>
          </w:tcPr>
          <w:p>
            <w:pPr>
              <w:jc w:val="left"/>
            </w:pPr>
            <w:r/>
            <w:r>
              <w:rPr>
                <w:b w:val="0"/>
                <w:color w:val="262B30"/>
                <w:sz w:val="15"/>
              </w:rPr>
              <w:t>High</w:t>
            </w:r>
          </w:p>
        </w:tc>
        <w:tc>
          <w:tcPr>
            <w:tcW w:type="dxa" w:w="1999"/>
            <w:shd w:fill="F7F9FB"/>
          </w:tcPr>
          <w:p>
            <w:pPr>
              <w:jc w:val="left"/>
            </w:pPr>
            <w:r/>
            <w:r>
              <w:rPr>
                <w:b w:val="0"/>
                <w:color w:val="262B30"/>
                <w:sz w:val="15"/>
              </w:rPr>
              <w:t>L1–L2</w:t>
            </w:r>
          </w:p>
        </w:tc>
        <w:tc>
          <w:tcPr>
            <w:tcW w:type="dxa" w:w="1999"/>
            <w:shd w:fill="F7F9FB"/>
          </w:tcPr>
          <w:p>
            <w:pPr>
              <w:jc w:val="left"/>
            </w:pPr>
            <w:r/>
            <w:r>
              <w:rPr>
                <w:b w:val="0"/>
                <w:color w:val="262B30"/>
                <w:sz w:val="15"/>
              </w:rPr>
              <w:t>Source provenance + confidence / unresolved issues</w:t>
            </w:r>
          </w:p>
        </w:tc>
      </w:tr>
      <w:tr>
        <w:trPr>
          <w:cantSplit/>
        </w:trPr>
        <w:tc>
          <w:tcPr>
            <w:tcW w:type="dxa" w:w="1999"/>
          </w:tcPr>
          <w:p>
            <w:pPr>
              <w:jc w:val="left"/>
            </w:pPr>
            <w:r/>
            <w:r>
              <w:rPr>
                <w:b/>
                <w:color w:val="262B30"/>
                <w:sz w:val="15"/>
              </w:rPr>
              <w:t>Autonomous control-room agent</w:t>
            </w:r>
          </w:p>
        </w:tc>
        <w:tc>
          <w:tcPr>
            <w:tcW w:type="dxa" w:w="1999"/>
          </w:tcPr>
          <w:p>
            <w:pPr>
              <w:jc w:val="left"/>
            </w:pPr>
            <w:r/>
            <w:r>
              <w:rPr>
                <w:b w:val="0"/>
                <w:color w:val="262B30"/>
                <w:sz w:val="15"/>
              </w:rPr>
              <w:t>Continuously monitors defined operational objectives and triggers remediation</w:t>
            </w:r>
          </w:p>
        </w:tc>
        <w:tc>
          <w:tcPr>
            <w:tcW w:type="dxa" w:w="1999"/>
          </w:tcPr>
          <w:p>
            <w:pPr>
              <w:jc w:val="left"/>
            </w:pPr>
            <w:r/>
            <w:r>
              <w:rPr>
                <w:b w:val="0"/>
                <w:color w:val="262B30"/>
                <w:sz w:val="15"/>
              </w:rPr>
              <w:t>Strategic</w:t>
            </w:r>
          </w:p>
        </w:tc>
        <w:tc>
          <w:tcPr>
            <w:tcW w:type="dxa" w:w="1999"/>
          </w:tcPr>
          <w:p>
            <w:pPr>
              <w:jc w:val="left"/>
            </w:pPr>
            <w:r/>
            <w:r>
              <w:rPr>
                <w:b w:val="0"/>
                <w:color w:val="262B30"/>
                <w:sz w:val="15"/>
              </w:rPr>
              <w:t>L4</w:t>
            </w:r>
          </w:p>
        </w:tc>
        <w:tc>
          <w:tcPr>
            <w:tcW w:type="dxa" w:w="1999"/>
          </w:tcPr>
          <w:p>
            <w:pPr>
              <w:jc w:val="left"/>
            </w:pPr>
            <w:r/>
            <w:r>
              <w:rPr>
                <w:b w:val="0"/>
                <w:color w:val="262B30"/>
                <w:sz w:val="15"/>
              </w:rPr>
              <w:t>Goal spec, budgets, stop conditions, rollback</w:t>
            </w:r>
          </w:p>
        </w:tc>
      </w:tr>
    </w:tbl>
    <w:p>
      <w:pPr>
        <w:pStyle w:val="Heading1"/>
      </w:pPr>
      <w:r>
        <w:t>14. Roadmap — 24 Months</w:t>
      </w:r>
    </w:p>
    <w:p>
      <w:r>
        <w:t>Sequencing matters. The platform should earn trust before it earns autonomy. Each phase delivers both business value and a reusable platform capability.</w:t>
      </w:r>
    </w:p>
    <w:tbl>
      <w:tblPr>
        <w:tblW w:type="auto" w:w="0"/>
        <w:jc w:val="center"/>
        <w:tblLook w:firstColumn="1" w:firstRow="1" w:lastColumn="0" w:lastRow="0" w:noHBand="0" w:noVBand="1" w:val="04A0"/>
      </w:tblPr>
      <w:tblGrid>
        <w:gridCol w:w="2498"/>
        <w:gridCol w:w="2498"/>
        <w:gridCol w:w="2498"/>
        <w:gridCol w:w="2498"/>
      </w:tblGrid>
      <w:tr>
        <w:trPr>
          <w:tblHeader w:val="true"/>
        </w:trPr>
        <w:tc>
          <w:tcPr>
            <w:tcW w:type="dxa" w:w="1512"/>
            <w:shd w:fill="193048"/>
          </w:tcPr>
          <w:p>
            <w:pPr>
              <w:jc w:val="left"/>
            </w:pPr>
            <w:r/>
            <w:r>
              <w:rPr>
                <w:b/>
                <w:color w:val="FFFFFF"/>
                <w:sz w:val="16"/>
              </w:rPr>
              <w:t>Phase</w:t>
            </w:r>
          </w:p>
        </w:tc>
        <w:tc>
          <w:tcPr>
            <w:tcW w:type="dxa" w:w="1800"/>
            <w:shd w:fill="193048"/>
          </w:tcPr>
          <w:p>
            <w:pPr>
              <w:jc w:val="left"/>
            </w:pPr>
            <w:r/>
            <w:r>
              <w:rPr>
                <w:b/>
                <w:color w:val="FFFFFF"/>
                <w:sz w:val="16"/>
              </w:rPr>
              <w:t>Theme</w:t>
            </w:r>
          </w:p>
        </w:tc>
        <w:tc>
          <w:tcPr>
            <w:tcW w:type="dxa" w:w="4536"/>
            <w:shd w:fill="193048"/>
          </w:tcPr>
          <w:p>
            <w:pPr>
              <w:jc w:val="left"/>
            </w:pPr>
            <w:r/>
            <w:r>
              <w:rPr>
                <w:b/>
                <w:color w:val="FFFFFF"/>
                <w:sz w:val="16"/>
              </w:rPr>
              <w:t>Platform / control deliverables</w:t>
            </w:r>
          </w:p>
        </w:tc>
        <w:tc>
          <w:tcPr>
            <w:tcW w:type="dxa" w:w="2160"/>
            <w:shd w:fill="193048"/>
          </w:tcPr>
          <w:p>
            <w:pPr>
              <w:jc w:val="left"/>
            </w:pPr>
            <w:r/>
            <w:r>
              <w:rPr>
                <w:b/>
                <w:color w:val="FFFFFF"/>
                <w:sz w:val="16"/>
              </w:rPr>
              <w:t>Outcome</w:t>
            </w:r>
          </w:p>
        </w:tc>
      </w:tr>
      <w:tr>
        <w:trPr>
          <w:cantSplit/>
        </w:trPr>
        <w:tc>
          <w:tcPr>
            <w:tcW w:type="dxa" w:w="2498"/>
            <w:shd w:fill="F7F9FB"/>
          </w:tcPr>
          <w:p>
            <w:pPr>
              <w:jc w:val="left"/>
            </w:pPr>
            <w:r/>
            <w:r>
              <w:rPr>
                <w:b/>
                <w:color w:val="262B30"/>
                <w:sz w:val="15"/>
              </w:rPr>
              <w:t>Phase 0 | 0–3 months</w:t>
            </w:r>
          </w:p>
        </w:tc>
        <w:tc>
          <w:tcPr>
            <w:tcW w:type="dxa" w:w="2498"/>
            <w:shd w:fill="F7F9FB"/>
          </w:tcPr>
          <w:p>
            <w:pPr>
              <w:jc w:val="left"/>
            </w:pPr>
            <w:r/>
            <w:r>
              <w:rPr>
                <w:b w:val="0"/>
                <w:color w:val="262B30"/>
                <w:sz w:val="15"/>
              </w:rPr>
              <w:t>Foundation and policy</w:t>
            </w:r>
          </w:p>
        </w:tc>
        <w:tc>
          <w:tcPr>
            <w:tcW w:type="dxa" w:w="2498"/>
            <w:shd w:fill="F7F9FB"/>
          </w:tcPr>
          <w:p>
            <w:pPr>
              <w:jc w:val="left"/>
            </w:pPr>
            <w:r/>
            <w:r>
              <w:rPr>
                <w:b w:val="0"/>
                <w:color w:val="262B30"/>
                <w:sz w:val="15"/>
              </w:rPr>
              <w:t>Platform charter; use-case register; AI risk taxonomy; identity model; Bedrock model catalog; secure runtime pattern; telemetry; evaluation harness; first knowledge domain</w:t>
            </w:r>
          </w:p>
        </w:tc>
        <w:tc>
          <w:tcPr>
            <w:tcW w:type="dxa" w:w="2498"/>
            <w:shd w:fill="F7F9FB"/>
          </w:tcPr>
          <w:p>
            <w:pPr>
              <w:jc w:val="left"/>
            </w:pPr>
            <w:r/>
            <w:r>
              <w:rPr>
                <w:b w:val="0"/>
                <w:color w:val="262B30"/>
                <w:sz w:val="15"/>
              </w:rPr>
              <w:t>Enterprise AI platform baseline; 2–3 lighthouse copilots</w:t>
            </w:r>
          </w:p>
        </w:tc>
      </w:tr>
      <w:tr>
        <w:trPr>
          <w:cantSplit/>
        </w:trPr>
        <w:tc>
          <w:tcPr>
            <w:tcW w:type="dxa" w:w="2498"/>
          </w:tcPr>
          <w:p>
            <w:pPr>
              <w:jc w:val="left"/>
            </w:pPr>
            <w:r/>
            <w:r>
              <w:rPr>
                <w:b/>
                <w:color w:val="262B30"/>
                <w:sz w:val="15"/>
              </w:rPr>
              <w:t>Phase 1 | 3–6 months</w:t>
            </w:r>
          </w:p>
        </w:tc>
        <w:tc>
          <w:tcPr>
            <w:tcW w:type="dxa" w:w="2498"/>
          </w:tcPr>
          <w:p>
            <w:pPr>
              <w:jc w:val="left"/>
            </w:pPr>
            <w:r/>
            <w:r>
              <w:rPr>
                <w:b w:val="0"/>
                <w:color w:val="262B30"/>
                <w:sz w:val="15"/>
              </w:rPr>
              <w:t>AI assistant at scale</w:t>
            </w:r>
          </w:p>
        </w:tc>
        <w:tc>
          <w:tcPr>
            <w:tcW w:type="dxa" w:w="2498"/>
          </w:tcPr>
          <w:p>
            <w:pPr>
              <w:jc w:val="left"/>
            </w:pPr>
            <w:r/>
            <w:r>
              <w:rPr>
                <w:b w:val="0"/>
                <w:color w:val="262B30"/>
                <w:sz w:val="15"/>
              </w:rPr>
              <w:t>Unified AI workspace; governed enterprise search/RAG; citations; role-aware retrieval; tool registry; prompt / agent templates; FinOps dashboards</w:t>
            </w:r>
          </w:p>
        </w:tc>
        <w:tc>
          <w:tcPr>
            <w:tcW w:type="dxa" w:w="2498"/>
          </w:tcPr>
          <w:p>
            <w:pPr>
              <w:jc w:val="left"/>
            </w:pPr>
            <w:r/>
            <w:r>
              <w:rPr>
                <w:b w:val="0"/>
                <w:color w:val="262B30"/>
                <w:sz w:val="15"/>
              </w:rPr>
              <w:t>5–10 high-value assistants across investment + corporate functions</w:t>
            </w:r>
          </w:p>
        </w:tc>
      </w:tr>
      <w:tr>
        <w:trPr>
          <w:cantSplit/>
        </w:trPr>
        <w:tc>
          <w:tcPr>
            <w:tcW w:type="dxa" w:w="2498"/>
            <w:shd w:fill="F7F9FB"/>
          </w:tcPr>
          <w:p>
            <w:pPr>
              <w:jc w:val="left"/>
            </w:pPr>
            <w:r/>
            <w:r>
              <w:rPr>
                <w:b/>
                <w:color w:val="262B30"/>
                <w:sz w:val="15"/>
              </w:rPr>
              <w:t>Phase 2 | 6–12 months</w:t>
            </w:r>
          </w:p>
        </w:tc>
        <w:tc>
          <w:tcPr>
            <w:tcW w:type="dxa" w:w="2498"/>
            <w:shd w:fill="F7F9FB"/>
          </w:tcPr>
          <w:p>
            <w:pPr>
              <w:jc w:val="left"/>
            </w:pPr>
            <w:r/>
            <w:r>
              <w:rPr>
                <w:b w:val="0"/>
                <w:color w:val="262B30"/>
                <w:sz w:val="15"/>
              </w:rPr>
              <w:t>Workflow execution</w:t>
            </w:r>
          </w:p>
        </w:tc>
        <w:tc>
          <w:tcPr>
            <w:tcW w:type="dxa" w:w="2498"/>
            <w:shd w:fill="F7F9FB"/>
          </w:tcPr>
          <w:p>
            <w:pPr>
              <w:jc w:val="left"/>
            </w:pPr>
            <w:r/>
            <w:r>
              <w:rPr>
                <w:b w:val="0"/>
                <w:color w:val="262B30"/>
                <w:sz w:val="15"/>
              </w:rPr>
              <w:t>Workflow adapters; approvals; deterministic orchestration; agentic exception handling; memory; event-driven triggers; structured audit</w:t>
            </w:r>
          </w:p>
        </w:tc>
        <w:tc>
          <w:tcPr>
            <w:tcW w:type="dxa" w:w="2498"/>
            <w:shd w:fill="F7F9FB"/>
          </w:tcPr>
          <w:p>
            <w:pPr>
              <w:jc w:val="left"/>
            </w:pPr>
            <w:r/>
            <w:r>
              <w:rPr>
                <w:b w:val="0"/>
                <w:color w:val="262B30"/>
                <w:sz w:val="15"/>
              </w:rPr>
              <w:t>20+ production workflows; measurable time-to-completion gains</w:t>
            </w:r>
          </w:p>
        </w:tc>
      </w:tr>
      <w:tr>
        <w:trPr>
          <w:cantSplit/>
        </w:trPr>
        <w:tc>
          <w:tcPr>
            <w:tcW w:type="dxa" w:w="2498"/>
          </w:tcPr>
          <w:p>
            <w:pPr>
              <w:jc w:val="left"/>
            </w:pPr>
            <w:r/>
            <w:r>
              <w:rPr>
                <w:b/>
                <w:color w:val="262B30"/>
                <w:sz w:val="15"/>
              </w:rPr>
              <w:t>Phase 3 | 12–18 months</w:t>
            </w:r>
          </w:p>
        </w:tc>
        <w:tc>
          <w:tcPr>
            <w:tcW w:type="dxa" w:w="2498"/>
          </w:tcPr>
          <w:p>
            <w:pPr>
              <w:jc w:val="left"/>
            </w:pPr>
            <w:r/>
            <w:r>
              <w:rPr>
                <w:b w:val="0"/>
                <w:color w:val="262B30"/>
                <w:sz w:val="15"/>
              </w:rPr>
              <w:t>Bounded autonomy</w:t>
            </w:r>
          </w:p>
        </w:tc>
        <w:tc>
          <w:tcPr>
            <w:tcW w:type="dxa" w:w="2498"/>
          </w:tcPr>
          <w:p>
            <w:pPr>
              <w:jc w:val="left"/>
            </w:pPr>
            <w:r/>
            <w:r>
              <w:rPr>
                <w:b w:val="0"/>
                <w:color w:val="262B30"/>
                <w:sz w:val="15"/>
              </w:rPr>
              <w:t>Goal objects; budgets; policy engine; autonomous monitoring; multi-step agents; dynamic planning; rollback patterns</w:t>
            </w:r>
          </w:p>
        </w:tc>
        <w:tc>
          <w:tcPr>
            <w:tcW w:type="dxa" w:w="2498"/>
          </w:tcPr>
          <w:p>
            <w:pPr>
              <w:jc w:val="left"/>
            </w:pPr>
            <w:r/>
            <w:r>
              <w:rPr>
                <w:b w:val="0"/>
                <w:color w:val="262B30"/>
                <w:sz w:val="15"/>
              </w:rPr>
              <w:t>Selected L4 workflows with hard policy boundaries</w:t>
            </w:r>
          </w:p>
        </w:tc>
      </w:tr>
      <w:tr>
        <w:trPr>
          <w:cantSplit/>
        </w:trPr>
        <w:tc>
          <w:tcPr>
            <w:tcW w:type="dxa" w:w="2498"/>
            <w:shd w:fill="F7F9FB"/>
          </w:tcPr>
          <w:p>
            <w:pPr>
              <w:jc w:val="left"/>
            </w:pPr>
            <w:r/>
            <w:r>
              <w:rPr>
                <w:b/>
                <w:color w:val="262B30"/>
                <w:sz w:val="15"/>
              </w:rPr>
              <w:t>Phase 4 | 18–24 months</w:t>
            </w:r>
          </w:p>
        </w:tc>
        <w:tc>
          <w:tcPr>
            <w:tcW w:type="dxa" w:w="2498"/>
            <w:shd w:fill="F7F9FB"/>
          </w:tcPr>
          <w:p>
            <w:pPr>
              <w:jc w:val="left"/>
            </w:pPr>
            <w:r/>
            <w:r>
              <w:rPr>
                <w:b w:val="0"/>
                <w:color w:val="262B30"/>
                <w:sz w:val="15"/>
              </w:rPr>
              <w:t>AI operating layer</w:t>
            </w:r>
          </w:p>
        </w:tc>
        <w:tc>
          <w:tcPr>
            <w:tcW w:type="dxa" w:w="2498"/>
            <w:shd w:fill="F7F9FB"/>
          </w:tcPr>
          <w:p>
            <w:pPr>
              <w:jc w:val="left"/>
            </w:pPr>
            <w:r/>
            <w:r>
              <w:rPr>
                <w:b w:val="0"/>
                <w:color w:val="262B30"/>
                <w:sz w:val="15"/>
              </w:rPr>
              <w:t>Cross-domain agent routing; institutional memory; proactive intelligence; continuous improvement loop; platform-as-a-product operating model</w:t>
            </w:r>
          </w:p>
        </w:tc>
        <w:tc>
          <w:tcPr>
            <w:tcW w:type="dxa" w:w="2498"/>
            <w:shd w:fill="F7F9FB"/>
          </w:tcPr>
          <w:p>
            <w:pPr>
              <w:jc w:val="left"/>
            </w:pPr>
            <w:r/>
            <w:r>
              <w:rPr>
                <w:b w:val="0"/>
                <w:color w:val="262B30"/>
                <w:sz w:val="15"/>
              </w:rPr>
              <w:t>AI becomes default interface for knowledge + work</w:t>
            </w:r>
          </w:p>
        </w:tc>
      </w:tr>
    </w:tbl>
    <w:p>
      <w:pPr>
        <w:pStyle w:val="Heading1"/>
      </w:pPr>
      <w:r>
        <w:t>15. Capability Roadmap by Platform Domain</w:t>
      </w:r>
    </w:p>
    <w:tbl>
      <w:tblPr>
        <w:tblW w:type="auto" w:w="0"/>
        <w:jc w:val="center"/>
        <w:tblLook w:firstColumn="1" w:firstRow="1" w:lastColumn="0" w:lastRow="0" w:noHBand="0" w:noVBand="1" w:val="04A0"/>
      </w:tblPr>
      <w:tblGrid>
        <w:gridCol w:w="1999"/>
        <w:gridCol w:w="1999"/>
        <w:gridCol w:w="1999"/>
        <w:gridCol w:w="1999"/>
        <w:gridCol w:w="1999"/>
      </w:tblGrid>
      <w:tr>
        <w:trPr>
          <w:tblHeader w:val="true"/>
        </w:trPr>
        <w:tc>
          <w:tcPr>
            <w:tcW w:type="dxa" w:w="1872"/>
            <w:shd w:fill="193048"/>
          </w:tcPr>
          <w:p>
            <w:pPr>
              <w:jc w:val="left"/>
            </w:pPr>
            <w:r/>
            <w:r>
              <w:rPr>
                <w:b/>
                <w:color w:val="FFFFFF"/>
                <w:sz w:val="16"/>
              </w:rPr>
              <w:t>Domain</w:t>
            </w:r>
          </w:p>
        </w:tc>
        <w:tc>
          <w:tcPr>
            <w:tcW w:type="dxa" w:w="2232"/>
            <w:shd w:fill="193048"/>
          </w:tcPr>
          <w:p>
            <w:pPr>
              <w:jc w:val="left"/>
            </w:pPr>
            <w:r/>
            <w:r>
              <w:rPr>
                <w:b/>
                <w:color w:val="FFFFFF"/>
                <w:sz w:val="16"/>
              </w:rPr>
              <w:t>Phase 1</w:t>
            </w:r>
          </w:p>
        </w:tc>
        <w:tc>
          <w:tcPr>
            <w:tcW w:type="dxa" w:w="2232"/>
            <w:shd w:fill="193048"/>
          </w:tcPr>
          <w:p>
            <w:pPr>
              <w:jc w:val="left"/>
            </w:pPr>
            <w:r/>
            <w:r>
              <w:rPr>
                <w:b/>
                <w:color w:val="FFFFFF"/>
                <w:sz w:val="16"/>
              </w:rPr>
              <w:t>Phase 2</w:t>
            </w:r>
          </w:p>
        </w:tc>
        <w:tc>
          <w:tcPr>
            <w:tcW w:type="dxa" w:w="2232"/>
            <w:shd w:fill="193048"/>
          </w:tcPr>
          <w:p>
            <w:pPr>
              <w:jc w:val="left"/>
            </w:pPr>
            <w:r/>
            <w:r>
              <w:rPr>
                <w:b/>
                <w:color w:val="FFFFFF"/>
                <w:sz w:val="16"/>
              </w:rPr>
              <w:t>Phase 3</w:t>
            </w:r>
          </w:p>
        </w:tc>
        <w:tc>
          <w:tcPr>
            <w:tcW w:type="dxa" w:w="2232"/>
            <w:shd w:fill="193048"/>
          </w:tcPr>
          <w:p>
            <w:pPr>
              <w:jc w:val="left"/>
            </w:pPr>
            <w:r/>
            <w:r>
              <w:rPr>
                <w:b/>
                <w:color w:val="FFFFFF"/>
                <w:sz w:val="16"/>
              </w:rPr>
              <w:t>Phase 4</w:t>
            </w:r>
          </w:p>
        </w:tc>
      </w:tr>
      <w:tr>
        <w:trPr>
          <w:cantSplit/>
        </w:trPr>
        <w:tc>
          <w:tcPr>
            <w:tcW w:type="dxa" w:w="1999"/>
            <w:shd w:fill="F7F9FB"/>
          </w:tcPr>
          <w:p>
            <w:pPr>
              <w:jc w:val="left"/>
            </w:pPr>
            <w:r/>
            <w:r>
              <w:rPr>
                <w:b/>
                <w:color w:val="262B30"/>
                <w:sz w:val="15"/>
              </w:rPr>
              <w:t>Model layer</w:t>
            </w:r>
          </w:p>
        </w:tc>
        <w:tc>
          <w:tcPr>
            <w:tcW w:type="dxa" w:w="1999"/>
            <w:shd w:fill="F7F9FB"/>
          </w:tcPr>
          <w:p>
            <w:pPr>
              <w:jc w:val="left"/>
            </w:pPr>
            <w:r/>
            <w:r>
              <w:rPr>
                <w:b w:val="0"/>
                <w:color w:val="262B30"/>
                <w:sz w:val="15"/>
              </w:rPr>
              <w:t>Approved model catalog</w:t>
            </w:r>
          </w:p>
        </w:tc>
        <w:tc>
          <w:tcPr>
            <w:tcW w:type="dxa" w:w="1999"/>
            <w:shd w:fill="F7F9FB"/>
          </w:tcPr>
          <w:p>
            <w:pPr>
              <w:jc w:val="left"/>
            </w:pPr>
            <w:r/>
            <w:r>
              <w:rPr>
                <w:b w:val="0"/>
                <w:color w:val="262B30"/>
                <w:sz w:val="15"/>
              </w:rPr>
              <w:t>Task routing</w:t>
            </w:r>
          </w:p>
        </w:tc>
        <w:tc>
          <w:tcPr>
            <w:tcW w:type="dxa" w:w="1999"/>
            <w:shd w:fill="F7F9FB"/>
          </w:tcPr>
          <w:p>
            <w:pPr>
              <w:jc w:val="left"/>
            </w:pPr>
            <w:r/>
            <w:r>
              <w:rPr>
                <w:b w:val="0"/>
                <w:color w:val="262B30"/>
                <w:sz w:val="15"/>
              </w:rPr>
              <w:t>Adaptive routing + fallback</w:t>
            </w:r>
          </w:p>
        </w:tc>
        <w:tc>
          <w:tcPr>
            <w:tcW w:type="dxa" w:w="1999"/>
            <w:shd w:fill="F7F9FB"/>
          </w:tcPr>
          <w:p>
            <w:pPr>
              <w:jc w:val="left"/>
            </w:pPr>
            <w:r/>
            <w:r>
              <w:rPr>
                <w:b w:val="0"/>
                <w:color w:val="262B30"/>
                <w:sz w:val="15"/>
              </w:rPr>
              <w:t>Continuous benchmark optimization</w:t>
            </w:r>
          </w:p>
        </w:tc>
      </w:tr>
      <w:tr>
        <w:trPr>
          <w:cantSplit/>
        </w:trPr>
        <w:tc>
          <w:tcPr>
            <w:tcW w:type="dxa" w:w="1999"/>
          </w:tcPr>
          <w:p>
            <w:pPr>
              <w:jc w:val="left"/>
            </w:pPr>
            <w:r/>
            <w:r>
              <w:rPr>
                <w:b/>
                <w:color w:val="262B30"/>
                <w:sz w:val="15"/>
              </w:rPr>
              <w:t>Agent runtime</w:t>
            </w:r>
          </w:p>
        </w:tc>
        <w:tc>
          <w:tcPr>
            <w:tcW w:type="dxa" w:w="1999"/>
          </w:tcPr>
          <w:p>
            <w:pPr>
              <w:jc w:val="left"/>
            </w:pPr>
            <w:r/>
            <w:r>
              <w:rPr>
                <w:b w:val="0"/>
                <w:color w:val="262B30"/>
                <w:sz w:val="15"/>
              </w:rPr>
              <w:t>Golden runtime pattern</w:t>
            </w:r>
          </w:p>
        </w:tc>
        <w:tc>
          <w:tcPr>
            <w:tcW w:type="dxa" w:w="1999"/>
          </w:tcPr>
          <w:p>
            <w:pPr>
              <w:jc w:val="left"/>
            </w:pPr>
            <w:r/>
            <w:r>
              <w:rPr>
                <w:b w:val="0"/>
                <w:color w:val="262B30"/>
                <w:sz w:val="15"/>
              </w:rPr>
              <w:t>Shared runtime + quotas</w:t>
            </w:r>
          </w:p>
        </w:tc>
        <w:tc>
          <w:tcPr>
            <w:tcW w:type="dxa" w:w="1999"/>
          </w:tcPr>
          <w:p>
            <w:pPr>
              <w:jc w:val="left"/>
            </w:pPr>
            <w:r/>
            <w:r>
              <w:rPr>
                <w:b w:val="0"/>
                <w:color w:val="262B30"/>
                <w:sz w:val="15"/>
              </w:rPr>
              <w:t>Long-running / async agents</w:t>
            </w:r>
          </w:p>
        </w:tc>
        <w:tc>
          <w:tcPr>
            <w:tcW w:type="dxa" w:w="1999"/>
          </w:tcPr>
          <w:p>
            <w:pPr>
              <w:jc w:val="left"/>
            </w:pPr>
            <w:r/>
            <w:r>
              <w:rPr>
                <w:b w:val="0"/>
                <w:color w:val="262B30"/>
                <w:sz w:val="15"/>
              </w:rPr>
              <w:t>Elastic goal execution</w:t>
            </w:r>
          </w:p>
        </w:tc>
      </w:tr>
      <w:tr>
        <w:trPr>
          <w:cantSplit/>
        </w:trPr>
        <w:tc>
          <w:tcPr>
            <w:tcW w:type="dxa" w:w="1999"/>
            <w:shd w:fill="F7F9FB"/>
          </w:tcPr>
          <w:p>
            <w:pPr>
              <w:jc w:val="left"/>
            </w:pPr>
            <w:r/>
            <w:r>
              <w:rPr>
                <w:b/>
                <w:color w:val="262B30"/>
                <w:sz w:val="15"/>
              </w:rPr>
              <w:t>Tools</w:t>
            </w:r>
          </w:p>
        </w:tc>
        <w:tc>
          <w:tcPr>
            <w:tcW w:type="dxa" w:w="1999"/>
            <w:shd w:fill="F7F9FB"/>
          </w:tcPr>
          <w:p>
            <w:pPr>
              <w:jc w:val="left"/>
            </w:pPr>
            <w:r/>
            <w:r>
              <w:rPr>
                <w:b w:val="0"/>
                <w:color w:val="262B30"/>
                <w:sz w:val="15"/>
              </w:rPr>
              <w:t>Tool registry + contracts</w:t>
            </w:r>
          </w:p>
        </w:tc>
        <w:tc>
          <w:tcPr>
            <w:tcW w:type="dxa" w:w="1999"/>
            <w:shd w:fill="F7F9FB"/>
          </w:tcPr>
          <w:p>
            <w:pPr>
              <w:jc w:val="left"/>
            </w:pPr>
            <w:r/>
            <w:r>
              <w:rPr>
                <w:b w:val="0"/>
                <w:color w:val="262B30"/>
                <w:sz w:val="15"/>
              </w:rPr>
              <w:t>Broad enterprise API coverage</w:t>
            </w:r>
          </w:p>
        </w:tc>
        <w:tc>
          <w:tcPr>
            <w:tcW w:type="dxa" w:w="1999"/>
            <w:shd w:fill="F7F9FB"/>
          </w:tcPr>
          <w:p>
            <w:pPr>
              <w:jc w:val="left"/>
            </w:pPr>
            <w:r/>
            <w:r>
              <w:rPr>
                <w:b w:val="0"/>
                <w:color w:val="262B30"/>
                <w:sz w:val="15"/>
              </w:rPr>
              <w:t>Transactional tools + approvals</w:t>
            </w:r>
          </w:p>
        </w:tc>
        <w:tc>
          <w:tcPr>
            <w:tcW w:type="dxa" w:w="1999"/>
            <w:shd w:fill="F7F9FB"/>
          </w:tcPr>
          <w:p>
            <w:pPr>
              <w:jc w:val="left"/>
            </w:pPr>
            <w:r/>
            <w:r>
              <w:rPr>
                <w:b w:val="0"/>
                <w:color w:val="262B30"/>
                <w:sz w:val="15"/>
              </w:rPr>
              <w:t>Policy-aware autonomous tools</w:t>
            </w:r>
          </w:p>
        </w:tc>
      </w:tr>
      <w:tr>
        <w:trPr>
          <w:cantSplit/>
        </w:trPr>
        <w:tc>
          <w:tcPr>
            <w:tcW w:type="dxa" w:w="1999"/>
          </w:tcPr>
          <w:p>
            <w:pPr>
              <w:jc w:val="left"/>
            </w:pPr>
            <w:r/>
            <w:r>
              <w:rPr>
                <w:b/>
                <w:color w:val="262B30"/>
                <w:sz w:val="15"/>
              </w:rPr>
              <w:t>Knowledge</w:t>
            </w:r>
          </w:p>
        </w:tc>
        <w:tc>
          <w:tcPr>
            <w:tcW w:type="dxa" w:w="1999"/>
          </w:tcPr>
          <w:p>
            <w:pPr>
              <w:jc w:val="left"/>
            </w:pPr>
            <w:r/>
            <w:r>
              <w:rPr>
                <w:b w:val="0"/>
                <w:color w:val="262B30"/>
                <w:sz w:val="15"/>
              </w:rPr>
              <w:t>Priority KBs + ACLs</w:t>
            </w:r>
          </w:p>
        </w:tc>
        <w:tc>
          <w:tcPr>
            <w:tcW w:type="dxa" w:w="1999"/>
          </w:tcPr>
          <w:p>
            <w:pPr>
              <w:jc w:val="left"/>
            </w:pPr>
            <w:r/>
            <w:r>
              <w:rPr>
                <w:b w:val="0"/>
                <w:color w:val="262B30"/>
                <w:sz w:val="15"/>
              </w:rPr>
              <w:t>Hybrid + rerank + freshness</w:t>
            </w:r>
          </w:p>
        </w:tc>
        <w:tc>
          <w:tcPr>
            <w:tcW w:type="dxa" w:w="1999"/>
          </w:tcPr>
          <w:p>
            <w:pPr>
              <w:jc w:val="left"/>
            </w:pPr>
            <w:r/>
            <w:r>
              <w:rPr>
                <w:b w:val="0"/>
                <w:color w:val="262B30"/>
                <w:sz w:val="15"/>
              </w:rPr>
              <w:t>Structured + unstructured fusion</w:t>
            </w:r>
          </w:p>
        </w:tc>
        <w:tc>
          <w:tcPr>
            <w:tcW w:type="dxa" w:w="1999"/>
          </w:tcPr>
          <w:p>
            <w:pPr>
              <w:jc w:val="left"/>
            </w:pPr>
            <w:r/>
            <w:r>
              <w:rPr>
                <w:b w:val="0"/>
                <w:color w:val="262B30"/>
                <w:sz w:val="15"/>
              </w:rPr>
              <w:t>Graph + enterprise semantic layer</w:t>
            </w:r>
          </w:p>
        </w:tc>
      </w:tr>
      <w:tr>
        <w:trPr>
          <w:cantSplit/>
        </w:trPr>
        <w:tc>
          <w:tcPr>
            <w:tcW w:type="dxa" w:w="1999"/>
            <w:shd w:fill="F7F9FB"/>
          </w:tcPr>
          <w:p>
            <w:pPr>
              <w:jc w:val="left"/>
            </w:pPr>
            <w:r/>
            <w:r>
              <w:rPr>
                <w:b/>
                <w:color w:val="262B30"/>
                <w:sz w:val="15"/>
              </w:rPr>
              <w:t>Memory</w:t>
            </w:r>
          </w:p>
        </w:tc>
        <w:tc>
          <w:tcPr>
            <w:tcW w:type="dxa" w:w="1999"/>
            <w:shd w:fill="F7F9FB"/>
          </w:tcPr>
          <w:p>
            <w:pPr>
              <w:jc w:val="left"/>
            </w:pPr>
            <w:r/>
            <w:r>
              <w:rPr>
                <w:b w:val="0"/>
                <w:color w:val="262B30"/>
                <w:sz w:val="15"/>
              </w:rPr>
              <w:t>Session state</w:t>
            </w:r>
          </w:p>
        </w:tc>
        <w:tc>
          <w:tcPr>
            <w:tcW w:type="dxa" w:w="1999"/>
            <w:shd w:fill="F7F9FB"/>
          </w:tcPr>
          <w:p>
            <w:pPr>
              <w:jc w:val="left"/>
            </w:pPr>
            <w:r/>
            <w:r>
              <w:rPr>
                <w:b w:val="0"/>
                <w:color w:val="262B30"/>
                <w:sz w:val="15"/>
              </w:rPr>
              <w:t>User/task memory</w:t>
            </w:r>
          </w:p>
        </w:tc>
        <w:tc>
          <w:tcPr>
            <w:tcW w:type="dxa" w:w="1999"/>
            <w:shd w:fill="F7F9FB"/>
          </w:tcPr>
          <w:p>
            <w:pPr>
              <w:jc w:val="left"/>
            </w:pPr>
            <w:r/>
            <w:r>
              <w:rPr>
                <w:b w:val="0"/>
                <w:color w:val="262B30"/>
                <w:sz w:val="15"/>
              </w:rPr>
              <w:t>Team / workflow memory</w:t>
            </w:r>
          </w:p>
        </w:tc>
        <w:tc>
          <w:tcPr>
            <w:tcW w:type="dxa" w:w="1999"/>
            <w:shd w:fill="F7F9FB"/>
          </w:tcPr>
          <w:p>
            <w:pPr>
              <w:jc w:val="left"/>
            </w:pPr>
            <w:r/>
            <w:r>
              <w:rPr>
                <w:b w:val="0"/>
                <w:color w:val="262B30"/>
                <w:sz w:val="15"/>
              </w:rPr>
              <w:t>Curated institutional memory</w:t>
            </w:r>
          </w:p>
        </w:tc>
      </w:tr>
      <w:tr>
        <w:trPr>
          <w:cantSplit/>
        </w:trPr>
        <w:tc>
          <w:tcPr>
            <w:tcW w:type="dxa" w:w="1999"/>
          </w:tcPr>
          <w:p>
            <w:pPr>
              <w:jc w:val="left"/>
            </w:pPr>
            <w:r/>
            <w:r>
              <w:rPr>
                <w:b/>
                <w:color w:val="262B30"/>
                <w:sz w:val="15"/>
              </w:rPr>
              <w:t>Workflow</w:t>
            </w:r>
          </w:p>
        </w:tc>
        <w:tc>
          <w:tcPr>
            <w:tcW w:type="dxa" w:w="1999"/>
          </w:tcPr>
          <w:p>
            <w:pPr>
              <w:jc w:val="left"/>
            </w:pPr>
            <w:r/>
            <w:r>
              <w:rPr>
                <w:b w:val="0"/>
                <w:color w:val="262B30"/>
                <w:sz w:val="15"/>
              </w:rPr>
              <w:t>Manual handoff</w:t>
            </w:r>
          </w:p>
        </w:tc>
        <w:tc>
          <w:tcPr>
            <w:tcW w:type="dxa" w:w="1999"/>
          </w:tcPr>
          <w:p>
            <w:pPr>
              <w:jc w:val="left"/>
            </w:pPr>
            <w:r/>
            <w:r>
              <w:rPr>
                <w:b w:val="0"/>
                <w:color w:val="262B30"/>
                <w:sz w:val="15"/>
              </w:rPr>
              <w:t>Agent-prepared workflows</w:t>
            </w:r>
          </w:p>
        </w:tc>
        <w:tc>
          <w:tcPr>
            <w:tcW w:type="dxa" w:w="1999"/>
          </w:tcPr>
          <w:p>
            <w:pPr>
              <w:jc w:val="left"/>
            </w:pPr>
            <w:r/>
            <w:r>
              <w:rPr>
                <w:b w:val="0"/>
                <w:color w:val="262B30"/>
                <w:sz w:val="15"/>
              </w:rPr>
              <w:t>Agent-orchestrated workflows</w:t>
            </w:r>
          </w:p>
        </w:tc>
        <w:tc>
          <w:tcPr>
            <w:tcW w:type="dxa" w:w="1999"/>
          </w:tcPr>
          <w:p>
            <w:pPr>
              <w:jc w:val="left"/>
            </w:pPr>
            <w:r/>
            <w:r>
              <w:rPr>
                <w:b w:val="0"/>
                <w:color w:val="262B30"/>
                <w:sz w:val="15"/>
              </w:rPr>
              <w:t>Bounded autonomous workflows</w:t>
            </w:r>
          </w:p>
        </w:tc>
      </w:tr>
      <w:tr>
        <w:trPr>
          <w:cantSplit/>
        </w:trPr>
        <w:tc>
          <w:tcPr>
            <w:tcW w:type="dxa" w:w="1999"/>
            <w:shd w:fill="F7F9FB"/>
          </w:tcPr>
          <w:p>
            <w:pPr>
              <w:jc w:val="left"/>
            </w:pPr>
            <w:r/>
            <w:r>
              <w:rPr>
                <w:b/>
                <w:color w:val="262B30"/>
                <w:sz w:val="15"/>
              </w:rPr>
              <w:t>Identity</w:t>
            </w:r>
          </w:p>
        </w:tc>
        <w:tc>
          <w:tcPr>
            <w:tcW w:type="dxa" w:w="1999"/>
            <w:shd w:fill="F7F9FB"/>
          </w:tcPr>
          <w:p>
            <w:pPr>
              <w:jc w:val="left"/>
            </w:pPr>
            <w:r/>
            <w:r>
              <w:rPr>
                <w:b w:val="0"/>
                <w:color w:val="262B30"/>
                <w:sz w:val="15"/>
              </w:rPr>
              <w:t>User SSO + service identity</w:t>
            </w:r>
          </w:p>
        </w:tc>
        <w:tc>
          <w:tcPr>
            <w:tcW w:type="dxa" w:w="1999"/>
            <w:shd w:fill="F7F9FB"/>
          </w:tcPr>
          <w:p>
            <w:pPr>
              <w:jc w:val="left"/>
            </w:pPr>
            <w:r/>
            <w:r>
              <w:rPr>
                <w:b w:val="0"/>
                <w:color w:val="262B30"/>
                <w:sz w:val="15"/>
              </w:rPr>
              <w:t>Agent identity + delegation</w:t>
            </w:r>
          </w:p>
        </w:tc>
        <w:tc>
          <w:tcPr>
            <w:tcW w:type="dxa" w:w="1999"/>
            <w:shd w:fill="F7F9FB"/>
          </w:tcPr>
          <w:p>
            <w:pPr>
              <w:jc w:val="left"/>
            </w:pPr>
            <w:r/>
            <w:r>
              <w:rPr>
                <w:b w:val="0"/>
                <w:color w:val="262B30"/>
                <w:sz w:val="15"/>
              </w:rPr>
              <w:t>Fine-grained action entitlements</w:t>
            </w:r>
          </w:p>
        </w:tc>
        <w:tc>
          <w:tcPr>
            <w:tcW w:type="dxa" w:w="1999"/>
            <w:shd w:fill="F7F9FB"/>
          </w:tcPr>
          <w:p>
            <w:pPr>
              <w:jc w:val="left"/>
            </w:pPr>
            <w:r/>
            <w:r>
              <w:rPr>
                <w:b w:val="0"/>
                <w:color w:val="262B30"/>
                <w:sz w:val="15"/>
              </w:rPr>
              <w:t>Dynamic risk-adaptive controls</w:t>
            </w:r>
          </w:p>
        </w:tc>
      </w:tr>
      <w:tr>
        <w:trPr>
          <w:cantSplit/>
        </w:trPr>
        <w:tc>
          <w:tcPr>
            <w:tcW w:type="dxa" w:w="1999"/>
          </w:tcPr>
          <w:p>
            <w:pPr>
              <w:jc w:val="left"/>
            </w:pPr>
            <w:r/>
            <w:r>
              <w:rPr>
                <w:b/>
                <w:color w:val="262B30"/>
                <w:sz w:val="15"/>
              </w:rPr>
              <w:t>Governance</w:t>
            </w:r>
          </w:p>
        </w:tc>
        <w:tc>
          <w:tcPr>
            <w:tcW w:type="dxa" w:w="1999"/>
          </w:tcPr>
          <w:p>
            <w:pPr>
              <w:jc w:val="left"/>
            </w:pPr>
            <w:r/>
            <w:r>
              <w:rPr>
                <w:b w:val="0"/>
                <w:color w:val="262B30"/>
                <w:sz w:val="15"/>
              </w:rPr>
              <w:t>Risk taxonomy</w:t>
            </w:r>
          </w:p>
        </w:tc>
        <w:tc>
          <w:tcPr>
            <w:tcW w:type="dxa" w:w="1999"/>
          </w:tcPr>
          <w:p>
            <w:pPr>
              <w:jc w:val="left"/>
            </w:pPr>
            <w:r/>
            <w:r>
              <w:rPr>
                <w:b w:val="0"/>
                <w:color w:val="262B30"/>
                <w:sz w:val="15"/>
              </w:rPr>
              <w:t>Policy-as-code</w:t>
            </w:r>
          </w:p>
        </w:tc>
        <w:tc>
          <w:tcPr>
            <w:tcW w:type="dxa" w:w="1999"/>
          </w:tcPr>
          <w:p>
            <w:pPr>
              <w:jc w:val="left"/>
            </w:pPr>
            <w:r/>
            <w:r>
              <w:rPr>
                <w:b w:val="0"/>
                <w:color w:val="262B30"/>
                <w:sz w:val="15"/>
              </w:rPr>
              <w:t>Continuous compliance</w:t>
            </w:r>
          </w:p>
        </w:tc>
        <w:tc>
          <w:tcPr>
            <w:tcW w:type="dxa" w:w="1999"/>
          </w:tcPr>
          <w:p>
            <w:pPr>
              <w:jc w:val="left"/>
            </w:pPr>
            <w:r/>
            <w:r>
              <w:rPr>
                <w:b w:val="0"/>
                <w:color w:val="262B30"/>
                <w:sz w:val="15"/>
              </w:rPr>
              <w:t>Real-time control plane</w:t>
            </w:r>
          </w:p>
        </w:tc>
      </w:tr>
      <w:tr>
        <w:trPr>
          <w:cantSplit/>
        </w:trPr>
        <w:tc>
          <w:tcPr>
            <w:tcW w:type="dxa" w:w="1999"/>
            <w:shd w:fill="F7F9FB"/>
          </w:tcPr>
          <w:p>
            <w:pPr>
              <w:jc w:val="left"/>
            </w:pPr>
            <w:r/>
            <w:r>
              <w:rPr>
                <w:b/>
                <w:color w:val="262B30"/>
                <w:sz w:val="15"/>
              </w:rPr>
              <w:t>Evaluation</w:t>
            </w:r>
          </w:p>
        </w:tc>
        <w:tc>
          <w:tcPr>
            <w:tcW w:type="dxa" w:w="1999"/>
            <w:shd w:fill="F7F9FB"/>
          </w:tcPr>
          <w:p>
            <w:pPr>
              <w:jc w:val="left"/>
            </w:pPr>
            <w:r/>
            <w:r>
              <w:rPr>
                <w:b w:val="0"/>
                <w:color w:val="262B30"/>
                <w:sz w:val="15"/>
              </w:rPr>
              <w:t>Golden sets</w:t>
            </w:r>
          </w:p>
        </w:tc>
        <w:tc>
          <w:tcPr>
            <w:tcW w:type="dxa" w:w="1999"/>
            <w:shd w:fill="F7F9FB"/>
          </w:tcPr>
          <w:p>
            <w:pPr>
              <w:jc w:val="left"/>
            </w:pPr>
            <w:r/>
            <w:r>
              <w:rPr>
                <w:b w:val="0"/>
                <w:color w:val="262B30"/>
                <w:sz w:val="15"/>
              </w:rPr>
              <w:t>CI evaluation gates</w:t>
            </w:r>
          </w:p>
        </w:tc>
        <w:tc>
          <w:tcPr>
            <w:tcW w:type="dxa" w:w="1999"/>
            <w:shd w:fill="F7F9FB"/>
          </w:tcPr>
          <w:p>
            <w:pPr>
              <w:jc w:val="left"/>
            </w:pPr>
            <w:r/>
            <w:r>
              <w:rPr>
                <w:b w:val="0"/>
                <w:color w:val="262B30"/>
                <w:sz w:val="15"/>
              </w:rPr>
              <w:t>Online quality monitoring</w:t>
            </w:r>
          </w:p>
        </w:tc>
        <w:tc>
          <w:tcPr>
            <w:tcW w:type="dxa" w:w="1999"/>
            <w:shd w:fill="F7F9FB"/>
          </w:tcPr>
          <w:p>
            <w:pPr>
              <w:jc w:val="left"/>
            </w:pPr>
            <w:r/>
            <w:r>
              <w:rPr>
                <w:b w:val="0"/>
                <w:color w:val="262B30"/>
                <w:sz w:val="15"/>
              </w:rPr>
              <w:t>Outcome-based optimization</w:t>
            </w:r>
          </w:p>
        </w:tc>
      </w:tr>
      <w:tr>
        <w:trPr>
          <w:cantSplit/>
        </w:trPr>
        <w:tc>
          <w:tcPr>
            <w:tcW w:type="dxa" w:w="1999"/>
          </w:tcPr>
          <w:p>
            <w:pPr>
              <w:jc w:val="left"/>
            </w:pPr>
            <w:r/>
            <w:r>
              <w:rPr>
                <w:b/>
                <w:color w:val="262B30"/>
                <w:sz w:val="15"/>
              </w:rPr>
              <w:t>Observability</w:t>
            </w:r>
          </w:p>
        </w:tc>
        <w:tc>
          <w:tcPr>
            <w:tcW w:type="dxa" w:w="1999"/>
          </w:tcPr>
          <w:p>
            <w:pPr>
              <w:jc w:val="left"/>
            </w:pPr>
            <w:r/>
            <w:r>
              <w:rPr>
                <w:b w:val="0"/>
                <w:color w:val="262B30"/>
                <w:sz w:val="15"/>
              </w:rPr>
              <w:t>Traces + logs</w:t>
            </w:r>
          </w:p>
        </w:tc>
        <w:tc>
          <w:tcPr>
            <w:tcW w:type="dxa" w:w="1999"/>
          </w:tcPr>
          <w:p>
            <w:pPr>
              <w:jc w:val="left"/>
            </w:pPr>
            <w:r/>
            <w:r>
              <w:rPr>
                <w:b w:val="0"/>
                <w:color w:val="262B30"/>
                <w:sz w:val="15"/>
              </w:rPr>
              <w:t>Cost / quality dashboards</w:t>
            </w:r>
          </w:p>
        </w:tc>
        <w:tc>
          <w:tcPr>
            <w:tcW w:type="dxa" w:w="1999"/>
          </w:tcPr>
          <w:p>
            <w:pPr>
              <w:jc w:val="left"/>
            </w:pPr>
            <w:r/>
            <w:r>
              <w:rPr>
                <w:b w:val="0"/>
                <w:color w:val="262B30"/>
                <w:sz w:val="15"/>
              </w:rPr>
              <w:t>Trajectory analytics</w:t>
            </w:r>
          </w:p>
        </w:tc>
        <w:tc>
          <w:tcPr>
            <w:tcW w:type="dxa" w:w="1999"/>
          </w:tcPr>
          <w:p>
            <w:pPr>
              <w:jc w:val="left"/>
            </w:pPr>
            <w:r/>
            <w:r>
              <w:rPr>
                <w:b w:val="0"/>
                <w:color w:val="262B30"/>
                <w:sz w:val="15"/>
              </w:rPr>
              <w:t>Closed-loop optimization</w:t>
            </w:r>
          </w:p>
        </w:tc>
      </w:tr>
      <w:tr>
        <w:trPr>
          <w:cantSplit/>
        </w:trPr>
        <w:tc>
          <w:tcPr>
            <w:tcW w:type="dxa" w:w="1999"/>
            <w:shd w:fill="F7F9FB"/>
          </w:tcPr>
          <w:p>
            <w:pPr>
              <w:jc w:val="left"/>
            </w:pPr>
            <w:r/>
            <w:r>
              <w:rPr>
                <w:b/>
                <w:color w:val="262B30"/>
                <w:sz w:val="15"/>
              </w:rPr>
              <w:t>FinOps</w:t>
            </w:r>
          </w:p>
        </w:tc>
        <w:tc>
          <w:tcPr>
            <w:tcW w:type="dxa" w:w="1999"/>
            <w:shd w:fill="F7F9FB"/>
          </w:tcPr>
          <w:p>
            <w:pPr>
              <w:jc w:val="left"/>
            </w:pPr>
            <w:r/>
            <w:r>
              <w:rPr>
                <w:b w:val="0"/>
                <w:color w:val="262B30"/>
                <w:sz w:val="15"/>
              </w:rPr>
              <w:t>Cost attribution</w:t>
            </w:r>
          </w:p>
        </w:tc>
        <w:tc>
          <w:tcPr>
            <w:tcW w:type="dxa" w:w="1999"/>
            <w:shd w:fill="F7F9FB"/>
          </w:tcPr>
          <w:p>
            <w:pPr>
              <w:jc w:val="left"/>
            </w:pPr>
            <w:r/>
            <w:r>
              <w:rPr>
                <w:b w:val="0"/>
                <w:color w:val="262B30"/>
                <w:sz w:val="15"/>
              </w:rPr>
              <w:t>Per-agent budgets</w:t>
            </w:r>
          </w:p>
        </w:tc>
        <w:tc>
          <w:tcPr>
            <w:tcW w:type="dxa" w:w="1999"/>
            <w:shd w:fill="F7F9FB"/>
          </w:tcPr>
          <w:p>
            <w:pPr>
              <w:jc w:val="left"/>
            </w:pPr>
            <w:r/>
            <w:r>
              <w:rPr>
                <w:b w:val="0"/>
                <w:color w:val="262B30"/>
                <w:sz w:val="15"/>
              </w:rPr>
              <w:t>Cost per workflow</w:t>
            </w:r>
          </w:p>
        </w:tc>
        <w:tc>
          <w:tcPr>
            <w:tcW w:type="dxa" w:w="1999"/>
            <w:shd w:fill="F7F9FB"/>
          </w:tcPr>
          <w:p>
            <w:pPr>
              <w:jc w:val="left"/>
            </w:pPr>
            <w:r/>
            <w:r>
              <w:rPr>
                <w:b w:val="0"/>
                <w:color w:val="262B30"/>
                <w:sz w:val="15"/>
              </w:rPr>
              <w:t>Business-value / risk / cost optimization</w:t>
            </w:r>
          </w:p>
        </w:tc>
      </w:tr>
      <w:tr>
        <w:trPr>
          <w:cantSplit/>
        </w:trPr>
        <w:tc>
          <w:tcPr>
            <w:tcW w:type="dxa" w:w="1999"/>
          </w:tcPr>
          <w:p>
            <w:pPr>
              <w:jc w:val="left"/>
            </w:pPr>
            <w:r/>
            <w:r>
              <w:rPr>
                <w:b/>
                <w:color w:val="262B30"/>
                <w:sz w:val="15"/>
              </w:rPr>
              <w:t>Developer platform</w:t>
            </w:r>
          </w:p>
        </w:tc>
        <w:tc>
          <w:tcPr>
            <w:tcW w:type="dxa" w:w="1999"/>
          </w:tcPr>
          <w:p>
            <w:pPr>
              <w:jc w:val="left"/>
            </w:pPr>
            <w:r/>
            <w:r>
              <w:rPr>
                <w:b w:val="0"/>
                <w:color w:val="262B30"/>
                <w:sz w:val="15"/>
              </w:rPr>
              <w:t>Templates</w:t>
            </w:r>
          </w:p>
        </w:tc>
        <w:tc>
          <w:tcPr>
            <w:tcW w:type="dxa" w:w="1999"/>
          </w:tcPr>
          <w:p>
            <w:pPr>
              <w:jc w:val="left"/>
            </w:pPr>
            <w:r/>
            <w:r>
              <w:rPr>
                <w:b w:val="0"/>
                <w:color w:val="262B30"/>
                <w:sz w:val="15"/>
              </w:rPr>
              <w:t>Self-service agent delivery</w:t>
            </w:r>
          </w:p>
        </w:tc>
        <w:tc>
          <w:tcPr>
            <w:tcW w:type="dxa" w:w="1999"/>
          </w:tcPr>
          <w:p>
            <w:pPr>
              <w:jc w:val="left"/>
            </w:pPr>
            <w:r/>
            <w:r>
              <w:rPr>
                <w:b w:val="0"/>
                <w:color w:val="262B30"/>
                <w:sz w:val="15"/>
              </w:rPr>
              <w:t>Reusable domain kits</w:t>
            </w:r>
          </w:p>
        </w:tc>
        <w:tc>
          <w:tcPr>
            <w:tcW w:type="dxa" w:w="1999"/>
          </w:tcPr>
          <w:p>
            <w:pPr>
              <w:jc w:val="left"/>
            </w:pPr>
            <w:r/>
            <w:r>
              <w:rPr>
                <w:b w:val="0"/>
                <w:color w:val="262B30"/>
                <w:sz w:val="15"/>
              </w:rPr>
              <w:t>Platform product ecosystem</w:t>
            </w:r>
          </w:p>
        </w:tc>
      </w:tr>
    </w:tbl>
    <w:p>
      <w:pPr>
        <w:pStyle w:val="Heading1"/>
      </w:pPr>
      <w:r>
        <w:t>16. Operating Model and Organization</w:t>
      </w:r>
    </w:p>
    <w:p>
      <w:r>
        <w:t>The platform should operate like a product with a platform engineering core and domain-owned business capabilities. Central governance should define controls and paved roads; domain teams should own business outcomes and domain-specific evaluations.</w:t>
      </w:r>
    </w:p>
    <w:tbl>
      <w:tblPr>
        <w:tblW w:type="auto" w:w="0"/>
        <w:jc w:val="center"/>
        <w:tblLook w:firstColumn="1" w:firstRow="1" w:lastColumn="0" w:lastRow="0" w:noHBand="0" w:noVBand="1" w:val="04A0"/>
      </w:tblPr>
      <w:tblGrid>
        <w:gridCol w:w="3331"/>
        <w:gridCol w:w="3331"/>
        <w:gridCol w:w="3331"/>
      </w:tblGrid>
      <w:tr>
        <w:trPr>
          <w:tblHeader w:val="true"/>
        </w:trPr>
        <w:tc>
          <w:tcPr>
            <w:tcW w:type="dxa" w:w="1872"/>
            <w:shd w:fill="193048"/>
          </w:tcPr>
          <w:p>
            <w:pPr>
              <w:jc w:val="left"/>
            </w:pPr>
            <w:r/>
            <w:r>
              <w:rPr>
                <w:b/>
                <w:color w:val="FFFFFF"/>
                <w:sz w:val="16"/>
              </w:rPr>
              <w:t>Team / role</w:t>
            </w:r>
          </w:p>
        </w:tc>
        <w:tc>
          <w:tcPr>
            <w:tcW w:type="dxa" w:w="4536"/>
            <w:shd w:fill="193048"/>
          </w:tcPr>
          <w:p>
            <w:pPr>
              <w:jc w:val="left"/>
            </w:pPr>
            <w:r/>
            <w:r>
              <w:rPr>
                <w:b/>
                <w:color w:val="FFFFFF"/>
                <w:sz w:val="16"/>
              </w:rPr>
              <w:t>Primary accountability</w:t>
            </w:r>
          </w:p>
        </w:tc>
        <w:tc>
          <w:tcPr>
            <w:tcW w:type="dxa" w:w="3528"/>
            <w:shd w:fill="193048"/>
          </w:tcPr>
          <w:p>
            <w:pPr>
              <w:jc w:val="left"/>
            </w:pPr>
            <w:r/>
            <w:r>
              <w:rPr>
                <w:b/>
                <w:color w:val="FFFFFF"/>
                <w:sz w:val="16"/>
              </w:rPr>
              <w:t>Recommended staffing pattern</w:t>
            </w:r>
          </w:p>
        </w:tc>
      </w:tr>
      <w:tr>
        <w:trPr>
          <w:cantSplit/>
        </w:trPr>
        <w:tc>
          <w:tcPr>
            <w:tcW w:type="dxa" w:w="3331"/>
            <w:shd w:fill="F7F9FB"/>
          </w:tcPr>
          <w:p>
            <w:pPr>
              <w:jc w:val="left"/>
            </w:pPr>
            <w:r/>
            <w:r>
              <w:rPr>
                <w:b/>
                <w:color w:val="262B30"/>
                <w:sz w:val="15"/>
              </w:rPr>
              <w:t>AI Platform Engineering</w:t>
            </w:r>
          </w:p>
        </w:tc>
        <w:tc>
          <w:tcPr>
            <w:tcW w:type="dxa" w:w="3331"/>
            <w:shd w:fill="F7F9FB"/>
          </w:tcPr>
          <w:p>
            <w:pPr>
              <w:jc w:val="left"/>
            </w:pPr>
            <w:r/>
            <w:r>
              <w:rPr>
                <w:b w:val="0"/>
                <w:color w:val="262B30"/>
                <w:sz w:val="15"/>
              </w:rPr>
              <w:t>Runtime, tools, memory, model access, observability, FinOps, developer experience</w:t>
            </w:r>
          </w:p>
        </w:tc>
        <w:tc>
          <w:tcPr>
            <w:tcW w:type="dxa" w:w="3331"/>
            <w:shd w:fill="F7F9FB"/>
          </w:tcPr>
          <w:p>
            <w:pPr>
              <w:jc w:val="left"/>
            </w:pPr>
            <w:r/>
            <w:r>
              <w:rPr>
                <w:b w:val="0"/>
                <w:color w:val="262B30"/>
                <w:sz w:val="15"/>
              </w:rPr>
              <w:t>Central platform team; core engineering ownership</w:t>
            </w:r>
          </w:p>
        </w:tc>
      </w:tr>
      <w:tr>
        <w:trPr>
          <w:cantSplit/>
        </w:trPr>
        <w:tc>
          <w:tcPr>
            <w:tcW w:type="dxa" w:w="3331"/>
          </w:tcPr>
          <w:p>
            <w:pPr>
              <w:jc w:val="left"/>
            </w:pPr>
            <w:r/>
            <w:r>
              <w:rPr>
                <w:b/>
                <w:color w:val="262B30"/>
                <w:sz w:val="15"/>
              </w:rPr>
              <w:t>AI Architecture / Enterprise Architecture</w:t>
            </w:r>
          </w:p>
        </w:tc>
        <w:tc>
          <w:tcPr>
            <w:tcW w:type="dxa" w:w="3331"/>
          </w:tcPr>
          <w:p>
            <w:pPr>
              <w:jc w:val="left"/>
            </w:pPr>
            <w:r/>
            <w:r>
              <w:rPr>
                <w:b w:val="0"/>
                <w:color w:val="262B30"/>
                <w:sz w:val="15"/>
              </w:rPr>
              <w:t>Reference architecture, standards, portability, integration patterns</w:t>
            </w:r>
          </w:p>
        </w:tc>
        <w:tc>
          <w:tcPr>
            <w:tcW w:type="dxa" w:w="3331"/>
          </w:tcPr>
          <w:p>
            <w:pPr>
              <w:jc w:val="left"/>
            </w:pPr>
            <w:r/>
            <w:r>
              <w:rPr>
                <w:b w:val="0"/>
                <w:color w:val="262B30"/>
                <w:sz w:val="15"/>
              </w:rPr>
              <w:t>Small architecture function + design authority</w:t>
            </w:r>
          </w:p>
        </w:tc>
      </w:tr>
      <w:tr>
        <w:trPr>
          <w:cantSplit/>
        </w:trPr>
        <w:tc>
          <w:tcPr>
            <w:tcW w:type="dxa" w:w="3331"/>
            <w:shd w:fill="F7F9FB"/>
          </w:tcPr>
          <w:p>
            <w:pPr>
              <w:jc w:val="left"/>
            </w:pPr>
            <w:r/>
            <w:r>
              <w:rPr>
                <w:b/>
                <w:color w:val="262B30"/>
                <w:sz w:val="15"/>
              </w:rPr>
              <w:t>AI Risk &amp; Governance</w:t>
            </w:r>
          </w:p>
        </w:tc>
        <w:tc>
          <w:tcPr>
            <w:tcW w:type="dxa" w:w="3331"/>
            <w:shd w:fill="F7F9FB"/>
          </w:tcPr>
          <w:p>
            <w:pPr>
              <w:jc w:val="left"/>
            </w:pPr>
            <w:r/>
            <w:r>
              <w:rPr>
                <w:b w:val="0"/>
                <w:color w:val="262B30"/>
                <w:sz w:val="15"/>
              </w:rPr>
              <w:t>Risk tiers, policy, model validation, oversight, regulatory alignment</w:t>
            </w:r>
          </w:p>
        </w:tc>
        <w:tc>
          <w:tcPr>
            <w:tcW w:type="dxa" w:w="3331"/>
            <w:shd w:fill="F7F9FB"/>
          </w:tcPr>
          <w:p>
            <w:pPr>
              <w:jc w:val="left"/>
            </w:pPr>
            <w:r/>
            <w:r>
              <w:rPr>
                <w:b w:val="0"/>
                <w:color w:val="262B30"/>
                <w:sz w:val="15"/>
              </w:rPr>
              <w:t>Independent 2nd-line partnership where appropriate</w:t>
            </w:r>
          </w:p>
        </w:tc>
      </w:tr>
      <w:tr>
        <w:trPr>
          <w:cantSplit/>
        </w:trPr>
        <w:tc>
          <w:tcPr>
            <w:tcW w:type="dxa" w:w="3331"/>
          </w:tcPr>
          <w:p>
            <w:pPr>
              <w:jc w:val="left"/>
            </w:pPr>
            <w:r/>
            <w:r>
              <w:rPr>
                <w:b/>
                <w:color w:val="262B30"/>
                <w:sz w:val="15"/>
              </w:rPr>
              <w:t>Domain AI squads</w:t>
            </w:r>
          </w:p>
        </w:tc>
        <w:tc>
          <w:tcPr>
            <w:tcW w:type="dxa" w:w="3331"/>
          </w:tcPr>
          <w:p>
            <w:pPr>
              <w:jc w:val="left"/>
            </w:pPr>
            <w:r/>
            <w:r>
              <w:rPr>
                <w:b w:val="0"/>
                <w:color w:val="262B30"/>
                <w:sz w:val="15"/>
              </w:rPr>
              <w:t>Investment / risk / operations use cases and domain evaluation</w:t>
            </w:r>
          </w:p>
        </w:tc>
        <w:tc>
          <w:tcPr>
            <w:tcW w:type="dxa" w:w="3331"/>
          </w:tcPr>
          <w:p>
            <w:pPr>
              <w:jc w:val="left"/>
            </w:pPr>
            <w:r/>
            <w:r>
              <w:rPr>
                <w:b w:val="0"/>
                <w:color w:val="262B30"/>
                <w:sz w:val="15"/>
              </w:rPr>
              <w:t>Cross-functional squad: product + engineer + domain SME + data</w:t>
            </w:r>
          </w:p>
        </w:tc>
      </w:tr>
      <w:tr>
        <w:trPr>
          <w:cantSplit/>
        </w:trPr>
        <w:tc>
          <w:tcPr>
            <w:tcW w:type="dxa" w:w="3331"/>
            <w:shd w:fill="F7F9FB"/>
          </w:tcPr>
          <w:p>
            <w:pPr>
              <w:jc w:val="left"/>
            </w:pPr>
            <w:r/>
            <w:r>
              <w:rPr>
                <w:b/>
                <w:color w:val="262B30"/>
                <w:sz w:val="15"/>
              </w:rPr>
              <w:t>AI Security / Privacy</w:t>
            </w:r>
          </w:p>
        </w:tc>
        <w:tc>
          <w:tcPr>
            <w:tcW w:type="dxa" w:w="3331"/>
            <w:shd w:fill="F7F9FB"/>
          </w:tcPr>
          <w:p>
            <w:pPr>
              <w:jc w:val="left"/>
            </w:pPr>
            <w:r/>
            <w:r>
              <w:rPr>
                <w:b w:val="0"/>
                <w:color w:val="262B30"/>
                <w:sz w:val="15"/>
              </w:rPr>
              <w:t>Identity, data boundaries, threat modeling, privacy-by-design</w:t>
            </w:r>
          </w:p>
        </w:tc>
        <w:tc>
          <w:tcPr>
            <w:tcW w:type="dxa" w:w="3331"/>
            <w:shd w:fill="F7F9FB"/>
          </w:tcPr>
          <w:p>
            <w:pPr>
              <w:jc w:val="left"/>
            </w:pPr>
            <w:r/>
            <w:r>
              <w:rPr>
                <w:b w:val="0"/>
                <w:color w:val="262B30"/>
                <w:sz w:val="15"/>
              </w:rPr>
              <w:t>Embedded security + privacy review</w:t>
            </w:r>
          </w:p>
        </w:tc>
      </w:tr>
      <w:tr>
        <w:trPr>
          <w:cantSplit/>
        </w:trPr>
        <w:tc>
          <w:tcPr>
            <w:tcW w:type="dxa" w:w="3331"/>
          </w:tcPr>
          <w:p>
            <w:pPr>
              <w:jc w:val="left"/>
            </w:pPr>
            <w:r/>
            <w:r>
              <w:rPr>
                <w:b/>
                <w:color w:val="262B30"/>
                <w:sz w:val="15"/>
              </w:rPr>
              <w:t>AI SRE / Operations</w:t>
            </w:r>
          </w:p>
        </w:tc>
        <w:tc>
          <w:tcPr>
            <w:tcW w:type="dxa" w:w="3331"/>
          </w:tcPr>
          <w:p>
            <w:pPr>
              <w:jc w:val="left"/>
            </w:pPr>
            <w:r/>
            <w:r>
              <w:rPr>
                <w:b w:val="0"/>
                <w:color w:val="262B30"/>
                <w:sz w:val="15"/>
              </w:rPr>
              <w:t>Production reliability, incident response, performance, cost</w:t>
            </w:r>
          </w:p>
        </w:tc>
        <w:tc>
          <w:tcPr>
            <w:tcW w:type="dxa" w:w="3331"/>
          </w:tcPr>
          <w:p>
            <w:pPr>
              <w:jc w:val="left"/>
            </w:pPr>
            <w:r/>
            <w:r>
              <w:rPr>
                <w:b w:val="0"/>
                <w:color w:val="262B30"/>
                <w:sz w:val="15"/>
              </w:rPr>
              <w:t>Platform SRE capability from Phase 2 onward</w:t>
            </w:r>
          </w:p>
        </w:tc>
      </w:tr>
    </w:tbl>
    <w:p>
      <w:pPr>
        <w:pStyle w:val="Heading1"/>
      </w:pPr>
      <w:r>
        <w:t>17. Executive Scorecard</w:t>
      </w:r>
    </w:p>
    <w:tbl>
      <w:tblPr>
        <w:tblW w:type="auto" w:w="0"/>
        <w:jc w:val="center"/>
        <w:tblLook w:firstColumn="1" w:firstRow="1" w:lastColumn="0" w:lastRow="0" w:noHBand="0" w:noVBand="1" w:val="04A0"/>
      </w:tblPr>
      <w:tblGrid>
        <w:gridCol w:w="2498"/>
        <w:gridCol w:w="2498"/>
        <w:gridCol w:w="2498"/>
        <w:gridCol w:w="2498"/>
      </w:tblGrid>
      <w:tr>
        <w:trPr>
          <w:tblHeader w:val="true"/>
        </w:trPr>
        <w:tc>
          <w:tcPr>
            <w:tcW w:type="dxa" w:w="2376"/>
            <w:shd w:fill="193048"/>
          </w:tcPr>
          <w:p>
            <w:pPr>
              <w:jc w:val="left"/>
            </w:pPr>
            <w:r/>
            <w:r>
              <w:rPr>
                <w:b/>
                <w:color w:val="FFFFFF"/>
                <w:sz w:val="17"/>
              </w:rPr>
              <w:t>Dimension</w:t>
            </w:r>
          </w:p>
        </w:tc>
        <w:tc>
          <w:tcPr>
            <w:tcW w:type="dxa" w:w="2376"/>
            <w:shd w:fill="193048"/>
          </w:tcPr>
          <w:p>
            <w:pPr>
              <w:jc w:val="left"/>
            </w:pPr>
            <w:r/>
            <w:r>
              <w:rPr>
                <w:b/>
                <w:color w:val="FFFFFF"/>
                <w:sz w:val="17"/>
              </w:rPr>
              <w:t>Baseline problem</w:t>
            </w:r>
          </w:p>
        </w:tc>
        <w:tc>
          <w:tcPr>
            <w:tcW w:type="dxa" w:w="2376"/>
            <w:shd w:fill="193048"/>
          </w:tcPr>
          <w:p>
            <w:pPr>
              <w:jc w:val="left"/>
            </w:pPr>
            <w:r/>
            <w:r>
              <w:rPr>
                <w:b/>
                <w:color w:val="FFFFFF"/>
                <w:sz w:val="17"/>
              </w:rPr>
              <w:t>Target state</w:t>
            </w:r>
          </w:p>
        </w:tc>
        <w:tc>
          <w:tcPr>
            <w:tcW w:type="dxa" w:w="2376"/>
            <w:shd w:fill="193048"/>
          </w:tcPr>
          <w:p>
            <w:pPr>
              <w:jc w:val="left"/>
            </w:pPr>
            <w:r/>
            <w:r>
              <w:rPr>
                <w:b/>
                <w:color w:val="FFFFFF"/>
                <w:sz w:val="17"/>
              </w:rPr>
              <w:t>Executive metric</w:t>
            </w:r>
          </w:p>
        </w:tc>
      </w:tr>
      <w:tr>
        <w:trPr>
          <w:cantSplit/>
        </w:trPr>
        <w:tc>
          <w:tcPr>
            <w:tcW w:type="dxa" w:w="2498"/>
            <w:shd w:fill="F1F4F7"/>
          </w:tcPr>
          <w:p>
            <w:pPr>
              <w:jc w:val="left"/>
            </w:pPr>
            <w:r/>
            <w:r>
              <w:rPr>
                <w:b/>
                <w:color w:val="262B30"/>
                <w:sz w:val="16"/>
              </w:rPr>
              <w:t>Adoption</w:t>
            </w:r>
          </w:p>
        </w:tc>
        <w:tc>
          <w:tcPr>
            <w:tcW w:type="dxa" w:w="2498"/>
          </w:tcPr>
          <w:p>
            <w:pPr>
              <w:jc w:val="left"/>
            </w:pPr>
            <w:r/>
            <w:r>
              <w:rPr>
                <w:b w:val="0"/>
                <w:color w:val="262B30"/>
                <w:sz w:val="16"/>
              </w:rPr>
              <w:t># active users</w:t>
            </w:r>
          </w:p>
        </w:tc>
        <w:tc>
          <w:tcPr>
            <w:tcW w:type="dxa" w:w="2498"/>
          </w:tcPr>
          <w:p>
            <w:pPr>
              <w:jc w:val="left"/>
            </w:pPr>
            <w:r/>
            <w:r>
              <w:rPr>
                <w:b w:val="0"/>
                <w:color w:val="262B30"/>
                <w:sz w:val="16"/>
              </w:rPr>
              <w:t>% target population active monthly</w:t>
            </w:r>
          </w:p>
        </w:tc>
        <w:tc>
          <w:tcPr>
            <w:tcW w:type="dxa" w:w="2498"/>
          </w:tcPr>
          <w:p>
            <w:pPr>
              <w:jc w:val="left"/>
            </w:pPr>
            <w:r/>
            <w:r>
              <w:rPr>
                <w:b w:val="0"/>
                <w:color w:val="262B30"/>
                <w:sz w:val="16"/>
              </w:rPr>
              <w:t>Weekly / monthly active users</w:t>
            </w:r>
          </w:p>
        </w:tc>
      </w:tr>
      <w:tr>
        <w:trPr>
          <w:cantSplit/>
        </w:trPr>
        <w:tc>
          <w:tcPr>
            <w:tcW w:type="dxa" w:w="2498"/>
            <w:shd w:fill="F1F4F7"/>
          </w:tcPr>
          <w:p>
            <w:pPr>
              <w:jc w:val="left"/>
            </w:pPr>
            <w:r/>
            <w:r>
              <w:rPr>
                <w:b/>
                <w:color w:val="262B30"/>
                <w:sz w:val="16"/>
              </w:rPr>
              <w:t>Utility</w:t>
            </w:r>
          </w:p>
        </w:tc>
        <w:tc>
          <w:tcPr>
            <w:tcW w:type="dxa" w:w="2498"/>
          </w:tcPr>
          <w:p>
            <w:pPr>
              <w:jc w:val="left"/>
            </w:pPr>
            <w:r/>
            <w:r>
              <w:rPr>
                <w:b w:val="0"/>
                <w:color w:val="262B30"/>
                <w:sz w:val="16"/>
              </w:rPr>
              <w:t>Low task completion through AI</w:t>
            </w:r>
          </w:p>
        </w:tc>
        <w:tc>
          <w:tcPr>
            <w:tcW w:type="dxa" w:w="2498"/>
          </w:tcPr>
          <w:p>
            <w:pPr>
              <w:jc w:val="left"/>
            </w:pPr>
            <w:r/>
            <w:r>
              <w:rPr>
                <w:b w:val="0"/>
                <w:color w:val="262B30"/>
                <w:sz w:val="16"/>
              </w:rPr>
              <w:t>AI completes or materially accelerates work</w:t>
            </w:r>
          </w:p>
        </w:tc>
        <w:tc>
          <w:tcPr>
            <w:tcW w:type="dxa" w:w="2498"/>
          </w:tcPr>
          <w:p>
            <w:pPr>
              <w:jc w:val="left"/>
            </w:pPr>
            <w:r/>
            <w:r>
              <w:rPr>
                <w:b w:val="0"/>
                <w:color w:val="262B30"/>
                <w:sz w:val="16"/>
              </w:rPr>
              <w:t>Task success / time saved</w:t>
            </w:r>
          </w:p>
        </w:tc>
      </w:tr>
      <w:tr>
        <w:trPr>
          <w:cantSplit/>
        </w:trPr>
        <w:tc>
          <w:tcPr>
            <w:tcW w:type="dxa" w:w="2498"/>
            <w:shd w:fill="F1F4F7"/>
          </w:tcPr>
          <w:p>
            <w:pPr>
              <w:jc w:val="left"/>
            </w:pPr>
            <w:r/>
            <w:r>
              <w:rPr>
                <w:b/>
                <w:color w:val="262B30"/>
                <w:sz w:val="16"/>
              </w:rPr>
              <w:t>Trust</w:t>
            </w:r>
          </w:p>
        </w:tc>
        <w:tc>
          <w:tcPr>
            <w:tcW w:type="dxa" w:w="2498"/>
          </w:tcPr>
          <w:p>
            <w:pPr>
              <w:jc w:val="left"/>
            </w:pPr>
            <w:r/>
            <w:r>
              <w:rPr>
                <w:b w:val="0"/>
                <w:color w:val="262B30"/>
                <w:sz w:val="16"/>
              </w:rPr>
              <w:t>Low citation / policy confidence</w:t>
            </w:r>
          </w:p>
        </w:tc>
        <w:tc>
          <w:tcPr>
            <w:tcW w:type="dxa" w:w="2498"/>
          </w:tcPr>
          <w:p>
            <w:pPr>
              <w:jc w:val="left"/>
            </w:pPr>
            <w:r/>
            <w:r>
              <w:rPr>
                <w:b w:val="0"/>
                <w:color w:val="262B30"/>
                <w:sz w:val="16"/>
              </w:rPr>
              <w:t>High groundedness + low policy incidents</w:t>
            </w:r>
          </w:p>
        </w:tc>
        <w:tc>
          <w:tcPr>
            <w:tcW w:type="dxa" w:w="2498"/>
          </w:tcPr>
          <w:p>
            <w:pPr>
              <w:jc w:val="left"/>
            </w:pPr>
            <w:r/>
            <w:r>
              <w:rPr>
                <w:b w:val="0"/>
                <w:color w:val="262B30"/>
                <w:sz w:val="16"/>
              </w:rPr>
              <w:t>Citation correctness; incident rate</w:t>
            </w:r>
          </w:p>
        </w:tc>
      </w:tr>
      <w:tr>
        <w:trPr>
          <w:cantSplit/>
        </w:trPr>
        <w:tc>
          <w:tcPr>
            <w:tcW w:type="dxa" w:w="2498"/>
            <w:shd w:fill="F1F4F7"/>
          </w:tcPr>
          <w:p>
            <w:pPr>
              <w:jc w:val="left"/>
            </w:pPr>
            <w:r/>
            <w:r>
              <w:rPr>
                <w:b/>
                <w:color w:val="262B30"/>
                <w:sz w:val="16"/>
              </w:rPr>
              <w:t>Automation</w:t>
            </w:r>
          </w:p>
        </w:tc>
        <w:tc>
          <w:tcPr>
            <w:tcW w:type="dxa" w:w="2498"/>
          </w:tcPr>
          <w:p>
            <w:pPr>
              <w:jc w:val="left"/>
            </w:pPr>
            <w:r/>
            <w:r>
              <w:rPr>
                <w:b w:val="0"/>
                <w:color w:val="262B30"/>
                <w:sz w:val="16"/>
              </w:rPr>
              <w:t>Human handoffs</w:t>
            </w:r>
          </w:p>
        </w:tc>
        <w:tc>
          <w:tcPr>
            <w:tcW w:type="dxa" w:w="2498"/>
          </w:tcPr>
          <w:p>
            <w:pPr>
              <w:jc w:val="left"/>
            </w:pPr>
            <w:r/>
            <w:r>
              <w:rPr>
                <w:b w:val="0"/>
                <w:color w:val="262B30"/>
                <w:sz w:val="16"/>
              </w:rPr>
              <w:t>Bounded straight-through processing</w:t>
            </w:r>
          </w:p>
        </w:tc>
        <w:tc>
          <w:tcPr>
            <w:tcW w:type="dxa" w:w="2498"/>
          </w:tcPr>
          <w:p>
            <w:pPr>
              <w:jc w:val="left"/>
            </w:pPr>
            <w:r/>
            <w:r>
              <w:rPr>
                <w:b w:val="0"/>
                <w:color w:val="262B30"/>
                <w:sz w:val="16"/>
              </w:rPr>
              <w:t>% eligible workflows auto-completed</w:t>
            </w:r>
          </w:p>
        </w:tc>
      </w:tr>
      <w:tr>
        <w:trPr>
          <w:cantSplit/>
        </w:trPr>
        <w:tc>
          <w:tcPr>
            <w:tcW w:type="dxa" w:w="2498"/>
            <w:shd w:fill="F1F4F7"/>
          </w:tcPr>
          <w:p>
            <w:pPr>
              <w:jc w:val="left"/>
            </w:pPr>
            <w:r/>
            <w:r>
              <w:rPr>
                <w:b/>
                <w:color w:val="262B30"/>
                <w:sz w:val="16"/>
              </w:rPr>
              <w:t>Quality</w:t>
            </w:r>
          </w:p>
        </w:tc>
        <w:tc>
          <w:tcPr>
            <w:tcW w:type="dxa" w:w="2498"/>
          </w:tcPr>
          <w:p>
            <w:pPr>
              <w:jc w:val="left"/>
            </w:pPr>
            <w:r/>
            <w:r>
              <w:rPr>
                <w:b w:val="0"/>
                <w:color w:val="262B30"/>
                <w:sz w:val="16"/>
              </w:rPr>
              <w:t>Variable agent trajectories</w:t>
            </w:r>
          </w:p>
        </w:tc>
        <w:tc>
          <w:tcPr>
            <w:tcW w:type="dxa" w:w="2498"/>
          </w:tcPr>
          <w:p>
            <w:pPr>
              <w:jc w:val="left"/>
            </w:pPr>
            <w:r/>
            <w:r>
              <w:rPr>
                <w:b w:val="0"/>
                <w:color w:val="262B30"/>
                <w:sz w:val="16"/>
              </w:rPr>
              <w:t>Stable production quality</w:t>
            </w:r>
          </w:p>
        </w:tc>
        <w:tc>
          <w:tcPr>
            <w:tcW w:type="dxa" w:w="2498"/>
          </w:tcPr>
          <w:p>
            <w:pPr>
              <w:jc w:val="left"/>
            </w:pPr>
            <w:r/>
            <w:r>
              <w:rPr>
                <w:b w:val="0"/>
                <w:color w:val="262B30"/>
                <w:sz w:val="16"/>
              </w:rPr>
              <w:t>Regression pass rate; trajectory failure rate</w:t>
            </w:r>
          </w:p>
        </w:tc>
      </w:tr>
      <w:tr>
        <w:trPr>
          <w:cantSplit/>
        </w:trPr>
        <w:tc>
          <w:tcPr>
            <w:tcW w:type="dxa" w:w="2498"/>
            <w:shd w:fill="F1F4F7"/>
          </w:tcPr>
          <w:p>
            <w:pPr>
              <w:jc w:val="left"/>
            </w:pPr>
            <w:r/>
            <w:r>
              <w:rPr>
                <w:b/>
                <w:color w:val="262B30"/>
                <w:sz w:val="16"/>
              </w:rPr>
              <w:t>Economics</w:t>
            </w:r>
          </w:p>
        </w:tc>
        <w:tc>
          <w:tcPr>
            <w:tcW w:type="dxa" w:w="2498"/>
          </w:tcPr>
          <w:p>
            <w:pPr>
              <w:jc w:val="left"/>
            </w:pPr>
            <w:r/>
            <w:r>
              <w:rPr>
                <w:b w:val="0"/>
                <w:color w:val="262B30"/>
                <w:sz w:val="16"/>
              </w:rPr>
              <w:t>Opaque AI spend</w:t>
            </w:r>
          </w:p>
        </w:tc>
        <w:tc>
          <w:tcPr>
            <w:tcW w:type="dxa" w:w="2498"/>
          </w:tcPr>
          <w:p>
            <w:pPr>
              <w:jc w:val="left"/>
            </w:pPr>
            <w:r/>
            <w:r>
              <w:rPr>
                <w:b w:val="0"/>
                <w:color w:val="262B30"/>
                <w:sz w:val="16"/>
              </w:rPr>
              <w:t>Measured cost per business outcome</w:t>
            </w:r>
          </w:p>
        </w:tc>
        <w:tc>
          <w:tcPr>
            <w:tcW w:type="dxa" w:w="2498"/>
          </w:tcPr>
          <w:p>
            <w:pPr>
              <w:jc w:val="left"/>
            </w:pPr>
            <w:r/>
            <w:r>
              <w:rPr>
                <w:b w:val="0"/>
                <w:color w:val="262B30"/>
                <w:sz w:val="16"/>
              </w:rPr>
              <w:t>$/completed task; model utilization</w:t>
            </w:r>
          </w:p>
        </w:tc>
      </w:tr>
      <w:tr>
        <w:trPr>
          <w:cantSplit/>
        </w:trPr>
        <w:tc>
          <w:tcPr>
            <w:tcW w:type="dxa" w:w="2498"/>
            <w:shd w:fill="F1F4F7"/>
          </w:tcPr>
          <w:p>
            <w:pPr>
              <w:jc w:val="left"/>
            </w:pPr>
            <w:r/>
            <w:r>
              <w:rPr>
                <w:b/>
                <w:color w:val="262B30"/>
                <w:sz w:val="16"/>
              </w:rPr>
              <w:t>Resilience</w:t>
            </w:r>
          </w:p>
        </w:tc>
        <w:tc>
          <w:tcPr>
            <w:tcW w:type="dxa" w:w="2498"/>
          </w:tcPr>
          <w:p>
            <w:pPr>
              <w:jc w:val="left"/>
            </w:pPr>
            <w:r/>
            <w:r>
              <w:rPr>
                <w:b w:val="0"/>
                <w:color w:val="262B30"/>
                <w:sz w:val="16"/>
              </w:rPr>
              <w:t>Fragile pilots</w:t>
            </w:r>
          </w:p>
        </w:tc>
        <w:tc>
          <w:tcPr>
            <w:tcW w:type="dxa" w:w="2498"/>
          </w:tcPr>
          <w:p>
            <w:pPr>
              <w:jc w:val="left"/>
            </w:pPr>
            <w:r/>
            <w:r>
              <w:rPr>
                <w:b w:val="0"/>
                <w:color w:val="262B30"/>
                <w:sz w:val="16"/>
              </w:rPr>
              <w:t>Recoverable, observable platform</w:t>
            </w:r>
          </w:p>
        </w:tc>
        <w:tc>
          <w:tcPr>
            <w:tcW w:type="dxa" w:w="2498"/>
          </w:tcPr>
          <w:p>
            <w:pPr>
              <w:jc w:val="left"/>
            </w:pPr>
            <w:r/>
            <w:r>
              <w:rPr>
                <w:b w:val="0"/>
                <w:color w:val="262B30"/>
                <w:sz w:val="16"/>
              </w:rPr>
              <w:t>MTTR; fallback success rate</w:t>
            </w:r>
          </w:p>
        </w:tc>
      </w:tr>
      <w:tr>
        <w:trPr>
          <w:cantSplit/>
        </w:trPr>
        <w:tc>
          <w:tcPr>
            <w:tcW w:type="dxa" w:w="2498"/>
            <w:shd w:fill="F1F4F7"/>
          </w:tcPr>
          <w:p>
            <w:pPr>
              <w:jc w:val="left"/>
            </w:pPr>
            <w:r/>
            <w:r>
              <w:rPr>
                <w:b/>
                <w:color w:val="262B30"/>
                <w:sz w:val="16"/>
              </w:rPr>
              <w:t>Platform leverage</w:t>
            </w:r>
          </w:p>
        </w:tc>
        <w:tc>
          <w:tcPr>
            <w:tcW w:type="dxa" w:w="2498"/>
          </w:tcPr>
          <w:p>
            <w:pPr>
              <w:jc w:val="left"/>
            </w:pPr>
            <w:r/>
            <w:r>
              <w:rPr>
                <w:b w:val="0"/>
                <w:color w:val="262B30"/>
                <w:sz w:val="16"/>
              </w:rPr>
              <w:t>Duplicate agents</w:t>
            </w:r>
          </w:p>
        </w:tc>
        <w:tc>
          <w:tcPr>
            <w:tcW w:type="dxa" w:w="2498"/>
          </w:tcPr>
          <w:p>
            <w:pPr>
              <w:jc w:val="left"/>
            </w:pPr>
            <w:r/>
            <w:r>
              <w:rPr>
                <w:b w:val="0"/>
                <w:color w:val="262B30"/>
                <w:sz w:val="16"/>
              </w:rPr>
              <w:t>Shared primitives reused across domains</w:t>
            </w:r>
          </w:p>
        </w:tc>
        <w:tc>
          <w:tcPr>
            <w:tcW w:type="dxa" w:w="2498"/>
          </w:tcPr>
          <w:p>
            <w:pPr>
              <w:jc w:val="left"/>
            </w:pPr>
            <w:r/>
            <w:r>
              <w:rPr>
                <w:b w:val="0"/>
                <w:color w:val="262B30"/>
                <w:sz w:val="16"/>
              </w:rPr>
              <w:t>% workloads using platform components</w:t>
            </w:r>
          </w:p>
        </w:tc>
      </w:tr>
    </w:tbl>
    <w:p>
      <w:pPr>
        <w:pStyle w:val="Heading2"/>
      </w:pPr>
      <w:r>
        <w:t>Developer Ecosystem KPIs</w:t>
      </w:r>
    </w:p>
    <w:p>
      <w:pPr>
        <w:pStyle w:val="ListBullet"/>
      </w:pPr>
      <w:r>
        <w:t>Reuse rate: percentage of new AI applications using existing certified skills/tools.</w:t>
      </w:r>
    </w:p>
    <w:p>
      <w:pPr>
        <w:pStyle w:val="ListBullet"/>
      </w:pPr>
      <w:r>
        <w:t>Time to production: median time from registration to certified production capability.</w:t>
      </w:r>
    </w:p>
    <w:p>
      <w:pPr>
        <w:pStyle w:val="ListBullet"/>
      </w:pPr>
      <w:r>
        <w:t>Certification coverage: percentage of production capabilities with current evaluations and named owners.</w:t>
      </w:r>
    </w:p>
    <w:p>
      <w:pPr>
        <w:pStyle w:val="ListBullet"/>
      </w:pPr>
      <w:r>
        <w:t>Capability health: failure rate, policy violations, latency, cost and rollback frequency by skill/tool.</w:t>
      </w:r>
    </w:p>
    <w:p>
      <w:pPr>
        <w:pStyle w:val="ListBullet"/>
      </w:pPr>
      <w:r>
        <w:t>Ecosystem concentration: percentage of critical workflows dependent on a single vendor/model/tool implementation.</w:t>
      </w:r>
    </w:p>
    <w:p>
      <w:pPr>
        <w:pStyle w:val="Heading1"/>
      </w:pPr>
      <w:r>
        <w:t>18. CTO Decisions Required</w:t>
      </w:r>
    </w:p>
    <w:p>
      <w:pPr>
        <w:spacing w:after="80"/>
        <w:ind w:left="115" w:hanging="115"/>
      </w:pPr>
      <w:r>
        <w:rPr>
          <w:b w:val="0"/>
        </w:rPr>
        <w:t xml:space="preserve">1. </w:t>
      </w:r>
      <w:r>
        <w:t>Approve the AI operating-system charter and the separation of reasoning from authority.</w:t>
      </w:r>
    </w:p>
    <w:p>
      <w:pPr>
        <w:spacing w:after="80"/>
        <w:ind w:left="115" w:hanging="115"/>
      </w:pPr>
      <w:r>
        <w:rPr>
          <w:b w:val="0"/>
        </w:rPr>
        <w:t xml:space="preserve">2. </w:t>
      </w:r>
      <w:r>
        <w:t>Adopt the five-plane reference architecture as the default for new AI capabilities.</w:t>
      </w:r>
    </w:p>
    <w:p>
      <w:pPr>
        <w:spacing w:after="80"/>
        <w:ind w:left="115" w:hanging="115"/>
      </w:pPr>
      <w:r>
        <w:rPr>
          <w:b w:val="0"/>
        </w:rPr>
        <w:t xml:space="preserve">3. </w:t>
      </w:r>
      <w:r>
        <w:t>Fund a central AI platform team responsible for runtime, tool plane, evaluation, observability, governance integration and developer experience.</w:t>
      </w:r>
    </w:p>
    <w:p>
      <w:pPr>
        <w:spacing w:after="80"/>
        <w:ind w:left="115" w:hanging="115"/>
      </w:pPr>
      <w:r>
        <w:rPr>
          <w:b w:val="0"/>
        </w:rPr>
        <w:t xml:space="preserve">4. </w:t>
      </w:r>
      <w:r>
        <w:t>Mandate a risk-tiered autonomy policy, with explicit prohibition of unrestricted autonomous execution of material financial / fiduciary actions.</w:t>
      </w:r>
    </w:p>
    <w:p>
      <w:pPr>
        <w:spacing w:after="80"/>
        <w:ind w:left="115" w:hanging="115"/>
      </w:pPr>
      <w:r>
        <w:rPr>
          <w:b w:val="0"/>
        </w:rPr>
        <w:t xml:space="preserve">5. </w:t>
      </w:r>
      <w:r>
        <w:t>Choose 3–5 lighthouse workflows that combine strong business value with manageable risk and reusable platform requirements.</w:t>
      </w:r>
    </w:p>
    <w:p>
      <w:pPr>
        <w:spacing w:after="80"/>
        <w:ind w:left="115" w:hanging="115"/>
      </w:pPr>
      <w:r>
        <w:rPr>
          <w:b w:val="0"/>
        </w:rPr>
        <w:t xml:space="preserve">6. </w:t>
      </w:r>
      <w:r>
        <w:t>Require every production agent to have a documented identity, tool inventory, data sources, risk tier, evaluation suite, operating budget, audit trail and rollback / stop strategy.</w:t>
      </w:r>
    </w:p>
    <w:p>
      <w:pPr>
        <w:pStyle w:val="Heading1"/>
      </w:pPr>
      <w:r>
        <w:t>19. Principal Risks and Mitigations</w:t>
      </w:r>
    </w:p>
    <w:tbl>
      <w:tblPr>
        <w:tblW w:type="auto" w:w="0"/>
        <w:jc w:val="center"/>
        <w:tblLook w:firstColumn="1" w:firstRow="1" w:lastColumn="0" w:lastRow="0" w:noHBand="0" w:noVBand="1" w:val="04A0"/>
      </w:tblPr>
      <w:tblGrid>
        <w:gridCol w:w="3331"/>
        <w:gridCol w:w="3331"/>
        <w:gridCol w:w="3331"/>
      </w:tblGrid>
      <w:tr>
        <w:trPr>
          <w:tblHeader w:val="true"/>
        </w:trPr>
        <w:tc>
          <w:tcPr>
            <w:tcW w:type="dxa" w:w="2232"/>
            <w:shd w:fill="193048"/>
          </w:tcPr>
          <w:p>
            <w:pPr>
              <w:jc w:val="left"/>
            </w:pPr>
            <w:r/>
            <w:r>
              <w:rPr>
                <w:b/>
                <w:color w:val="FFFFFF"/>
                <w:sz w:val="16"/>
              </w:rPr>
              <w:t>Risk</w:t>
            </w:r>
          </w:p>
        </w:tc>
        <w:tc>
          <w:tcPr>
            <w:tcW w:type="dxa" w:w="3816"/>
            <w:shd w:fill="193048"/>
          </w:tcPr>
          <w:p>
            <w:pPr>
              <w:jc w:val="left"/>
            </w:pPr>
            <w:r/>
            <w:r>
              <w:rPr>
                <w:b/>
                <w:color w:val="FFFFFF"/>
                <w:sz w:val="16"/>
              </w:rPr>
              <w:t>Why it matters to a pension fund</w:t>
            </w:r>
          </w:p>
        </w:tc>
        <w:tc>
          <w:tcPr>
            <w:tcW w:type="dxa" w:w="3888"/>
            <w:shd w:fill="193048"/>
          </w:tcPr>
          <w:p>
            <w:pPr>
              <w:jc w:val="left"/>
            </w:pPr>
            <w:r/>
            <w:r>
              <w:rPr>
                <w:b/>
                <w:color w:val="FFFFFF"/>
                <w:sz w:val="16"/>
              </w:rPr>
              <w:t>Mitigation</w:t>
            </w:r>
          </w:p>
        </w:tc>
      </w:tr>
      <w:tr>
        <w:trPr>
          <w:cantSplit/>
        </w:trPr>
        <w:tc>
          <w:tcPr>
            <w:tcW w:type="dxa" w:w="3331"/>
            <w:shd w:fill="F7F9FB"/>
          </w:tcPr>
          <w:p>
            <w:pPr>
              <w:jc w:val="left"/>
            </w:pPr>
            <w:r/>
            <w:r>
              <w:rPr>
                <w:b/>
                <w:color w:val="262B30"/>
                <w:sz w:val="15"/>
              </w:rPr>
              <w:t>Hallucinated investment / policy facts</w:t>
            </w:r>
          </w:p>
        </w:tc>
        <w:tc>
          <w:tcPr>
            <w:tcW w:type="dxa" w:w="3331"/>
            <w:shd w:fill="F7F9FB"/>
          </w:tcPr>
          <w:p>
            <w:pPr>
              <w:jc w:val="left"/>
            </w:pPr>
            <w:r/>
            <w:r>
              <w:rPr>
                <w:b w:val="0"/>
                <w:color w:val="262B30"/>
                <w:sz w:val="15"/>
              </w:rPr>
              <w:t>Could mislead decisions or create inaccurate records</w:t>
            </w:r>
          </w:p>
        </w:tc>
        <w:tc>
          <w:tcPr>
            <w:tcW w:type="dxa" w:w="3331"/>
            <w:shd w:fill="F7F9FB"/>
          </w:tcPr>
          <w:p>
            <w:pPr>
              <w:jc w:val="left"/>
            </w:pPr>
            <w:r/>
            <w:r>
              <w:rPr>
                <w:b w:val="0"/>
                <w:color w:val="262B30"/>
                <w:sz w:val="15"/>
              </w:rPr>
              <w:t>Grounded retrieval, citations, source locking, independent calculations, human sign-off</w:t>
            </w:r>
          </w:p>
        </w:tc>
      </w:tr>
      <w:tr>
        <w:trPr>
          <w:cantSplit/>
        </w:trPr>
        <w:tc>
          <w:tcPr>
            <w:tcW w:type="dxa" w:w="3331"/>
          </w:tcPr>
          <w:p>
            <w:pPr>
              <w:jc w:val="left"/>
            </w:pPr>
            <w:r/>
            <w:r>
              <w:rPr>
                <w:b/>
                <w:color w:val="262B30"/>
                <w:sz w:val="15"/>
              </w:rPr>
              <w:t>Prompt injection / data exfiltration</w:t>
            </w:r>
          </w:p>
        </w:tc>
        <w:tc>
          <w:tcPr>
            <w:tcW w:type="dxa" w:w="3331"/>
          </w:tcPr>
          <w:p>
            <w:pPr>
              <w:jc w:val="left"/>
            </w:pPr>
            <w:r/>
            <w:r>
              <w:rPr>
                <w:b w:val="0"/>
                <w:color w:val="262B30"/>
                <w:sz w:val="15"/>
              </w:rPr>
              <w:t>Untrusted documents or websites can manipulate agent behavior</w:t>
            </w:r>
          </w:p>
        </w:tc>
        <w:tc>
          <w:tcPr>
            <w:tcW w:type="dxa" w:w="3331"/>
          </w:tcPr>
          <w:p>
            <w:pPr>
              <w:jc w:val="left"/>
            </w:pPr>
            <w:r/>
            <w:r>
              <w:rPr>
                <w:b w:val="0"/>
                <w:color w:val="262B30"/>
                <w:sz w:val="15"/>
              </w:rPr>
              <w:t>Layered isolation, allowlisted tools, retrieval authorization, secret isolation, guardrails, egress control</w:t>
            </w:r>
          </w:p>
        </w:tc>
      </w:tr>
      <w:tr>
        <w:trPr>
          <w:cantSplit/>
        </w:trPr>
        <w:tc>
          <w:tcPr>
            <w:tcW w:type="dxa" w:w="3331"/>
            <w:shd w:fill="F7F9FB"/>
          </w:tcPr>
          <w:p>
            <w:pPr>
              <w:jc w:val="left"/>
            </w:pPr>
            <w:r/>
            <w:r>
              <w:rPr>
                <w:b/>
                <w:color w:val="262B30"/>
                <w:sz w:val="15"/>
              </w:rPr>
              <w:t>Over-privileged agents</w:t>
            </w:r>
          </w:p>
        </w:tc>
        <w:tc>
          <w:tcPr>
            <w:tcW w:type="dxa" w:w="3331"/>
            <w:shd w:fill="F7F9FB"/>
          </w:tcPr>
          <w:p>
            <w:pPr>
              <w:jc w:val="left"/>
            </w:pPr>
            <w:r/>
            <w:r>
              <w:rPr>
                <w:b w:val="0"/>
                <w:color w:val="262B30"/>
                <w:sz w:val="15"/>
              </w:rPr>
              <w:t>AI could perform actions beyond intended authority</w:t>
            </w:r>
          </w:p>
        </w:tc>
        <w:tc>
          <w:tcPr>
            <w:tcW w:type="dxa" w:w="3331"/>
            <w:shd w:fill="F7F9FB"/>
          </w:tcPr>
          <w:p>
            <w:pPr>
              <w:jc w:val="left"/>
            </w:pPr>
            <w:r/>
            <w:r>
              <w:rPr>
                <w:b w:val="0"/>
                <w:color w:val="262B30"/>
                <w:sz w:val="15"/>
              </w:rPr>
              <w:t>Agent identity, least privilege, scoped delegation, action-risk tiers, approvals</w:t>
            </w:r>
          </w:p>
        </w:tc>
      </w:tr>
      <w:tr>
        <w:trPr>
          <w:cantSplit/>
        </w:trPr>
        <w:tc>
          <w:tcPr>
            <w:tcW w:type="dxa" w:w="3331"/>
          </w:tcPr>
          <w:p>
            <w:pPr>
              <w:jc w:val="left"/>
            </w:pPr>
            <w:r/>
            <w:r>
              <w:rPr>
                <w:b/>
                <w:color w:val="262B30"/>
                <w:sz w:val="15"/>
              </w:rPr>
              <w:t>Model drift / provider changes</w:t>
            </w:r>
          </w:p>
        </w:tc>
        <w:tc>
          <w:tcPr>
            <w:tcW w:type="dxa" w:w="3331"/>
          </w:tcPr>
          <w:p>
            <w:pPr>
              <w:jc w:val="left"/>
            </w:pPr>
            <w:r/>
            <w:r>
              <w:rPr>
                <w:b w:val="0"/>
                <w:color w:val="262B30"/>
                <w:sz w:val="15"/>
              </w:rPr>
              <w:t>Behavior may change without code changes</w:t>
            </w:r>
          </w:p>
        </w:tc>
        <w:tc>
          <w:tcPr>
            <w:tcW w:type="dxa" w:w="3331"/>
          </w:tcPr>
          <w:p>
            <w:pPr>
              <w:jc w:val="left"/>
            </w:pPr>
            <w:r/>
            <w:r>
              <w:rPr>
                <w:b w:val="0"/>
                <w:color w:val="262B30"/>
                <w:sz w:val="15"/>
              </w:rPr>
              <w:t>Version pinning, benchmark gates, canaries, fallback models, change management</w:t>
            </w:r>
          </w:p>
        </w:tc>
      </w:tr>
      <w:tr>
        <w:trPr>
          <w:cantSplit/>
        </w:trPr>
        <w:tc>
          <w:tcPr>
            <w:tcW w:type="dxa" w:w="3331"/>
            <w:shd w:fill="F7F9FB"/>
          </w:tcPr>
          <w:p>
            <w:pPr>
              <w:jc w:val="left"/>
            </w:pPr>
            <w:r/>
            <w:r>
              <w:rPr>
                <w:b/>
                <w:color w:val="262B30"/>
                <w:sz w:val="15"/>
              </w:rPr>
              <w:t>Runaway autonomy</w:t>
            </w:r>
          </w:p>
        </w:tc>
        <w:tc>
          <w:tcPr>
            <w:tcW w:type="dxa" w:w="3331"/>
            <w:shd w:fill="F7F9FB"/>
          </w:tcPr>
          <w:p>
            <w:pPr>
              <w:jc w:val="left"/>
            </w:pPr>
            <w:r/>
            <w:r>
              <w:rPr>
                <w:b w:val="0"/>
                <w:color w:val="262B30"/>
                <w:sz w:val="15"/>
              </w:rPr>
              <w:t>Long-running loops can create cost or operational damage</w:t>
            </w:r>
          </w:p>
        </w:tc>
        <w:tc>
          <w:tcPr>
            <w:tcW w:type="dxa" w:w="3331"/>
            <w:shd w:fill="F7F9FB"/>
          </w:tcPr>
          <w:p>
            <w:pPr>
              <w:jc w:val="left"/>
            </w:pPr>
            <w:r/>
            <w:r>
              <w:rPr>
                <w:b w:val="0"/>
                <w:color w:val="262B30"/>
                <w:sz w:val="15"/>
              </w:rPr>
              <w:t>Budgets, deadlines, max steps, stop conditions, circuit breakers, approval gates</w:t>
            </w:r>
          </w:p>
        </w:tc>
      </w:tr>
      <w:tr>
        <w:trPr>
          <w:cantSplit/>
        </w:trPr>
        <w:tc>
          <w:tcPr>
            <w:tcW w:type="dxa" w:w="3331"/>
          </w:tcPr>
          <w:p>
            <w:pPr>
              <w:jc w:val="left"/>
            </w:pPr>
            <w:r/>
            <w:r>
              <w:rPr>
                <w:b/>
                <w:color w:val="262B30"/>
                <w:sz w:val="15"/>
              </w:rPr>
              <w:t>Institutional memory contamination</w:t>
            </w:r>
          </w:p>
        </w:tc>
        <w:tc>
          <w:tcPr>
            <w:tcW w:type="dxa" w:w="3331"/>
          </w:tcPr>
          <w:p>
            <w:pPr>
              <w:jc w:val="left"/>
            </w:pPr>
            <w:r/>
            <w:r>
              <w:rPr>
                <w:b w:val="0"/>
                <w:color w:val="262B30"/>
                <w:sz w:val="15"/>
              </w:rPr>
              <w:t>Wrong or stale information can become durable context</w:t>
            </w:r>
          </w:p>
        </w:tc>
        <w:tc>
          <w:tcPr>
            <w:tcW w:type="dxa" w:w="3331"/>
          </w:tcPr>
          <w:p>
            <w:pPr>
              <w:jc w:val="left"/>
            </w:pPr>
            <w:r/>
            <w:r>
              <w:rPr>
                <w:b w:val="0"/>
                <w:color w:val="262B30"/>
                <w:sz w:val="15"/>
              </w:rPr>
              <w:t>Conservative memory writes, provenance, expiry, correction workflow</w:t>
            </w:r>
          </w:p>
        </w:tc>
      </w:tr>
      <w:tr>
        <w:trPr>
          <w:cantSplit/>
        </w:trPr>
        <w:tc>
          <w:tcPr>
            <w:tcW w:type="dxa" w:w="3331"/>
            <w:shd w:fill="F7F9FB"/>
          </w:tcPr>
          <w:p>
            <w:pPr>
              <w:jc w:val="left"/>
            </w:pPr>
            <w:r/>
            <w:r>
              <w:rPr>
                <w:b/>
                <w:color w:val="262B30"/>
                <w:sz w:val="15"/>
              </w:rPr>
              <w:t>Vendor concentration</w:t>
            </w:r>
          </w:p>
        </w:tc>
        <w:tc>
          <w:tcPr>
            <w:tcW w:type="dxa" w:w="3331"/>
            <w:shd w:fill="F7F9FB"/>
          </w:tcPr>
          <w:p>
            <w:pPr>
              <w:jc w:val="left"/>
            </w:pPr>
            <w:r/>
            <w:r>
              <w:rPr>
                <w:b w:val="0"/>
                <w:color w:val="262B30"/>
                <w:sz w:val="15"/>
              </w:rPr>
              <w:t>Deep Bedrock dependency can increase switching cost</w:t>
            </w:r>
          </w:p>
        </w:tc>
        <w:tc>
          <w:tcPr>
            <w:tcW w:type="dxa" w:w="3331"/>
            <w:shd w:fill="F7F9FB"/>
          </w:tcPr>
          <w:p>
            <w:pPr>
              <w:jc w:val="left"/>
            </w:pPr>
            <w:r/>
            <w:r>
              <w:rPr>
                <w:b w:val="0"/>
                <w:color w:val="262B30"/>
                <w:sz w:val="15"/>
              </w:rPr>
              <w:t>Standard tool contracts, model abstraction, portable policy semantics, exportable audit</w:t>
            </w:r>
          </w:p>
        </w:tc>
      </w:tr>
      <w:tr>
        <w:trPr>
          <w:cantSplit/>
        </w:trPr>
        <w:tc>
          <w:tcPr>
            <w:tcW w:type="dxa" w:w="3331"/>
          </w:tcPr>
          <w:p>
            <w:pPr>
              <w:jc w:val="left"/>
            </w:pPr>
            <w:r/>
            <w:r>
              <w:rPr>
                <w:b/>
                <w:color w:val="262B30"/>
                <w:sz w:val="15"/>
              </w:rPr>
              <w:t>Shadow AI</w:t>
            </w:r>
          </w:p>
        </w:tc>
        <w:tc>
          <w:tcPr>
            <w:tcW w:type="dxa" w:w="3331"/>
          </w:tcPr>
          <w:p>
            <w:pPr>
              <w:jc w:val="left"/>
            </w:pPr>
            <w:r/>
            <w:r>
              <w:rPr>
                <w:b w:val="0"/>
                <w:color w:val="262B30"/>
                <w:sz w:val="15"/>
              </w:rPr>
              <w:t>Employees may bypass platform controls</w:t>
            </w:r>
          </w:p>
        </w:tc>
        <w:tc>
          <w:tcPr>
            <w:tcW w:type="dxa" w:w="3331"/>
          </w:tcPr>
          <w:p>
            <w:pPr>
              <w:jc w:val="left"/>
            </w:pPr>
            <w:r/>
            <w:r>
              <w:rPr>
                <w:b w:val="0"/>
                <w:color w:val="262B30"/>
                <w:sz w:val="15"/>
              </w:rPr>
              <w:t>Useful default AI workspace, DLP controls, policy, training, approved model access</w:t>
            </w:r>
          </w:p>
        </w:tc>
      </w:tr>
      <w:tr>
        <w:trPr>
          <w:cantSplit/>
        </w:trPr>
        <w:tc>
          <w:tcPr>
            <w:tcW w:type="dxa" w:w="3331"/>
            <w:shd w:fill="F7F9FB"/>
          </w:tcPr>
          <w:p>
            <w:pPr>
              <w:jc w:val="left"/>
            </w:pPr>
            <w:r/>
            <w:r>
              <w:rPr>
                <w:b/>
                <w:color w:val="262B30"/>
                <w:sz w:val="15"/>
              </w:rPr>
              <w:t>Weak evaluation</w:t>
            </w:r>
          </w:p>
        </w:tc>
        <w:tc>
          <w:tcPr>
            <w:tcW w:type="dxa" w:w="3331"/>
            <w:shd w:fill="F7F9FB"/>
          </w:tcPr>
          <w:p>
            <w:pPr>
              <w:jc w:val="left"/>
            </w:pPr>
            <w:r/>
            <w:r>
              <w:rPr>
                <w:b w:val="0"/>
                <w:color w:val="262B30"/>
                <w:sz w:val="15"/>
              </w:rPr>
              <w:t>Demos work, production fails on edge cases</w:t>
            </w:r>
          </w:p>
        </w:tc>
        <w:tc>
          <w:tcPr>
            <w:tcW w:type="dxa" w:w="3331"/>
            <w:shd w:fill="F7F9FB"/>
          </w:tcPr>
          <w:p>
            <w:pPr>
              <w:jc w:val="left"/>
            </w:pPr>
            <w:r/>
            <w:r>
              <w:rPr>
                <w:b w:val="0"/>
                <w:color w:val="262B30"/>
                <w:sz w:val="15"/>
              </w:rPr>
              <w:t>Fund-specific test sets, adversarial tests, trajectory evaluation, online monitoring</w:t>
            </w:r>
          </w:p>
        </w:tc>
      </w:tr>
    </w:tbl>
    <w:p>
      <w:pPr>
        <w:pStyle w:val="Heading1"/>
      </w:pPr>
      <w:r>
        <w:t>20. 90-Day Implementation Playbook</w:t>
      </w:r>
    </w:p>
    <w:p>
      <w:pPr>
        <w:spacing w:after="80"/>
        <w:ind w:left="115" w:hanging="115"/>
      </w:pPr>
      <w:r>
        <w:rPr>
          <w:b w:val="0"/>
        </w:rPr>
        <w:t xml:space="preserve">1. </w:t>
      </w:r>
      <w:r>
        <w:t>Create the enterprise AI platform charter, risk taxonomy and architecture standards.</w:t>
      </w:r>
    </w:p>
    <w:p>
      <w:pPr>
        <w:spacing w:after="80"/>
        <w:ind w:left="115" w:hanging="115"/>
      </w:pPr>
      <w:r>
        <w:rPr>
          <w:b w:val="0"/>
        </w:rPr>
        <w:t xml:space="preserve">2. </w:t>
      </w:r>
      <w:r>
        <w:t>Inventory current AI experiments, models, data sources, tools, vendors and shadow AI usage.</w:t>
      </w:r>
    </w:p>
    <w:p>
      <w:pPr>
        <w:spacing w:after="80"/>
        <w:ind w:left="115" w:hanging="115"/>
      </w:pPr>
      <w:r>
        <w:rPr>
          <w:b w:val="0"/>
        </w:rPr>
        <w:t xml:space="preserve">3. </w:t>
      </w:r>
      <w:r>
        <w:t>Stand up the secure Bedrock baseline with approved models, IAM, encryption, logging, network boundaries and initial guardrails.</w:t>
      </w:r>
    </w:p>
    <w:p>
      <w:pPr>
        <w:spacing w:after="80"/>
        <w:ind w:left="115" w:hanging="115"/>
      </w:pPr>
      <w:r>
        <w:rPr>
          <w:b w:val="0"/>
        </w:rPr>
        <w:t xml:space="preserve">4. </w:t>
      </w:r>
      <w:r>
        <w:t>Implement the agent/tool registry and a single production-grade tool contract pattern with idempotency and audit metadata.</w:t>
      </w:r>
    </w:p>
    <w:p>
      <w:pPr>
        <w:spacing w:after="80"/>
        <w:ind w:left="115" w:hanging="115"/>
      </w:pPr>
      <w:r>
        <w:rPr>
          <w:b w:val="0"/>
        </w:rPr>
        <w:t xml:space="preserve">5. </w:t>
      </w:r>
      <w:r>
        <w:t>Build one governed enterprise knowledge domain with ACL propagation, citations, freshness monitoring and evaluation.</w:t>
      </w:r>
    </w:p>
    <w:p>
      <w:pPr>
        <w:spacing w:after="80"/>
        <w:ind w:left="115" w:hanging="115"/>
      </w:pPr>
      <w:r>
        <w:rPr>
          <w:b w:val="0"/>
        </w:rPr>
        <w:t xml:space="preserve">6. </w:t>
      </w:r>
      <w:r>
        <w:t>Implement the agent evaluation harness and CI gate before onboarding additional production agents.</w:t>
      </w:r>
    </w:p>
    <w:p>
      <w:pPr>
        <w:spacing w:after="80"/>
        <w:ind w:left="115" w:hanging="115"/>
      </w:pPr>
      <w:r>
        <w:rPr>
          <w:b w:val="0"/>
        </w:rPr>
        <w:t xml:space="preserve">7. </w:t>
      </w:r>
      <w:r>
        <w:t>Launch an AI workspace for a constrained user group with three lighthouse use cases: investment research, operations exception resolution, and executive intelligence.</w:t>
      </w:r>
    </w:p>
    <w:p>
      <w:pPr>
        <w:spacing w:after="80"/>
        <w:ind w:left="115" w:hanging="115"/>
      </w:pPr>
      <w:r>
        <w:rPr>
          <w:b w:val="0"/>
        </w:rPr>
        <w:t xml:space="preserve">8. </w:t>
      </w:r>
      <w:r>
        <w:t>Define the first two L3 workflows where agents prepare work and humans approve execution; instrument the end-to-end control path.</w:t>
      </w:r>
    </w:p>
    <w:p>
      <w:pPr>
        <w:spacing w:after="80"/>
        <w:ind w:left="115" w:hanging="115"/>
      </w:pPr>
      <w:r>
        <w:rPr>
          <w:b w:val="0"/>
        </w:rPr>
        <w:t xml:space="preserve">9. </w:t>
      </w:r>
      <w:r>
        <w:t>Publish the first executive scorecard covering adoption, quality, risk, automation and unit economics.</w:t>
      </w:r>
    </w:p>
    <w:tbl>
      <w:tblPr>
        <w:tblW w:type="auto" w:w="0"/>
        <w:jc w:val="center"/>
        <w:tblLook w:firstColumn="1" w:firstRow="1" w:lastColumn="0" w:lastRow="0" w:noHBand="0" w:noVBand="1" w:val="04A0"/>
      </w:tblPr>
      <w:tblGrid>
        <w:gridCol w:w="9994"/>
      </w:tblGrid>
      <w:tr>
        <w:tc>
          <w:tcPr>
            <w:tcW w:type="dxa" w:w="9994"/>
            <w:shd w:fill="EAF6F5"/>
            <w:tcBorders>
              <w:top w:val="single" w:sz="1" w:color="DDE3E8"/>
              <w:left w:val="single" w:sz="10" w:color="237A7A"/>
              <w:bottom w:val="single" w:sz="1" w:color="DDE3E8"/>
              <w:right w:val="single" w:sz="1" w:color="DDE3E8"/>
            </w:tcBorders>
          </w:tcPr>
          <w:p>
            <w:pPr>
              <w:spacing w:after="40"/>
            </w:pPr>
            <w:r>
              <w:rPr>
                <w:b/>
                <w:color w:val="192D48"/>
                <w:sz w:val="21"/>
              </w:rPr>
              <w:t>Success criterion for 90 days</w:t>
            </w:r>
          </w:p>
          <w:p>
            <w:pPr>
              <w:spacing w:after="40"/>
            </w:pPr>
            <w:r>
              <w:rPr>
                <w:color w:val="262B30"/>
                <w:sz w:val="19"/>
              </w:rPr>
              <w:t>The goal is not a high number of pilots. The goal is one trusted production platform that can be reused by the next ten AI use cases without rebuilding identity, tools, knowledge, evaluation and observability.</w:t>
            </w:r>
          </w:p>
        </w:tc>
      </w:tr>
    </w:tbl>
    <w:p>
      <w:pPr>
        <w:spacing w:after="20"/>
      </w:pPr>
    </w:p>
    <w:p>
      <w:pPr>
        <w:pStyle w:val="Heading1"/>
      </w:pPr>
      <w:r>
        <w:t>Appendix A — Selected Reference Sources</w:t>
      </w:r>
    </w:p>
    <w:p>
      <w:pPr>
        <w:spacing w:after="80"/>
      </w:pPr>
      <w:r>
        <w:rPr>
          <w:color w:val="262B30"/>
          <w:sz w:val="16"/>
        </w:rPr>
        <w:t>[1] AWS, Amazon Bedrock AgentCore Overview — runtime, gateway, memory, identity and observability capabilities. https://docs.aws.amazon.com/bedrock-agentcore/latest/devguide/</w:t>
      </w:r>
    </w:p>
    <w:p>
      <w:pPr>
        <w:spacing w:after="80"/>
      </w:pPr>
      <w:r>
        <w:rPr>
          <w:color w:val="262B30"/>
          <w:sz w:val="16"/>
        </w:rPr>
        <w:t>[2] AWS, Supported models / regions for Amazon Bedrock Knowledge Bases — inference profiles and cross-Region inference. https://docs.aws.amazon.com/bedrock/latest/userguide/knowledge-base-supported.html</w:t>
      </w:r>
    </w:p>
    <w:p>
      <w:pPr>
        <w:spacing w:after="80"/>
      </w:pPr>
      <w:r>
        <w:rPr>
          <w:color w:val="262B30"/>
          <w:sz w:val="16"/>
        </w:rPr>
        <w:t>[3] AWS, Retrieving information using Amazon Bedrock Knowledge Bases — Retrieve, RetrieveAndGenerate, reranking and AgenticRetrieveStream. https://docs.aws.amazon.com/bedrock/latest/userguide/kb-how-retrieval.html</w:t>
      </w:r>
    </w:p>
    <w:p>
      <w:pPr>
        <w:spacing w:after="80"/>
      </w:pPr>
      <w:r>
        <w:rPr>
          <w:color w:val="262B30"/>
          <w:sz w:val="16"/>
        </w:rPr>
        <w:t>[4] AWS, Query a knowledge base — Guardrails apply to input and generated response, not retrieved references. https://docs.aws.amazon.com/bedrock/latest/userguide/kb-test-retrieve.html</w:t>
      </w:r>
    </w:p>
    <w:p>
      <w:pPr>
        <w:spacing w:after="80"/>
      </w:pPr>
      <w:r>
        <w:rPr>
          <w:color w:val="262B30"/>
          <w:sz w:val="16"/>
        </w:rPr>
        <w:t>[5] AWS, Bedrock AgentCore Identity — agent identity and credential management. https://docs.aws.amazon.com/bedrock-agentcore/latest/devguide/identity.html</w:t>
      </w:r>
    </w:p>
    <w:p>
      <w:pPr>
        <w:spacing w:after="80"/>
      </w:pPr>
      <w:r>
        <w:rPr>
          <w:color w:val="262B30"/>
          <w:sz w:val="16"/>
        </w:rPr>
        <w:t>[6] AWS, IAM Permissions for AgentCore Runtime — least-privilege production IAM guidance. https://docs.aws.amazon.com/bedrock-agentcore/latest/devguide/runtime-permissions.html</w:t>
      </w:r>
    </w:p>
    <w:p>
      <w:pPr>
        <w:spacing w:after="80"/>
      </w:pPr>
      <w:r>
        <w:rPr>
          <w:color w:val="262B30"/>
          <w:sz w:val="16"/>
        </w:rPr>
        <w:t>[7] AWS, Bedrock Guardrails — configurable safety, privacy and prompt-attack controls. https://docs.aws.amazon.com/bedrock/latest/userguide/guardrails.html</w:t>
      </w:r>
    </w:p>
    <w:p>
      <w:pPr>
        <w:spacing w:after="80"/>
      </w:pPr>
      <w:r>
        <w:rPr>
          <w:color w:val="262B30"/>
          <w:sz w:val="16"/>
        </w:rPr>
        <w:t>[8] AWS, Detect prompt attacks with Bedrock Guardrails. https://docs.aws.amazon.com/bedrock/latest/userguide/guardrails-prompt-attack.html</w:t>
      </w:r>
    </w:p>
    <w:p>
      <w:pPr>
        <w:spacing w:after="80"/>
      </w:pPr>
      <w:r>
        <w:rPr>
          <w:color w:val="262B30"/>
          <w:sz w:val="16"/>
        </w:rPr>
        <w:t>[9] AWS, Bedrock AgentCore Runtime / Gateway targets and tool integration. https://docs.aws.amazon.com/bedrock-agentcore/latest/devguide/gateway-target-http-runtime.html</w:t>
      </w:r>
    </w:p>
    <w:p>
      <w:pPr>
        <w:spacing w:after="80"/>
      </w:pPr>
      <w:r>
        <w:rPr>
          <w:color w:val="262B30"/>
          <w:sz w:val="16"/>
        </w:rPr>
        <w:t>[10] AWS, Multi-agent collaboration with Amazon Bedrock Agents — supervisor / collaborator model. https://docs.aws.amazon.com/en_us/bedrock/latest/userguide/agents-multi-agent-collaboration.html</w:t>
      </w:r>
    </w:p>
    <w:p>
      <w:pPr>
        <w:spacing w:after="80"/>
      </w:pPr>
      <w:r>
        <w:rPr>
          <w:color w:val="262B30"/>
          <w:sz w:val="16"/>
        </w:rPr>
        <w:t>[11] AWS, Bedrock AgentCore Memory — short-term and long-term memory strategies. https://docs.aws.amazon.com/bedrock-agentcore/latest/devguide/memory-get-started.html</w:t>
      </w:r>
    </w:p>
    <w:p>
      <w:pPr>
        <w:spacing w:after="80"/>
      </w:pPr>
      <w:r>
        <w:rPr>
          <w:color w:val="262B30"/>
          <w:sz w:val="16"/>
        </w:rPr>
        <w:t>[12] OSFI, Frontier Artificial Intelligence: Implications for Technology, Cyber Security, and Operational Resilience (April 2026). https://www.osfi-bsif.gc.ca/en/risks/technology-cyber-risk-management/technology-risk-bulletin/frontier-artificial-intelligence-implications-technology-cyber-security-operational-resilience</w:t>
      </w:r>
    </w:p>
    <w:p>
      <w:pPr>
        <w:spacing w:after="80"/>
      </w:pPr>
      <w:r>
        <w:rPr>
          <w:color w:val="262B30"/>
          <w:sz w:val="16"/>
        </w:rPr>
        <w:t>[13] Office of the Privacy Commissioner of Canada, AI, privacy and your business (modified May 2025; current guidance accessed 2026). https://www.priv.gc.ca/en/privacy-topics/technology/artificial-intelligence/ai_business/</w:t>
      </w:r>
    </w:p>
    <w:p>
      <w:pPr>
        <w:spacing w:after="80"/>
      </w:pPr>
      <w:r>
        <w:rPr>
          <w:color w:val="262B30"/>
          <w:sz w:val="16"/>
        </w:rPr>
        <w:t>[14] NIST, AI RMF 1.0 and Generative AI Profile. https://www.nist.gov/itl/ai-risk-management-framework ; https://www.nist.gov/publications/artificial-intelligence-risk-management-framework-generative-artificial-intelligence-profile</w:t>
      </w:r>
    </w:p>
    <w:p>
      <w:pPr>
        <w:spacing w:after="80"/>
      </w:pPr>
      <w:r>
        <w:rPr>
          <w:color w:val="262B30"/>
          <w:sz w:val="16"/>
        </w:rPr>
        <w:t>[15] AWS, Bedrock AgentCore Observability — traces, metrics and OpenTelemetry-compatible telemetry. https://docs.aws.amazon.com/bedrock-agentcore/latest/devguide/observability.html</w:t>
      </w:r>
    </w:p>
    <w:p>
      <w:r>
        <w:br w:type="page"/>
      </w:r>
    </w:p>
    <w:p>
      <w:pPr>
        <w:pStyle w:val="Heading1"/>
      </w:pPr>
      <w:r>
        <w:t>Appendix B — Reference Policy Schema for a Goal-Driven Agent</w:t>
      </w:r>
    </w:p>
    <w:p>
      <w:r>
        <w:t>A practical policy object should be machine-readable and versioned. The exact implementation can be JSON, a policy engine, or a workflow contract, but the semantic fields should be stable across agents.</w:t>
      </w:r>
    </w:p>
    <w:tbl>
      <w:tblPr>
        <w:tblW w:type="auto" w:w="0"/>
        <w:jc w:val="center"/>
        <w:tblLook w:firstColumn="1" w:firstRow="1" w:lastColumn="0" w:lastRow="0" w:noHBand="0" w:noVBand="1" w:val="04A0"/>
      </w:tblPr>
      <w:tblGrid>
        <w:gridCol w:w="4997"/>
        <w:gridCol w:w="4997"/>
      </w:tblGrid>
      <w:tr>
        <w:trPr>
          <w:tblHeader w:val="true"/>
        </w:trPr>
        <w:tc>
          <w:tcPr>
            <w:tcW w:type="dxa" w:w="2088"/>
            <w:shd w:fill="193048"/>
          </w:tcPr>
          <w:p>
            <w:pPr>
              <w:jc w:val="left"/>
            </w:pPr>
            <w:r/>
            <w:r>
              <w:rPr>
                <w:b/>
                <w:color w:val="FFFFFF"/>
                <w:sz w:val="16"/>
              </w:rPr>
              <w:t>Field</w:t>
            </w:r>
          </w:p>
        </w:tc>
        <w:tc>
          <w:tcPr>
            <w:tcW w:type="dxa" w:w="7704"/>
            <w:shd w:fill="193048"/>
          </w:tcPr>
          <w:p>
            <w:pPr>
              <w:jc w:val="left"/>
            </w:pPr>
            <w:r/>
            <w:r>
              <w:rPr>
                <w:b/>
                <w:color w:val="FFFFFF"/>
                <w:sz w:val="16"/>
              </w:rPr>
              <w:t>Purpose</w:t>
            </w:r>
          </w:p>
        </w:tc>
      </w:tr>
      <w:tr>
        <w:trPr>
          <w:cantSplit/>
        </w:trPr>
        <w:tc>
          <w:tcPr>
            <w:tcW w:type="dxa" w:w="4997"/>
            <w:shd w:fill="F7F9FB"/>
          </w:tcPr>
          <w:p>
            <w:pPr>
              <w:jc w:val="left"/>
            </w:pPr>
            <w:r/>
            <w:r>
              <w:rPr>
                <w:b/>
                <w:color w:val="262B30"/>
                <w:sz w:val="15"/>
              </w:rPr>
              <w:t>goal</w:t>
            </w:r>
          </w:p>
        </w:tc>
        <w:tc>
          <w:tcPr>
            <w:tcW w:type="dxa" w:w="4997"/>
            <w:shd w:fill="F7F9FB"/>
          </w:tcPr>
          <w:p>
            <w:pPr>
              <w:jc w:val="left"/>
            </w:pPr>
            <w:r/>
            <w:r>
              <w:rPr>
                <w:b w:val="0"/>
                <w:color w:val="262B30"/>
                <w:sz w:val="15"/>
              </w:rPr>
              <w:t>Business objective in unambiguous terms</w:t>
            </w:r>
          </w:p>
        </w:tc>
      </w:tr>
      <w:tr>
        <w:trPr>
          <w:cantSplit/>
        </w:trPr>
        <w:tc>
          <w:tcPr>
            <w:tcW w:type="dxa" w:w="4997"/>
          </w:tcPr>
          <w:p>
            <w:pPr>
              <w:jc w:val="left"/>
            </w:pPr>
            <w:r/>
            <w:r>
              <w:rPr>
                <w:b/>
                <w:color w:val="262B30"/>
                <w:sz w:val="15"/>
              </w:rPr>
              <w:t>scope</w:t>
            </w:r>
          </w:p>
        </w:tc>
        <w:tc>
          <w:tcPr>
            <w:tcW w:type="dxa" w:w="4997"/>
          </w:tcPr>
          <w:p>
            <w:pPr>
              <w:jc w:val="left"/>
            </w:pPr>
            <w:r/>
            <w:r>
              <w:rPr>
                <w:b w:val="0"/>
                <w:color w:val="262B30"/>
                <w:sz w:val="15"/>
              </w:rPr>
              <w:t>Entities, portfolios, systems and geography in scope</w:t>
            </w:r>
          </w:p>
        </w:tc>
      </w:tr>
      <w:tr>
        <w:trPr>
          <w:cantSplit/>
        </w:trPr>
        <w:tc>
          <w:tcPr>
            <w:tcW w:type="dxa" w:w="4997"/>
            <w:shd w:fill="F7F9FB"/>
          </w:tcPr>
          <w:p>
            <w:pPr>
              <w:jc w:val="left"/>
            </w:pPr>
            <w:r/>
            <w:r>
              <w:rPr>
                <w:b/>
                <w:color w:val="262B30"/>
                <w:sz w:val="15"/>
              </w:rPr>
              <w:t>time_window</w:t>
            </w:r>
          </w:p>
        </w:tc>
        <w:tc>
          <w:tcPr>
            <w:tcW w:type="dxa" w:w="4997"/>
            <w:shd w:fill="F7F9FB"/>
          </w:tcPr>
          <w:p>
            <w:pPr>
              <w:jc w:val="left"/>
            </w:pPr>
            <w:r/>
            <w:r>
              <w:rPr>
                <w:b w:val="0"/>
                <w:color w:val="262B30"/>
                <w:sz w:val="15"/>
              </w:rPr>
              <w:t>Start / end or recurring schedule</w:t>
            </w:r>
          </w:p>
        </w:tc>
      </w:tr>
      <w:tr>
        <w:trPr>
          <w:cantSplit/>
        </w:trPr>
        <w:tc>
          <w:tcPr>
            <w:tcW w:type="dxa" w:w="4997"/>
          </w:tcPr>
          <w:p>
            <w:pPr>
              <w:jc w:val="left"/>
            </w:pPr>
            <w:r/>
            <w:r>
              <w:rPr>
                <w:b/>
                <w:color w:val="262B30"/>
                <w:sz w:val="15"/>
              </w:rPr>
              <w:t>allowed_tools</w:t>
            </w:r>
          </w:p>
        </w:tc>
        <w:tc>
          <w:tcPr>
            <w:tcW w:type="dxa" w:w="4997"/>
          </w:tcPr>
          <w:p>
            <w:pPr>
              <w:jc w:val="left"/>
            </w:pPr>
            <w:r/>
            <w:r>
              <w:rPr>
                <w:b w:val="0"/>
                <w:color w:val="262B30"/>
                <w:sz w:val="15"/>
              </w:rPr>
              <w:t>Explicit tools and operations permitted</w:t>
            </w:r>
          </w:p>
        </w:tc>
      </w:tr>
      <w:tr>
        <w:trPr>
          <w:cantSplit/>
        </w:trPr>
        <w:tc>
          <w:tcPr>
            <w:tcW w:type="dxa" w:w="4997"/>
            <w:shd w:fill="F7F9FB"/>
          </w:tcPr>
          <w:p>
            <w:pPr>
              <w:jc w:val="left"/>
            </w:pPr>
            <w:r/>
            <w:r>
              <w:rPr>
                <w:b/>
                <w:color w:val="262B30"/>
                <w:sz w:val="15"/>
              </w:rPr>
              <w:t>data_scope</w:t>
            </w:r>
          </w:p>
        </w:tc>
        <w:tc>
          <w:tcPr>
            <w:tcW w:type="dxa" w:w="4997"/>
            <w:shd w:fill="F7F9FB"/>
          </w:tcPr>
          <w:p>
            <w:pPr>
              <w:jc w:val="left"/>
            </w:pPr>
            <w:r/>
            <w:r>
              <w:rPr>
                <w:b w:val="0"/>
                <w:color w:val="262B30"/>
                <w:sz w:val="15"/>
              </w:rPr>
              <w:t>Permitted data classes, sources and entitlements</w:t>
            </w:r>
          </w:p>
        </w:tc>
      </w:tr>
      <w:tr>
        <w:trPr>
          <w:cantSplit/>
        </w:trPr>
        <w:tc>
          <w:tcPr>
            <w:tcW w:type="dxa" w:w="4997"/>
          </w:tcPr>
          <w:p>
            <w:pPr>
              <w:jc w:val="left"/>
            </w:pPr>
            <w:r/>
            <w:r>
              <w:rPr>
                <w:b/>
                <w:color w:val="262B30"/>
                <w:sz w:val="15"/>
              </w:rPr>
              <w:t>budget</w:t>
            </w:r>
          </w:p>
        </w:tc>
        <w:tc>
          <w:tcPr>
            <w:tcW w:type="dxa" w:w="4997"/>
          </w:tcPr>
          <w:p>
            <w:pPr>
              <w:jc w:val="left"/>
            </w:pPr>
            <w:r/>
            <w:r>
              <w:rPr>
                <w:b w:val="0"/>
                <w:color w:val="262B30"/>
                <w:sz w:val="15"/>
              </w:rPr>
              <w:t>Max model cost, tool calls, wall-clock time and concurrency</w:t>
            </w:r>
          </w:p>
        </w:tc>
      </w:tr>
      <w:tr>
        <w:trPr>
          <w:cantSplit/>
        </w:trPr>
        <w:tc>
          <w:tcPr>
            <w:tcW w:type="dxa" w:w="4997"/>
            <w:shd w:fill="F7F9FB"/>
          </w:tcPr>
          <w:p>
            <w:pPr>
              <w:jc w:val="left"/>
            </w:pPr>
            <w:r/>
            <w:r>
              <w:rPr>
                <w:b/>
                <w:color w:val="262B30"/>
                <w:sz w:val="15"/>
              </w:rPr>
              <w:t>materiality</w:t>
            </w:r>
          </w:p>
        </w:tc>
        <w:tc>
          <w:tcPr>
            <w:tcW w:type="dxa" w:w="4997"/>
            <w:shd w:fill="F7F9FB"/>
          </w:tcPr>
          <w:p>
            <w:pPr>
              <w:jc w:val="left"/>
            </w:pPr>
            <w:r/>
            <w:r>
              <w:rPr>
                <w:b w:val="0"/>
                <w:color w:val="262B30"/>
                <w:sz w:val="15"/>
              </w:rPr>
              <w:t>Thresholds requiring human approval</w:t>
            </w:r>
          </w:p>
        </w:tc>
      </w:tr>
      <w:tr>
        <w:trPr>
          <w:cantSplit/>
        </w:trPr>
        <w:tc>
          <w:tcPr>
            <w:tcW w:type="dxa" w:w="4997"/>
          </w:tcPr>
          <w:p>
            <w:pPr>
              <w:jc w:val="left"/>
            </w:pPr>
            <w:r/>
            <w:r>
              <w:rPr>
                <w:b/>
                <w:color w:val="262B30"/>
                <w:sz w:val="15"/>
              </w:rPr>
              <w:t>approval_policy</w:t>
            </w:r>
          </w:p>
        </w:tc>
        <w:tc>
          <w:tcPr>
            <w:tcW w:type="dxa" w:w="4997"/>
          </w:tcPr>
          <w:p>
            <w:pPr>
              <w:jc w:val="left"/>
            </w:pPr>
            <w:r/>
            <w:r>
              <w:rPr>
                <w:b w:val="0"/>
                <w:color w:val="262B30"/>
                <w:sz w:val="15"/>
              </w:rPr>
              <w:t>Who may approve which action; dual control when required</w:t>
            </w:r>
          </w:p>
        </w:tc>
      </w:tr>
      <w:tr>
        <w:trPr>
          <w:cantSplit/>
        </w:trPr>
        <w:tc>
          <w:tcPr>
            <w:tcW w:type="dxa" w:w="4997"/>
            <w:shd w:fill="F7F9FB"/>
          </w:tcPr>
          <w:p>
            <w:pPr>
              <w:jc w:val="left"/>
            </w:pPr>
            <w:r/>
            <w:r>
              <w:rPr>
                <w:b/>
                <w:color w:val="262B30"/>
                <w:sz w:val="15"/>
              </w:rPr>
              <w:t>stop_conditions</w:t>
            </w:r>
          </w:p>
        </w:tc>
        <w:tc>
          <w:tcPr>
            <w:tcW w:type="dxa" w:w="4997"/>
            <w:shd w:fill="F7F9FB"/>
          </w:tcPr>
          <w:p>
            <w:pPr>
              <w:jc w:val="left"/>
            </w:pPr>
            <w:r/>
            <w:r>
              <w:rPr>
                <w:b w:val="0"/>
                <w:color w:val="262B30"/>
                <w:sz w:val="15"/>
              </w:rPr>
              <w:t>Errors, drift, uncertainty, repeated failure, budget exhaustion, policy change</w:t>
            </w:r>
          </w:p>
        </w:tc>
      </w:tr>
      <w:tr>
        <w:trPr>
          <w:cantSplit/>
        </w:trPr>
        <w:tc>
          <w:tcPr>
            <w:tcW w:type="dxa" w:w="4997"/>
          </w:tcPr>
          <w:p>
            <w:pPr>
              <w:jc w:val="left"/>
            </w:pPr>
            <w:r/>
            <w:r>
              <w:rPr>
                <w:b/>
                <w:color w:val="262B30"/>
                <w:sz w:val="15"/>
              </w:rPr>
              <w:t>rollback</w:t>
            </w:r>
          </w:p>
        </w:tc>
        <w:tc>
          <w:tcPr>
            <w:tcW w:type="dxa" w:w="4997"/>
          </w:tcPr>
          <w:p>
            <w:pPr>
              <w:jc w:val="left"/>
            </w:pPr>
            <w:r/>
            <w:r>
              <w:rPr>
                <w:b w:val="0"/>
                <w:color w:val="262B30"/>
                <w:sz w:val="15"/>
              </w:rPr>
              <w:t>Compensating action or workflow to reverse / contain side effects</w:t>
            </w:r>
          </w:p>
        </w:tc>
      </w:tr>
      <w:tr>
        <w:trPr>
          <w:cantSplit/>
        </w:trPr>
        <w:tc>
          <w:tcPr>
            <w:tcW w:type="dxa" w:w="4997"/>
            <w:shd w:fill="F7F9FB"/>
          </w:tcPr>
          <w:p>
            <w:pPr>
              <w:jc w:val="left"/>
            </w:pPr>
            <w:r/>
            <w:r>
              <w:rPr>
                <w:b/>
                <w:color w:val="262B30"/>
                <w:sz w:val="15"/>
              </w:rPr>
              <w:t>evidence</w:t>
            </w:r>
          </w:p>
        </w:tc>
        <w:tc>
          <w:tcPr>
            <w:tcW w:type="dxa" w:w="4997"/>
            <w:shd w:fill="F7F9FB"/>
          </w:tcPr>
          <w:p>
            <w:pPr>
              <w:jc w:val="left"/>
            </w:pPr>
            <w:r/>
            <w:r>
              <w:rPr>
                <w:b w:val="0"/>
                <w:color w:val="262B30"/>
                <w:sz w:val="15"/>
              </w:rPr>
              <w:t>Required citations, records, calculations and audit artifacts</w:t>
            </w:r>
          </w:p>
        </w:tc>
      </w:tr>
      <w:tr>
        <w:trPr>
          <w:cantSplit/>
        </w:trPr>
        <w:tc>
          <w:tcPr>
            <w:tcW w:type="dxa" w:w="4997"/>
          </w:tcPr>
          <w:p>
            <w:pPr>
              <w:jc w:val="left"/>
            </w:pPr>
            <w:r/>
            <w:r>
              <w:rPr>
                <w:b/>
                <w:color w:val="262B30"/>
                <w:sz w:val="15"/>
              </w:rPr>
              <w:t>escalation</w:t>
            </w:r>
          </w:p>
        </w:tc>
        <w:tc>
          <w:tcPr>
            <w:tcW w:type="dxa" w:w="4997"/>
          </w:tcPr>
          <w:p>
            <w:pPr>
              <w:jc w:val="left"/>
            </w:pPr>
            <w:r/>
            <w:r>
              <w:rPr>
                <w:b w:val="0"/>
                <w:color w:val="262B30"/>
                <w:sz w:val="15"/>
              </w:rPr>
              <w:t>Person / team, severity and timeout rules</w:t>
            </w:r>
          </w:p>
        </w:tc>
      </w:tr>
      <w:tr>
        <w:trPr>
          <w:cantSplit/>
        </w:trPr>
        <w:tc>
          <w:tcPr>
            <w:tcW w:type="dxa" w:w="4997"/>
            <w:shd w:fill="F7F9FB"/>
          </w:tcPr>
          <w:p>
            <w:pPr>
              <w:jc w:val="left"/>
            </w:pPr>
            <w:r/>
            <w:r>
              <w:rPr>
                <w:b/>
                <w:color w:val="262B30"/>
                <w:sz w:val="15"/>
              </w:rPr>
              <w:t>retention</w:t>
            </w:r>
          </w:p>
        </w:tc>
        <w:tc>
          <w:tcPr>
            <w:tcW w:type="dxa" w:w="4997"/>
            <w:shd w:fill="F7F9FB"/>
          </w:tcPr>
          <w:p>
            <w:pPr>
              <w:jc w:val="left"/>
            </w:pPr>
            <w:r/>
            <w:r>
              <w:rPr>
                <w:b w:val="0"/>
                <w:color w:val="262B30"/>
                <w:sz w:val="15"/>
              </w:rPr>
              <w:t>How long to retain task state, memory and evidence</w:t>
            </w:r>
          </w:p>
        </w:tc>
      </w:tr>
      <w:tr>
        <w:trPr>
          <w:cantSplit/>
        </w:trPr>
        <w:tc>
          <w:tcPr>
            <w:tcW w:type="dxa" w:w="4997"/>
          </w:tcPr>
          <w:p>
            <w:pPr>
              <w:jc w:val="left"/>
            </w:pPr>
            <w:r/>
            <w:r>
              <w:rPr>
                <w:b/>
                <w:color w:val="262B30"/>
                <w:sz w:val="15"/>
              </w:rPr>
              <w:t>version</w:t>
            </w:r>
          </w:p>
        </w:tc>
        <w:tc>
          <w:tcPr>
            <w:tcW w:type="dxa" w:w="4997"/>
          </w:tcPr>
          <w:p>
            <w:pPr>
              <w:jc w:val="left"/>
            </w:pPr>
            <w:r/>
            <w:r>
              <w:rPr>
                <w:b w:val="0"/>
                <w:color w:val="262B30"/>
                <w:sz w:val="15"/>
              </w:rPr>
              <w:t>Policy version tied to agent and tool versions</w:t>
            </w:r>
          </w:p>
        </w:tc>
      </w:tr>
    </w:tbl>
    <w:tbl>
      <w:tblPr>
        <w:tblW w:type="auto" w:w="0"/>
        <w:jc w:val="center"/>
        <w:tblLook w:firstColumn="1" w:firstRow="1" w:lastColumn="0" w:lastRow="0" w:noHBand="0" w:noVBand="1" w:val="04A0"/>
      </w:tblPr>
      <w:tblGrid>
        <w:gridCol w:w="9994"/>
      </w:tblGrid>
      <w:tr>
        <w:tc>
          <w:tcPr>
            <w:tcW w:type="dxa" w:w="9994"/>
            <w:shd w:fill="EAF2FA"/>
            <w:tcBorders>
              <w:top w:val="single" w:sz="1" w:color="DDE3E8"/>
              <w:left w:val="single" w:sz="10" w:color="2166AC"/>
              <w:bottom w:val="single" w:sz="1" w:color="DDE3E8"/>
              <w:right w:val="single" w:sz="1" w:color="DDE3E8"/>
            </w:tcBorders>
          </w:tcPr>
          <w:p>
            <w:pPr>
              <w:spacing w:after="40"/>
            </w:pPr>
            <w:r>
              <w:rPr>
                <w:b/>
                <w:color w:val="192D48"/>
                <w:sz w:val="21"/>
              </w:rPr>
              <w:t>Final recommendation</w:t>
            </w:r>
          </w:p>
          <w:p>
            <w:pPr>
              <w:spacing w:after="40"/>
            </w:pPr>
            <w:r>
              <w:rPr>
                <w:color w:val="262B30"/>
                <w:sz w:val="19"/>
              </w:rPr>
              <w:t>Build the platform as an enterprise control plane, not a collection of copilots. Bedrock provides the managed foundation-model layer; the fund differentiates through governed enterprise context, action contracts, workflow integration, policy, evaluation, and institutional learning. Trust is the gating factor for autonomy.</w:t>
            </w:r>
          </w:p>
        </w:tc>
      </w:tr>
    </w:tbl>
    <w:p>
      <w:pPr>
        <w:spacing w:after="20"/>
      </w:pPr>
    </w:p>
    <w:sectPr w:rsidR="00FC693F" w:rsidRPr="0006063C" w:rsidSect="00034616">
      <w:headerReference w:type="default" r:id="rId9"/>
      <w:footerReference w:type="default" r:id="rId10"/>
      <w:pgSz w:w="12240" w:h="15840"/>
      <w:pgMar w:top="1037"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646E"/>
        <w:sz w:val="15"/>
      </w:rPr>
      <w:t>Confidential — Strategic architecture discussion | August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646E"/>
        <w:sz w:val="15"/>
      </w:rPr>
      <w:t>PENSION FUND AI OPERATING SYSTEM | CTO STRATEGY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262B3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ptos" w:hAnsi="Aptos"/>
      <w:b/>
      <w:bCs/>
      <w:color w:val="192D48"/>
      <w:sz w:val="3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w:hAnsi="Aptos"/>
      <w:b/>
      <w:bCs/>
      <w:color w:val="2166A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237A7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92D48"/>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as the Operating System of the Pension Fund — Agentic Platform Roadmap</dc:title>
  <dc:subject>CTO strategy report for an enterprise agentic AI platform on AWS / Amazon Bedrock</dc:subject>
  <dc:creator>AI Architecture</dc:creator>
  <cp:keywords>agentic AI, pension fund, Amazon Bedrock, AgentCore, AI operating system, autonomy, governance</cp:keywords>
  <dc:description>generated by python-docx</dc:description>
  <cp:lastModifiedBy/>
  <cp:revision>1</cp:revision>
  <dcterms:created xsi:type="dcterms:W3CDTF">2013-12-23T23:15:00Z</dcterms:created>
  <dcterms:modified xsi:type="dcterms:W3CDTF">2013-12-23T23:15:00Z</dcterms:modified>
  <cp:category/>
</cp:coreProperties>
</file>