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0" w:before="200"/>
      </w:pPr>
      <w:r>
        <w:rPr>
          <w:rFonts w:ascii="Noto Sans CJK SC" w:hAnsi="Noto Sans CJK SC" w:cs="Noto Sans CJK SC" w:eastAsia="Noto Sans CJK SC"/>
          <w:b/>
          <w:color w:val="315F63"/>
          <w:sz w:val="22"/>
        </w:rPr>
        <w:t>内容修订与技术交接</w:t>
      </w:r>
    </w:p>
    <w:p>
      <w:pPr>
        <w:pStyle w:val="Title"/>
        <w:keepNext w:val="0"/>
      </w:pPr>
      <w:r>
        <w:rPr>
          <w:rFonts w:ascii="Noto Sans CJK SC" w:hAnsi="Noto Sans CJK SC" w:cs="Noto Sans CJK SC" w:eastAsia="Noto Sans CJK SC"/>
          <w:b w:val="0"/>
        </w:rPr>
        <w:t>完整修改建议</w:t>
      </w:r>
    </w:p>
    <w:p>
      <w:pPr>
        <w:pStyle w:val="Subtitle"/>
        <w:keepNext w:val="0"/>
        <w:spacing w:after="280"/>
      </w:pPr>
      <w:r>
        <w:rPr>
          <w:rFonts w:ascii="Noto Sans CJK SC" w:hAnsi="Noto Sans CJK SC" w:cs="Noto Sans CJK SC" w:eastAsia="Noto Sans CJK SC"/>
          <w:b w:val="0"/>
        </w:rPr>
        <w:t>第4项功能展示材料 · V1.0正式发布版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9"/>
        </w:rPr>
        <w:t>对应修订稿：第4项-功能展示与说明材料_V1.0修订底稿R1.docx</w:t>
        <w:br/>
        <w:t>修订日期：2026-09-15。R1为文档编辑标识，不是软件版本号。</w:t>
      </w:r>
    </w:p>
    <w:p>
      <w:pPr>
        <w:pStyle w:val="Heading1"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一、结论与修订边界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以项目方确认“V1.0正式发布版已完成”为产品状态，不再把当前产品写成0.9待发布。继续保留比赛第4项的性质与原九章结构、14图编号、案例A—D、输入输出、失败路径、边界、效果表和日志，不将其改写成发行说明书或新增架构说明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轮已经实施：产品与材料版本分离；所有旧图增加历史标签；正式外发及规则包旧状态改为历史记录；案例、计数与测试数字保留原值及原范围；图注改为统一说明结构；新增V1.0证据待补编号、引用索引与交接登记。</w:t>
      </w:r>
    </w:p>
    <w:p>
      <w:pPr>
        <w:keepNext w:val="0"/>
        <w:spacing w:after="120" w:before="80"/>
        <w:shd w:fill="EDF3F3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最重要的界限｜不能通过编辑得到新的真实状态：V1.0运行库published、dispatch_allowed、reviewed、formal_dispatch、真实HTTP次数、四类resisted、测试通过数及效果分数，都须由实际资料支持。缺少这些附件不等于产品没有完成。</w:t>
      </w:r>
    </w:p>
    <w:p>
      <w:pPr>
        <w:pStyle w:val="Heading1"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二、完成情况与暂不代做事项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76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本轮结果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内容与版式</w:t>
            </w:r>
          </w:p>
        </w:tc>
        <w:tc>
          <w:tcPr>
            <w:tcW w:type="dxa" w:w="76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已实际重编Word底稿；保留原截图文件内容、原技术字段和原案例事实。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产品状态</w:t>
            </w:r>
          </w:p>
        </w:tc>
        <w:tc>
          <w:tcPr>
            <w:tcW w:type="dxa" w:w="76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按项目方说明更新为V1.0正式发布版已完成；精确版本、发布日期和构建待补。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旧证据处理</w:t>
            </w:r>
          </w:p>
        </w:tc>
        <w:tc>
          <w:tcPr>
            <w:tcW w:type="dxa" w:w="76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保留为原材料记载；不声称独立核验原引用文件或重新执行测试。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等待事项</w:t>
            </w:r>
          </w:p>
        </w:tc>
        <w:tc>
          <w:tcPr>
            <w:tcW w:type="dxa" w:w="76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新增T01—T12补交编号；新版截图、日志、评测与治理签署尚未取得。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未实施事项</w:t>
            </w:r>
          </w:p>
        </w:tc>
        <w:tc>
          <w:tcPr>
            <w:tcW w:type="dxa" w:w="76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未运行软件、未访问仓库/CI/部署环境、未发送真实案件、未填配02或配05、未执行任何治理签署。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依据范围：上传原材料第1—9章及项目方本次说明；原材料引用的外部文件未提供。本建议中新增的编辑编号、材料接收要求和定稿检查项是修订建议，不是原产品已经具备的功能或已经产生的证据。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三、逐章完整修改建议与已实施改法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5613"/>
        <w:gridCol w:w="1701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位置 / 原问题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修改建议与本轮已实施内容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剩余依赖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封面与第1章</w:t>
              <w:br/>
              <w:t>原0.9.0rc0、待发布、不是正式发行版。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产品改为“V1.0正式发布版已完成”；材料改为“修订底稿R1”。修订日与软件发布日期分开，不推定上线日期。保留非发送许可、非十门pass、非法学resisted、非发行说明等材料边界。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T01、T11、T12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第1章旧状态</w:t>
              <w:br/>
              <w:t>仓库draft、dispatch_allowed=false、formal_dispatch=blocked。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建立“原材料历史记录 / V1.0处理”对照；既不照抄成新版仍阻断，也不自动改成已发布或已开放。产品、数据集与规则包版本分别保留。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T01、T05—T07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第2章总说明</w:t>
              <w:br/>
              <w:t>“14图同夹”“现网图”“有图再配”等。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仅确认本次Word内已有14张图；外部图包与截图来源.md列为待补。“现网”改为原日期本机记录；图注统一为图题、功能用途、操作方式、注意事项。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T02、T03、T12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第2章图01—14</w:t>
              <w:br/>
              <w:t>图注可能超出局部截图可见范围。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原图保留且标旧版；不涂改页脚和状态。记录需补截的按钮、横幅、快照、来源标签和权限。旧图只作结构对照，不认定为V1.0新图。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T02、T03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第3章案例A</w:t>
              <w:br/>
              <w:t>“成功路径”易被理解为真实云端成功。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改题为“模拟成功路径”；保留mode=demo、transport=mock、status=complete、provenance=simulation和全部合成事实。新版真实调用如有记录，另行标识，不替换该案例性质。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T04、T05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第3章案例B/C</w:t>
              <w:br/>
              <w:t>阻断容易被当故障或被删去。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完整保留组合线索、材料不完整、needs_review、原阻断文本、409和无摘要状态；正式合成上传与演示03分开。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T04、T07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第3章案例D</w:t>
              <w:br/>
              <w:t>十案计数被反复写作当前总体状态。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保留3/7/0和真实案HTTP 0，以及10条代号明细；统一标为原评估记录，不推定V1.0已重跑。表头“案号”改为“案件代号”，避免与全文案号混淆。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T08、T12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逐章修改建议（续）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5613"/>
        <w:gridCol w:w="1701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位置 / 原问题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修改建议与本轮已实施内容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剩余依赖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第4章按钮表</w:t>
              <w:br/>
              <w:t>正式按钮后写“应409”。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保留按钮原名，拆分功能含义与历史结果；“正式路径应409”仅保留为旧测试结果。批准、模拟、本地确定性、真实发送分别描述。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T02、T04、T05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第5章失败</w:t>
              <w:br/>
              <w:t>“真云”可能被读作真实HTTP已发生。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标题改为“正式云端任务”，明确transport=cloud不等于已发送；保留native/Compose日期与8条blocker。图08不再要求在真实案页面点发送制造失败。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T05—T07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第5章红队</w:t>
              <w:br/>
              <w:t>工程绿字、阈值演示可能被扩大。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保留四类攻击字段与全部succeeded/uncertain/resisted原值；限定为工程基线与合成用例。新增异常记录补充位置，但不编写未提供的超时或恢复记录。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T07、T09、T11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第6章边界</w:t>
              <w:br/>
              <w:t>数据与包的“当前”状态过时。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保留做什么/不做什么/数据与包/发送控制。旧包状态加原时点；不增加法律预测、自动裁判或新的支持案由。状态箭头按原记号保留并注明不是完整迁移图。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T02、T06、T11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第7章效果</w:t>
              <w:br/>
              <w:t>“可以写”缺少版本/日期限定。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改成原时点可陈述范围与V1.0待补；283/3、6项、probe-edge“五项8/8”等不换算准确率。not_scored、not_applicable、待标注保持区别。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T09、T10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第8章日志</w:t>
              <w:br/>
              <w:t>旧日志与本轮运行易混淆。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所有日志标明原材料摘录；分开演示摘要与另一条本地争点任务；保留原端口、日期、计数、命令、包版本。真实HTTP、隔离收据和配05明确未提供。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T04—T12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第9章与附录</w:t>
              <w:br/>
              <w:t>引用路径易被视为已交付。</w:t>
            </w:r>
          </w:p>
        </w:tc>
        <w:tc>
          <w:tcPr>
            <w:tcW w:type="dxa" w:w="561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保留交付项排除范围；新增引用索引并声明外部文件未提供；将末尾十案句限定为历史。新增T01—T12内部登记，正式定稿前转为交接材料。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T11、T12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上述修改均以原材料相应章节为依据；新增“待补编号、核验点、后续登记要求”为本次编辑建议。原材料没有完整定义的内部术语不自行解释，也不根据一般技术常识补写架构行为。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四、14张截图的逐图补交与验收建议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所有新图共同要求：同一V1.0构建；记录日期、环境、合成用例与当前步骤；保留原始截图；不得涂改版本、状态、按钮或哈希；不含真实身份信息与密钥。这里的“验收”仅指文档材料接收，不代替系统验收或法学签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3628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图号 / 主题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V1.0应补画面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原图问题 / 核验边界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01 登录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完整登录页、页脚版本、本地工作空间标识；核对默认用户名/口令取得方式。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旧图来自09-08/09；原图注0.9与可能0.2.2页脚不能统一涂改。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02 案件列表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已建案件区、三个合成入口、新建案件按钮及门禁提示。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原图是页面上部局部，未覆盖全部入口。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03 四步工作台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四阶段全称、三面板切换、固定合成演示标识及提示。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避免只截阶段的一部分却声称全部流程已完成。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04 材料与事实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材料、事实卡、原文锚点、复核状态、边侧提取与本地任务按钮。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保留旧长图；新版用完整图加必要细节图保证文字可辨。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05 披露方案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逐项必要性、保留/假名化/泛化/删除、编辑披露文本、冻结按钮。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补齐局部截图未覆盖的下部项目和操作。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06 演示01风险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允许进入审批横幅、完整请求快照、request_hash、审批与模拟调用状态。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不得将工程绿字改写为安全或法学resisted。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07 演示02阻断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“当前请求已阻断”横幅、组合线索原文、不可批准状态和请求快照。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旧图偏向快照局部，不能仅靠图注证明横幅可见。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14张截图补交建议（续）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3628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图号 / 主题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V1.0应补画面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原图问题 / 核验边界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08 正式案路径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指定合成正式用例的实际规则、配置与结果；阻断时完整原因，成功时关联真实日志。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不强制“新版仍409”，也不为展示而试发真实案件。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09 模拟回链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“模拟结果 · 非模型生成”、句子/原文锚点、逐项核对与最终确认。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旧图为结果局部；不能把导出按钮当作发送证据。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10 规则中心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运行库包名、版本、demo/draft/published及dispatch_allowed。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必须区分仓库文件和运行库实际状态。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11 服务商治理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档案字段、权限、复核状态及实际可展示的依据。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表单完整不等于reviewed；签署不由技术人员代填。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12 隔离实验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draft/frozen、输入要求、input_required或实际已有评测状态。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不以界面存在或一般探测替代正式评测/当次收据。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13 运行配置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十盏灯全名、边侧/双槽、当前formal_dispatch及实际配置范围。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原图仅有上部配置；四类状态分开，不合写“已安全”。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14 本地用户</w:t>
            </w:r>
          </w:p>
        </w:tc>
        <w:tc>
          <w:tcPr>
            <w:tcW w:type="dxa" w:w="419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角色列表、实际权限与账户管理界面；使用合成账号。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同人多角色不等于两名独立复核人。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截图来源表建议字段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图号、文件名、精确产品版本/构建、截图日期、环境、合成用例代号、功能步骤、对应任务或request_hash（如确有）、状态、公开范围、核对情况。没有实际值的项留“待补”，不示范填写虚构值。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图04与图08为长图，修订稿将原图与较长功能说明合理分开，避免原图挤压与表格跨页断行；其余局部旧图仍按原样保留，技术交付后再换成能覆盖主张范围的新图。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五、技术资料补交清单：发布、界面与运行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以下编号与修订稿附录A一致。原则是补交已存在的资料或如实说明未运行/未测/不适用；不是要求开发人员现在执行真实案件外发，也不是要求为每项指标制造一个分数。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T01 · 正式版发布基线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应补：完整版本标识、发布说明、构建号或commit、发布日期；区分软件版本与本稿R1。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回填：封面、1、全篇。当前处理：保留“V1.0正式发布版已完成”；精确构建等不代填。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T02 · 功能、按钮与默认配置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应补：V1.0功能差异；14图按钮、任务类型、默认transport及角色权限变化。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回填：2、3、4、6。当前处理：沿用原流程说明，标明新版界面与行为待核对。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T03 · 14张截图及来源清单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应补：原始图片、版本/日期/环境/合成用例说明；覆盖完整状态、按钮和结果。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回填：2、3。当前处理：保留旧图及旧版标注；不涂改页脚、状态或哈希。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T04 · 三演示及本地任务记录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应补：演示01/02/03和本地任务的输入、操作、status、transport、provenance及回链记录。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回填：3、4、8.2。当前处理：保留原模拟成功与阻断性质，不改成真实云端成功。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T05 · 正式云端任务证据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应补：实际运行配置、冻结/审批/网关/结果关联记录；真实HTTP成功、失败或未运行的事实说明。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回填：1、3、4、5、8。当前处理：V1.0外发状态待核对；不因补材料而启动真实案件发送。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T06 · 规则包、服务商及治理材料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应补：运行库包版本及状态、dispatch_allowed、服务商reviewed依据、角色与相应复核/签署材料。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回填：1、2、5、6。当前处理：保留旧状态；技术人员不代替原责任人作治理签署。</w:t>
      </w:r>
    </w:p>
    <w:p>
      <w:pPr>
        <w:keepNext w:val="0"/>
        <w:spacing w:after="120" w:before="80"/>
        <w:shd w:fill="EDF3F3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责任边界｜规则包、服务商治理、法学主签与配表应由相应原责任人提供。开发人员可交付系统状态和技术记录，不应代造合同、复核人、审批人或签署结论。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六、技术资料补交清单：验证、计数与来源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T07 · 隔离、风险协议与红队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应补：native/Compose环境、冻结协议及攻击结果；区分探测与绑定同一request_hash的当次五项收据。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回填：1、2、5、7、8。当前处理：保留历史 succeeded/uncertain；不补写四类 resisted。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T08 · 十案D路径核对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应补：逐案代号、transport、状态、计数口径、评估时间及是否发生真实发送。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回填：3D、5.6、9。当前处理：原3/7/0及真实HTTP 0保留为历史，不算作V1.0重跑。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T09 · 工程测试、构建与CI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应补：pytest、dataset validate、tsc、build、e2e、probe-edge原始输出及版本/日期/范围；CI取证情况。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回填：7、8.4。当前处理：旧283/3、6项等仅按原日期引用；不改填新版通过率。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T10 · 效果评测依据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应补：对拟主张指标提供协议、实跑、复核、分子分母与失败分类；无评测则说明状态。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回填：7。当前处理：保留 not_scored / not_applicable / 待标注的原始区别。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T11 · 日志、内部术语与配表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应补：日志字段口径；十门、法学resisted、层A/D路径、“主方”等定义；配02/配05由责任人提供。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回填：1、6、8、9。当前处理：保留原名及原控制要求，不扩写定义，不预填发送或签署。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T12 · 外部引用与版本索引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应补：补交原材料引用的规范、验证、来源、截图与案例记录，明确对应版本、路径和可公开范围。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回填：全篇、9。当前处理：仅标为原材料引用来源；不声称本轮已读取或独立核验。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9"/>
        </w:rPr>
        <w:t>特别保留两组差异：原仓库规则包2.0.0-draft.3与09-12隔离卷2.0.0-draft.2；产品V1.0与数据集mock_labor 1.0.0。它们不是待统一的错字，须按环境、对象与日期分别记录。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七、技术资料到齐后的处理顺序与定稿检查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365"/>
        <w:gridCol w:w="3798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436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执行动作</w:t>
            </w:r>
          </w:p>
        </w:tc>
        <w:tc>
          <w:tcPr>
            <w:tcW w:type="dxa" w:w="379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完成条件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1 锁定基线</w:t>
            </w:r>
          </w:p>
        </w:tc>
        <w:tc>
          <w:tcPr>
            <w:tcW w:type="dxa" w:w="436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接收T01与T02，核对V1.0精确版本及功能差异。</w:t>
            </w:r>
          </w:p>
        </w:tc>
        <w:tc>
          <w:tcPr>
            <w:tcW w:type="dxa" w:w="379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产品状态、材料标识、功能范围不混淆。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2 替换截图</w:t>
            </w:r>
          </w:p>
        </w:tc>
        <w:tc>
          <w:tcPr>
            <w:tcW w:type="dxa" w:w="436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核对T03；必要时联动T04的任务记录。</w:t>
            </w:r>
          </w:p>
        </w:tc>
        <w:tc>
          <w:tcPr>
            <w:tcW w:type="dxa" w:w="379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14图可追溯；按钮、状态和来源标签与图注一致。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3 关联运行证据</w:t>
            </w:r>
          </w:p>
        </w:tc>
        <w:tc>
          <w:tcPr>
            <w:tcW w:type="dxa" w:w="436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核对T04—T08；更新案例、正式任务、治理与十案表。</w:t>
            </w:r>
          </w:p>
        </w:tc>
        <w:tc>
          <w:tcPr>
            <w:tcW w:type="dxa" w:w="379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模拟、本地、真实发送分开；同一请求记录可关联；历史不覆盖。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4 更新效果与日志</w:t>
            </w:r>
          </w:p>
        </w:tc>
        <w:tc>
          <w:tcPr>
            <w:tcW w:type="dxa" w:w="436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核对T09—T11；仅加入真实取得的工程与评测记录。</w:t>
            </w:r>
          </w:p>
        </w:tc>
        <w:tc>
          <w:tcPr>
            <w:tcW w:type="dxa" w:w="379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日期、构建、范围、分子分母及原始状态明确。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5 统一引用</w:t>
            </w:r>
          </w:p>
        </w:tc>
        <w:tc>
          <w:tcPr>
            <w:tcW w:type="dxa" w:w="436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接收T12并补齐版本索引。</w:t>
            </w:r>
          </w:p>
        </w:tc>
        <w:tc>
          <w:tcPr>
            <w:tcW w:type="dxa" w:w="379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引用存在且可定位；不是仅给路径或口头结论。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6 做一致性复核</w:t>
            </w:r>
          </w:p>
        </w:tc>
        <w:tc>
          <w:tcPr>
            <w:tcW w:type="dxa" w:w="436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复核封面、第1/3/4/5/7/8/9章中相同状态；处理待补项与内部附录。</w:t>
            </w:r>
          </w:p>
        </w:tc>
        <w:tc>
          <w:tcPr>
            <w:tcW w:type="dxa" w:w="379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无新旧混写、无无证据主张、无错误发送/签署；适用资料缺项已如实说明。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定稿检查表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应达到的材料状态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版本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正文产品现状不再是0.9待发布；历史版本号仍可追溯，不全局替换。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截图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旧图与新图区分；无修改状态图像冒充实跑；图注所述关键区域可见。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案例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A仍是模拟；B/C仍展示原预期阻断；D不称“十案通过”。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外发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批准、配置cloud、执行mock、evaluate、接口409与真实网关发送分别描述。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效果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无新增虚构准确率/耗时/降低率；旧数字有日期，新数字有对应证据。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日志与签署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无补造request_hash、真实HTTP、隔离收据、配02/配05或治理签署。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文档范围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仍为第4项功能展示材料；不替代其他比赛交付项或产品验证。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  <w:spacing w:after="120" w:before="80"/>
        <w:shd w:fill="EDF3F3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交付结论｜现阶段交付的是已实际修改的完整底稿，而不是“已经补齐V1.0技术证据的最终提交版”。后续只需按编号补证与核对，不能将删除“待补”字样本身视为验收完成。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92" w:left="1134" w:header="369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391" w:val="left"/>
      </w:tabs>
    </w:pPr>
    <w:r>
      <w:rPr>
        <w:rFonts w:ascii="Noto Sans CJK SC" w:hAnsi="Noto Sans CJK SC" w:cs="Noto Sans CJK SC" w:eastAsia="Noto Sans CJK SC"/>
        <w:b w:val="0"/>
        <w:color w:val="647174"/>
        <w:sz w:val="16"/>
      </w:rPr>
      <w:t>V1.0 修订底稿 R1  ·  技术资料待补齐</w:t>
    </w:r>
    <w:r>
      <w:rPr>
        <w:rFonts w:ascii="Noto Sans CJK SC" w:hAnsi="Noto Sans CJK SC" w:cs="Noto Sans CJK SC" w:eastAsia="Noto Sans CJK SC"/>
        <w:sz w:val="16"/>
      </w:rPr>
      <w:tab/>
    </w:r>
    <w:r>
      <w:rPr>
        <w:rFonts w:ascii="Noto Sans CJK SC" w:hAnsi="Noto Sans CJK SC" w:cs="Noto Sans CJK SC" w:eastAsia="Noto Sans CJK SC"/>
        <w:b w:val="0"/>
        <w:color w:val="647174"/>
        <w:sz w:val="16"/>
      </w:rPr>
      <w:t xml:space="preserve">第 </w:t>
    </w:r>
    <w:fldSimple w:instr="PAGE"/>
    <w:r>
      <w:rPr>
        <w:rFonts w:ascii="Noto Sans CJK SC" w:hAnsi="Noto Sans CJK SC" w:cs="Noto Sans CJK SC" w:eastAsia="Noto Sans CJK SC"/>
        <w:b w:val="0"/>
        <w:color w:val="64717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color="D8E1E1"/>
      </w:pBdr>
    </w:pPr>
    <w:r>
      <w:rPr>
        <w:rFonts w:ascii="Noto Sans CJK SC" w:hAnsi="Noto Sans CJK SC" w:cs="Noto Sans CJK SC" w:eastAsia="Noto Sans CJK SC"/>
        <w:b w:val="0"/>
        <w:color w:val="647174"/>
        <w:sz w:val="16"/>
      </w:rPr>
      <w:t>LEXAEGIS  /  修改建议与技术交接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 w:cs="Noto Sans CJK SC"/>
      <w:color w:val="253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Noto Sans CJK SC" w:hAnsi="Noto Sans CJK SC" w:eastAsia="Noto Sans CJK SC" w:cs="Noto Sans CJK SC"/>
      <w:b/>
      <w:bCs/>
      <w:color w:val="315F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="Noto Sans CJK SC" w:hAnsi="Noto Sans CJK SC" w:eastAsia="Noto Sans CJK SC" w:cs="Noto Sans CJK SC"/>
      <w:b/>
      <w:bCs/>
      <w:color w:val="315F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="Noto Sans CJK SC" w:hAnsi="Noto Sans CJK SC" w:eastAsia="Noto Sans CJK SC" w:cs="Noto Sans CJK SC"/>
      <w:b/>
      <w:bCs/>
      <w:color w:val="315F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="Noto Sans CJK SC" w:hAnsi="Noto Sans CJK SC" w:eastAsia="Noto Sans CJK SC" w:cs="Noto Sans CJK SC"/>
      <w:b/>
      <w:color w:val="315F6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6471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80"/>
    </w:pPr>
    <w:rPr>
      <w:rFonts w:ascii="Noto Sans CJK SC" w:hAnsi="Noto Sans CJK SC" w:eastAsia="Noto Sans CJK SC" w:cs="Noto Sans CJK SC"/>
      <w:b/>
      <w:bCs/>
      <w:color w:val="64717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keepLines/>
      <w:spacing w:line="271" w:lineRule="auto" w:before="80" w:after="140"/>
      <w:ind w:left="142" w:right="113"/>
      <w:shd w:fill="F1F4F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第4项｜V1.0完整修改建议与技术资料补交清单</dc:title>
  <dc:subject>依据原材料的V1.0内容修订与证据衔接</dc:subject>
  <dc:creator/>
  <cp:keywords>V1.0,修订底稿,功能展示,待补技术资料</cp:keywords>
  <dc:description>保留原材料中的历史证据；未进行产品运行验证。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