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4"/>
        <w:spacing w:before="2000" w:after="280" w:line="300" w:lineRule="auto"/>
        <w:jc w:val="center"/>
        <w:rPr>
          <w:rFonts w:hint="eastAsia" w:ascii="楷体_GB2312" w:hAnsi="楷体_GB2312" w:eastAsia="楷体_GB2312" w:cs="楷体_GB2312"/>
        </w:rPr>
      </w:pPr>
      <w:r>
        <w:rPr>
          <w:rFonts w:hint="eastAsia" w:ascii="楷体_GB2312" w:hAnsi="楷体_GB2312" w:eastAsia="楷体_GB2312" w:cs="楷体_GB2312"/>
          <w:b/>
          <w:color w:val="1F2937"/>
          <w:sz w:val="46"/>
        </w:rPr>
        <w:t>案隐盾</w:t>
      </w:r>
      <w:r>
        <w:rPr>
          <w:rFonts w:hint="eastAsia" w:ascii="楷体_GB2312" w:hAnsi="楷体_GB2312" w:eastAsia="楷体_GB2312" w:cs="楷体_GB2312"/>
          <w:b/>
          <w:color w:val="1F2937"/>
          <w:sz w:val="46"/>
          <w:lang w:val="en-US" w:eastAsia="zh-CN"/>
        </w:rPr>
        <w:t>·</w:t>
      </w:r>
      <w:r>
        <w:rPr>
          <w:rFonts w:hint="eastAsia" w:ascii="楷体_GB2312" w:hAnsi="楷体_GB2312" w:eastAsia="楷体_GB2312" w:cs="楷体_GB2312"/>
          <w:b/>
          <w:color w:val="1F2937"/>
          <w:sz w:val="46"/>
        </w:rPr>
        <w:t>系统说明书</w:t>
      </w:r>
    </w:p>
    <w:p>
      <w:pPr>
        <w:pStyle w:val="165"/>
        <w:spacing w:after="360" w:line="300" w:lineRule="auto"/>
        <w:jc w:val="center"/>
        <w:rPr>
          <w:rFonts w:hint="eastAsia" w:ascii="楷体_GB2312" w:hAnsi="楷体_GB2312" w:eastAsia="楷体_GB2312" w:cs="楷体_GB2312"/>
          <w:color w:val="auto"/>
          <w:sz w:val="28"/>
          <w:szCs w:val="24"/>
        </w:rPr>
      </w:pPr>
      <w:r>
        <w:rPr>
          <w:rFonts w:hint="eastAsia" w:ascii="楷体_GB2312" w:hAnsi="楷体_GB2312" w:eastAsia="楷体_GB2312" w:cs="楷体_GB2312"/>
          <w:b w:val="0"/>
          <w:color w:val="auto"/>
          <w:sz w:val="32"/>
          <w:szCs w:val="24"/>
        </w:rPr>
        <w:t>法律规则、知识资产、专业判断与人工复核部分</w:t>
      </w:r>
    </w:p>
    <w:p>
      <w:pPr>
        <w:spacing w:line="300" w:lineRule="auto"/>
        <w:rPr>
          <w:rFonts w:hint="eastAsia" w:ascii="楷体_GB2312" w:hAnsi="楷体_GB2312" w:eastAsia="楷体_GB2312" w:cs="楷体_GB2312"/>
        </w:rPr>
      </w:pPr>
      <w:r>
        <w:rPr>
          <w:rFonts w:hint="eastAsia" w:ascii="楷体_GB2312" w:hAnsi="楷体_GB2312" w:eastAsia="楷体_GB2312" w:cs="楷体_GB2312"/>
        </w:rPr>
        <w:br w:type="page"/>
      </w:r>
    </w:p>
    <w:p>
      <w:pPr>
        <w:pStyle w:val="3"/>
        <w:spacing w:before="240" w:after="120" w:line="300" w:lineRule="auto"/>
      </w:pPr>
    </w:p>
    <w:p>
      <w:pPr>
        <w:spacing w:after="20" w:line="300" w:lineRule="auto"/>
      </w:pPr>
    </w:p>
    <w:p>
      <w:pPr>
        <w:pStyle w:val="4"/>
        <w:spacing w:before="160" w:after="120" w:line="300" w:lineRule="auto"/>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3"/>
        <w:gridCol w:w="3616"/>
        <w:gridCol w:w="3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3" w:type="dxa"/>
            <w:vAlign w:val="center"/>
          </w:tcPr>
          <w:p>
            <w:pPr>
              <w:spacing w:after="20" w:line="300" w:lineRule="auto"/>
              <w:rPr>
                <w:sz w:val="21"/>
                <w:szCs w:val="21"/>
              </w:rPr>
            </w:pPr>
            <w:r>
              <w:rPr>
                <w:rFonts w:ascii="宋体" w:hAnsi="宋体" w:eastAsia="宋体"/>
                <w:b/>
                <w:color w:val="1F2937"/>
                <w:sz w:val="21"/>
                <w:szCs w:val="21"/>
              </w:rPr>
              <w:t>资产/机制</w:t>
            </w:r>
          </w:p>
        </w:tc>
        <w:tc>
          <w:tcPr>
            <w:tcW w:w="3616" w:type="dxa"/>
            <w:vAlign w:val="center"/>
          </w:tcPr>
          <w:p>
            <w:pPr>
              <w:spacing w:after="20" w:line="300" w:lineRule="auto"/>
              <w:rPr>
                <w:sz w:val="21"/>
                <w:szCs w:val="21"/>
              </w:rPr>
            </w:pPr>
            <w:r>
              <w:rPr>
                <w:rFonts w:ascii="宋体" w:hAnsi="宋体" w:eastAsia="宋体"/>
                <w:b/>
                <w:color w:val="1F2937"/>
                <w:sz w:val="21"/>
                <w:szCs w:val="21"/>
              </w:rPr>
              <w:t>当前规模</w:t>
            </w:r>
          </w:p>
        </w:tc>
        <w:tc>
          <w:tcPr>
            <w:tcW w:w="3701" w:type="dxa"/>
            <w:vAlign w:val="center"/>
          </w:tcPr>
          <w:p>
            <w:pPr>
              <w:spacing w:after="20" w:line="300" w:lineRule="auto"/>
              <w:rPr>
                <w:sz w:val="21"/>
                <w:szCs w:val="21"/>
              </w:rPr>
            </w:pPr>
            <w:r>
              <w:rPr>
                <w:rFonts w:ascii="宋体" w:hAnsi="宋体" w:eastAsia="宋体"/>
                <w:b/>
                <w:color w:val="1F2937"/>
                <w:sz w:val="21"/>
                <w:szCs w:val="21"/>
              </w:rPr>
              <w:t>系统价值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pPr>
              <w:spacing w:after="20" w:line="300" w:lineRule="auto"/>
              <w:rPr>
                <w:sz w:val="21"/>
                <w:szCs w:val="21"/>
              </w:rPr>
            </w:pPr>
            <w:r>
              <w:rPr>
                <w:rFonts w:ascii="宋体" w:hAnsi="宋体" w:eastAsia="宋体"/>
                <w:b w:val="0"/>
                <w:color w:val="1F2937"/>
                <w:sz w:val="21"/>
                <w:szCs w:val="21"/>
              </w:rPr>
              <w:t>法源目录</w:t>
            </w:r>
          </w:p>
        </w:tc>
        <w:tc>
          <w:tcPr>
            <w:tcW w:w="3616" w:type="dxa"/>
            <w:vAlign w:val="center"/>
          </w:tcPr>
          <w:p>
            <w:pPr>
              <w:spacing w:after="20" w:line="300" w:lineRule="auto"/>
              <w:rPr>
                <w:sz w:val="21"/>
                <w:szCs w:val="21"/>
              </w:rPr>
            </w:pPr>
            <w:r>
              <w:rPr>
                <w:rFonts w:ascii="宋体" w:hAnsi="宋体" w:eastAsia="宋体"/>
                <w:b w:val="0"/>
                <w:color w:val="1F2937"/>
                <w:sz w:val="21"/>
                <w:szCs w:val="21"/>
              </w:rPr>
              <w:t>109条结构化规则记录，覆盖33个法源名称</w:t>
            </w:r>
          </w:p>
        </w:tc>
        <w:tc>
          <w:tcPr>
            <w:tcW w:w="3701" w:type="dxa"/>
            <w:vAlign w:val="center"/>
          </w:tcPr>
          <w:p>
            <w:pPr>
              <w:spacing w:after="20" w:line="300" w:lineRule="auto"/>
              <w:rPr>
                <w:sz w:val="21"/>
                <w:szCs w:val="21"/>
              </w:rPr>
            </w:pPr>
            <w:r>
              <w:rPr>
                <w:rFonts w:ascii="宋体" w:hAnsi="宋体" w:eastAsia="宋体"/>
                <w:b w:val="0"/>
                <w:color w:val="1F2937"/>
                <w:sz w:val="21"/>
                <w:szCs w:val="21"/>
              </w:rPr>
              <w:t>法律、行政法规、部门规章、司法解释、北京地方规则、推荐性国标及项目规则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pPr>
              <w:spacing w:after="20" w:line="300" w:lineRule="auto"/>
              <w:rPr>
                <w:sz w:val="21"/>
                <w:szCs w:val="21"/>
              </w:rPr>
            </w:pPr>
            <w:r>
              <w:rPr>
                <w:rFonts w:ascii="宋体" w:hAnsi="宋体" w:eastAsia="宋体"/>
                <w:b w:val="0"/>
                <w:color w:val="1F2937"/>
                <w:sz w:val="21"/>
                <w:szCs w:val="21"/>
              </w:rPr>
              <w:t>个人信息处理映射</w:t>
            </w:r>
          </w:p>
        </w:tc>
        <w:tc>
          <w:tcPr>
            <w:tcW w:w="3616" w:type="dxa"/>
            <w:vAlign w:val="center"/>
          </w:tcPr>
          <w:p>
            <w:pPr>
              <w:spacing w:after="20" w:line="300" w:lineRule="auto"/>
              <w:rPr>
                <w:sz w:val="21"/>
                <w:szCs w:val="21"/>
              </w:rPr>
            </w:pPr>
            <w:r>
              <w:rPr>
                <w:rFonts w:ascii="宋体" w:hAnsi="宋体" w:eastAsia="宋体"/>
                <w:b w:val="0"/>
                <w:color w:val="1F2937"/>
                <w:sz w:val="21"/>
                <w:szCs w:val="21"/>
              </w:rPr>
              <w:t>25类劳动争议高频个人信息</w:t>
            </w:r>
          </w:p>
        </w:tc>
        <w:tc>
          <w:tcPr>
            <w:tcW w:w="3701" w:type="dxa"/>
            <w:vAlign w:val="center"/>
          </w:tcPr>
          <w:p>
            <w:pPr>
              <w:spacing w:after="20" w:line="300" w:lineRule="auto"/>
              <w:rPr>
                <w:sz w:val="21"/>
                <w:szCs w:val="21"/>
              </w:rPr>
            </w:pPr>
            <w:r>
              <w:rPr>
                <w:rFonts w:ascii="宋体" w:hAnsi="宋体" w:eastAsia="宋体"/>
                <w:b w:val="0"/>
                <w:color w:val="1F2937"/>
                <w:sz w:val="21"/>
                <w:szCs w:val="21"/>
              </w:rPr>
              <w:t>从常见载体、敏感属性、法条、处理方式到人工复核触发点形成闭环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pPr>
              <w:spacing w:after="20" w:line="300" w:lineRule="auto"/>
              <w:rPr>
                <w:sz w:val="21"/>
                <w:szCs w:val="21"/>
              </w:rPr>
            </w:pPr>
            <w:r>
              <w:rPr>
                <w:rFonts w:ascii="宋体" w:hAnsi="宋体" w:eastAsia="宋体"/>
                <w:b w:val="0"/>
                <w:color w:val="1F2937"/>
                <w:sz w:val="21"/>
                <w:szCs w:val="21"/>
              </w:rPr>
              <w:t>其他敏感客体映射</w:t>
            </w:r>
          </w:p>
        </w:tc>
        <w:tc>
          <w:tcPr>
            <w:tcW w:w="3616" w:type="dxa"/>
            <w:vAlign w:val="center"/>
          </w:tcPr>
          <w:p>
            <w:pPr>
              <w:spacing w:after="20" w:line="300" w:lineRule="auto"/>
              <w:rPr>
                <w:sz w:val="21"/>
                <w:szCs w:val="21"/>
              </w:rPr>
            </w:pPr>
            <w:r>
              <w:rPr>
                <w:rFonts w:ascii="宋体" w:hAnsi="宋体" w:eastAsia="宋体"/>
                <w:b w:val="0"/>
                <w:color w:val="1F2937"/>
                <w:sz w:val="21"/>
                <w:szCs w:val="21"/>
              </w:rPr>
              <w:t>15类非一般个人信息的特殊客体</w:t>
            </w:r>
          </w:p>
        </w:tc>
        <w:tc>
          <w:tcPr>
            <w:tcW w:w="3701" w:type="dxa"/>
            <w:vAlign w:val="center"/>
          </w:tcPr>
          <w:p>
            <w:pPr>
              <w:spacing w:after="20" w:line="300" w:lineRule="auto"/>
              <w:rPr>
                <w:sz w:val="21"/>
                <w:szCs w:val="21"/>
              </w:rPr>
            </w:pPr>
            <w:r>
              <w:rPr>
                <w:rFonts w:ascii="宋体" w:hAnsi="宋体" w:eastAsia="宋体"/>
                <w:b w:val="0"/>
                <w:color w:val="1F2937"/>
                <w:sz w:val="21"/>
                <w:szCs w:val="21"/>
              </w:rPr>
              <w:t>商业秘密、病历/鉴定、征信、国家秘密、工作秘密、程序保密、合同保密、电子证据等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pPr>
              <w:spacing w:after="20" w:line="300" w:lineRule="auto"/>
              <w:rPr>
                <w:sz w:val="21"/>
                <w:szCs w:val="21"/>
              </w:rPr>
            </w:pPr>
            <w:r>
              <w:rPr>
                <w:rFonts w:ascii="宋体" w:hAnsi="宋体" w:eastAsia="宋体"/>
                <w:b w:val="0"/>
                <w:color w:val="1F2937"/>
                <w:sz w:val="21"/>
                <w:szCs w:val="21"/>
              </w:rPr>
              <w:t>专业判断规则</w:t>
            </w:r>
          </w:p>
        </w:tc>
        <w:tc>
          <w:tcPr>
            <w:tcW w:w="3616" w:type="dxa"/>
            <w:vAlign w:val="center"/>
          </w:tcPr>
          <w:p>
            <w:pPr>
              <w:spacing w:after="20" w:line="300" w:lineRule="auto"/>
              <w:rPr>
                <w:sz w:val="21"/>
                <w:szCs w:val="21"/>
              </w:rPr>
            </w:pPr>
            <w:r>
              <w:rPr>
                <w:rFonts w:ascii="宋体" w:hAnsi="宋体" w:eastAsia="宋体"/>
                <w:b w:val="0"/>
                <w:color w:val="1F2937"/>
                <w:sz w:val="21"/>
                <w:szCs w:val="21"/>
              </w:rPr>
              <w:t>硬性禁止四要件＋冲突处理六步链</w:t>
            </w:r>
          </w:p>
        </w:tc>
        <w:tc>
          <w:tcPr>
            <w:tcW w:w="3701" w:type="dxa"/>
            <w:vAlign w:val="center"/>
          </w:tcPr>
          <w:p>
            <w:pPr>
              <w:spacing w:after="20" w:line="300" w:lineRule="auto"/>
              <w:rPr>
                <w:sz w:val="21"/>
                <w:szCs w:val="21"/>
              </w:rPr>
            </w:pPr>
            <w:r>
              <w:rPr>
                <w:sz w:val="21"/>
                <w:szCs w:val="21"/>
                <w:lang w:val="en-US" w:eastAsia="zh-CN"/>
              </w:rPr>
              <w:t>规避 “敏感即当然禁止”</w:t>
            </w:r>
            <w:r>
              <w:rPr>
                <w:rFonts w:hint="eastAsia"/>
                <w:sz w:val="21"/>
                <w:szCs w:val="21"/>
                <w:lang w:val="en-US" w:eastAsia="zh-CN"/>
              </w:rPr>
              <w:t>“</w:t>
            </w:r>
            <w:r>
              <w:rPr>
                <w:sz w:val="21"/>
                <w:szCs w:val="21"/>
                <w:lang w:val="en-US" w:eastAsia="zh-CN"/>
              </w:rPr>
              <w:t>有权查阅即有权</w:t>
            </w:r>
            <w:bookmarkStart w:id="1" w:name="_GoBack"/>
            <w:bookmarkEnd w:id="1"/>
            <w:r>
              <w:rPr>
                <w:sz w:val="21"/>
                <w:szCs w:val="21"/>
                <w:lang w:val="en-US" w:eastAsia="zh-CN"/>
              </w:rPr>
              <w:t>对外提供” 的法律认知误区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3" w:type="dxa"/>
            <w:vAlign w:val="center"/>
          </w:tcPr>
          <w:p>
            <w:pPr>
              <w:spacing w:after="20" w:line="300" w:lineRule="auto"/>
              <w:rPr>
                <w:sz w:val="21"/>
                <w:szCs w:val="21"/>
              </w:rPr>
            </w:pPr>
            <w:r>
              <w:rPr>
                <w:rFonts w:ascii="宋体" w:hAnsi="宋体" w:eastAsia="宋体"/>
                <w:b w:val="0"/>
                <w:color w:val="1F2937"/>
                <w:sz w:val="21"/>
                <w:szCs w:val="21"/>
              </w:rPr>
              <w:t>人工复核机制</w:t>
            </w:r>
          </w:p>
        </w:tc>
        <w:tc>
          <w:tcPr>
            <w:tcW w:w="3616" w:type="dxa"/>
            <w:vAlign w:val="center"/>
          </w:tcPr>
          <w:p>
            <w:pPr>
              <w:spacing w:after="20" w:line="300" w:lineRule="auto"/>
              <w:rPr>
                <w:sz w:val="21"/>
                <w:szCs w:val="21"/>
              </w:rPr>
            </w:pPr>
            <w:r>
              <w:rPr>
                <w:rFonts w:ascii="宋体" w:hAnsi="宋体" w:eastAsia="宋体"/>
                <w:b w:val="0"/>
                <w:color w:val="1F2937"/>
                <w:sz w:val="21"/>
                <w:szCs w:val="21"/>
              </w:rPr>
              <w:t>6块审批信息＋4类审批结论</w:t>
            </w:r>
          </w:p>
        </w:tc>
        <w:tc>
          <w:tcPr>
            <w:tcW w:w="3701" w:type="dxa"/>
            <w:vAlign w:val="center"/>
          </w:tcPr>
          <w:p>
            <w:pPr>
              <w:spacing w:after="20" w:line="300" w:lineRule="auto"/>
              <w:rPr>
                <w:sz w:val="21"/>
                <w:szCs w:val="21"/>
              </w:rPr>
            </w:pPr>
            <w:r>
              <w:rPr>
                <w:rFonts w:ascii="宋体" w:hAnsi="宋体" w:eastAsia="宋体"/>
                <w:b w:val="0"/>
                <w:color w:val="1F2937"/>
                <w:sz w:val="21"/>
                <w:szCs w:val="21"/>
              </w:rPr>
              <w:t>仅在决定性事实或法律适用不确定时触发，形成完整审计留痕</w:t>
            </w:r>
          </w:p>
        </w:tc>
      </w:tr>
    </w:tbl>
    <w:p>
      <w:pPr>
        <w:spacing w:after="40" w:line="300" w:lineRule="auto"/>
      </w:pPr>
    </w:p>
    <w:p>
      <w:pPr>
        <w:spacing w:line="300" w:lineRule="auto"/>
      </w:pPr>
      <w:r>
        <w:br w:type="page"/>
      </w:r>
    </w:p>
    <w:p>
      <w:pPr>
        <w:pStyle w:val="3"/>
        <w:spacing w:before="240" w:after="120" w:line="300" w:lineRule="auto"/>
      </w:pPr>
    </w:p>
    <w:p>
      <w:pPr>
        <w:spacing w:after="360" w:line="300" w:lineRule="auto"/>
        <w:jc w:val="center"/>
      </w:pPr>
      <w:r>
        <w:rPr>
          <w:b/>
          <w:sz w:val="36"/>
        </w:rPr>
        <w:t>目  录</w:t>
      </w:r>
    </w:p>
    <w:p>
      <w:pPr>
        <w:tabs>
          <w:tab w:val="right" w:leader="dot" w:pos="8500"/>
        </w:tabs>
        <w:spacing w:before="100" w:after="100" w:line="300" w:lineRule="auto"/>
        <w:ind w:left="200" w:right="200"/>
      </w:pPr>
      <w:r>
        <w:t>第一章  法律规则体系</w:t>
      </w:r>
      <w:r>
        <w:tab/>
      </w:r>
      <w:r>
        <w:t>4</w:t>
      </w:r>
    </w:p>
    <w:p>
      <w:pPr>
        <w:tabs>
          <w:tab w:val="right" w:leader="dot" w:pos="8500"/>
        </w:tabs>
        <w:spacing w:before="100" w:after="100" w:line="300" w:lineRule="auto"/>
        <w:ind w:left="200" w:right="200"/>
      </w:pPr>
      <w:r>
        <w:t>第二章  法律知识资产</w:t>
      </w:r>
      <w:r>
        <w:tab/>
      </w:r>
      <w:r>
        <w:t>7</w:t>
      </w:r>
    </w:p>
    <w:p>
      <w:pPr>
        <w:tabs>
          <w:tab w:val="right" w:leader="dot" w:pos="8500"/>
        </w:tabs>
        <w:spacing w:before="100" w:after="100" w:line="300" w:lineRule="auto"/>
        <w:ind w:left="200" w:right="200"/>
      </w:pPr>
      <w:r>
        <w:t>第三章  专业法律判断机制</w:t>
      </w:r>
      <w:r>
        <w:tab/>
      </w:r>
      <w:r>
        <w:t>10</w:t>
      </w:r>
    </w:p>
    <w:p>
      <w:pPr>
        <w:tabs>
          <w:tab w:val="right" w:leader="dot" w:pos="8500"/>
        </w:tabs>
        <w:spacing w:before="100" w:after="100" w:line="300" w:lineRule="auto"/>
        <w:ind w:left="200" w:right="200"/>
      </w:pPr>
      <w:r>
        <w:t xml:space="preserve">第四章  </w:t>
      </w:r>
      <w:bookmarkStart w:id="0" w:name="OLE_LINK1"/>
      <w:r>
        <w:t>人工复核与责任边界</w:t>
      </w:r>
      <w:bookmarkEnd w:id="0"/>
      <w:r>
        <w:tab/>
      </w:r>
      <w:r>
        <w:t>12</w:t>
      </w:r>
    </w:p>
    <w:p>
      <w:pPr>
        <w:tabs>
          <w:tab w:val="right" w:leader="dot" w:pos="8500"/>
        </w:tabs>
        <w:spacing w:before="100" w:after="100" w:line="300" w:lineRule="auto"/>
        <w:ind w:left="200" w:right="200"/>
      </w:pPr>
      <w:r>
        <w:t>第五章  规则治理、追溯与更新</w:t>
      </w:r>
      <w:r>
        <w:tab/>
      </w:r>
      <w:r>
        <w:t>17</w:t>
      </w:r>
    </w:p>
    <w:p>
      <w:pPr>
        <w:tabs>
          <w:tab w:val="right" w:leader="dot" w:pos="8500"/>
        </w:tabs>
        <w:spacing w:before="100" w:after="100" w:line="300" w:lineRule="auto"/>
        <w:ind w:left="200" w:right="200"/>
      </w:pPr>
      <w:r>
        <w:t>附录 A  个人信息处理映射摘要</w:t>
      </w:r>
      <w:r>
        <w:tab/>
      </w:r>
      <w:r>
        <w:t>18</w:t>
      </w:r>
    </w:p>
    <w:p>
      <w:pPr>
        <w:tabs>
          <w:tab w:val="right" w:leader="dot" w:pos="8500"/>
        </w:tabs>
        <w:spacing w:before="100" w:after="100" w:line="300" w:lineRule="auto"/>
        <w:ind w:left="200" w:right="200"/>
        <w:rPr>
          <w:rFonts w:hint="eastAsia" w:eastAsia="宋体"/>
          <w:lang w:val="en-US" w:eastAsia="zh-CN"/>
        </w:rPr>
      </w:pPr>
      <w:r>
        <w:t>附录 B  其他敏感客体处理映射摘要</w:t>
      </w:r>
      <w:r>
        <w:tab/>
      </w:r>
      <w:r>
        <w:t>2</w:t>
      </w:r>
      <w:r>
        <w:rPr>
          <w:rFonts w:hint="eastAsia"/>
          <w:lang w:val="en-US" w:eastAsia="zh-CN"/>
        </w:rPr>
        <w:t>0</w:t>
      </w:r>
    </w:p>
    <w:p>
      <w:pPr>
        <w:tabs>
          <w:tab w:val="right" w:leader="dot" w:pos="8500"/>
        </w:tabs>
        <w:spacing w:before="100" w:after="100" w:line="300" w:lineRule="auto"/>
        <w:ind w:left="200" w:right="200"/>
        <w:rPr>
          <w:rFonts w:hint="eastAsia" w:eastAsia="宋体"/>
          <w:lang w:val="en-US" w:eastAsia="zh-CN"/>
        </w:rPr>
      </w:pPr>
      <w:r>
        <w:t>附录 C  核心法源资产清单</w:t>
      </w:r>
      <w:r>
        <w:tab/>
      </w:r>
      <w:r>
        <w:t>2</w:t>
      </w:r>
      <w:r>
        <w:rPr>
          <w:rFonts w:hint="eastAsia"/>
          <w:lang w:val="en-US" w:eastAsia="zh-CN"/>
        </w:rPr>
        <w:t>2</w:t>
      </w:r>
    </w:p>
    <w:p>
      <w:pPr>
        <w:spacing w:line="300" w:lineRule="auto"/>
      </w:pPr>
      <w:r>
        <w:br w:type="page"/>
      </w:r>
    </w:p>
    <w:p>
      <w:pPr>
        <w:spacing w:before="0" w:after="100" w:line="300" w:lineRule="auto"/>
        <w:jc w:val="center"/>
        <w:rPr>
          <w:rFonts w:hint="default" w:ascii="宋体" w:hAnsi="宋体" w:eastAsia="宋体"/>
          <w:b/>
          <w:bCs/>
          <w:sz w:val="28"/>
          <w:szCs w:val="32"/>
          <w:lang w:val="en-US" w:eastAsia="zh-CN"/>
        </w:rPr>
      </w:pPr>
      <w:r>
        <w:rPr>
          <w:rFonts w:hint="eastAsia"/>
          <w:b/>
          <w:bCs/>
          <w:sz w:val="28"/>
          <w:szCs w:val="32"/>
          <w:lang w:val="en-US" w:eastAsia="zh-CN"/>
        </w:rPr>
        <w:t xml:space="preserve">第一章 </w:t>
      </w:r>
      <w:r>
        <w:rPr>
          <w:b/>
          <w:bCs/>
          <w:sz w:val="28"/>
          <w:szCs w:val="32"/>
        </w:rPr>
        <w:t>法律规则体系</w:t>
      </w:r>
    </w:p>
    <w:p>
      <w:pPr>
        <w:spacing w:before="0" w:after="100" w:line="300" w:lineRule="auto"/>
        <w:ind w:firstLine="420"/>
      </w:pPr>
      <w:r>
        <w:rPr>
          <w:rFonts w:ascii="宋体" w:hAnsi="宋体" w:eastAsia="宋体"/>
          <w:b w:val="0"/>
          <w:sz w:val="21"/>
        </w:rPr>
        <w:t>本系统法律规则模块面向一个明确而受限的业务任务：律师/法律工作者在劳动争议案件中，使用外部大模型辅助形成案件事实摘要、事实脉络和证据关系整理。系统不以自动替代律师作出实体裁判结论为目标，也不以发现敏感信息即阻断为目标，而是在保留案件法律事实可用性的前提下，控制诉讼材料向外部处理环境传递时的法律风险。</w:t>
      </w:r>
    </w:p>
    <w:p>
      <w:pPr>
        <w:spacing w:before="0" w:after="100" w:line="300" w:lineRule="auto"/>
        <w:ind w:firstLine="420"/>
      </w:pPr>
      <w:r>
        <w:rPr>
          <w:rFonts w:ascii="宋体" w:hAnsi="宋体" w:eastAsia="宋体"/>
          <w:b w:val="0"/>
          <w:sz w:val="21"/>
        </w:rPr>
        <w:t>法律规则模块的直接任务包括四项：第一，识别劳动争议材料中需要保护的个人信息及其他受保护客体；第二，判断哪些字段可以自动删除、替换、泛化或保留；第三，识别真正存在硬性外部处理限制的情形；第四，在法律依据、处分权限、保密义务、数据流向或适用条件无法自动确认时，将问题准确地交给律师人工复核，而不是由系统擅自推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14" w:type="dxa"/>
            <w:vAlign w:val="center"/>
          </w:tcPr>
          <w:p>
            <w:pPr>
              <w:spacing w:after="20" w:line="300" w:lineRule="auto"/>
              <w:rPr>
                <w:sz w:val="21"/>
                <w:szCs w:val="21"/>
              </w:rPr>
            </w:pPr>
            <w:r>
              <w:rPr>
                <w:rFonts w:ascii="宋体" w:hAnsi="宋体" w:eastAsia="宋体"/>
                <w:b/>
                <w:color w:val="1F2937"/>
                <w:sz w:val="21"/>
                <w:szCs w:val="21"/>
              </w:rPr>
              <w:t>规则层级</w:t>
            </w:r>
          </w:p>
        </w:tc>
        <w:tc>
          <w:tcPr>
            <w:tcW w:w="1587" w:type="dxa"/>
            <w:vAlign w:val="center"/>
          </w:tcPr>
          <w:p>
            <w:pPr>
              <w:spacing w:after="20" w:line="300" w:lineRule="auto"/>
              <w:rPr>
                <w:sz w:val="21"/>
                <w:szCs w:val="21"/>
              </w:rPr>
            </w:pPr>
            <w:r>
              <w:rPr>
                <w:rFonts w:ascii="宋体" w:hAnsi="宋体" w:eastAsia="宋体"/>
                <w:b/>
                <w:color w:val="1F2937"/>
                <w:sz w:val="21"/>
                <w:szCs w:val="21"/>
              </w:rPr>
              <w:t>当前条目</w:t>
            </w:r>
          </w:p>
        </w:tc>
        <w:tc>
          <w:tcPr>
            <w:tcW w:w="5669" w:type="dxa"/>
            <w:vAlign w:val="center"/>
          </w:tcPr>
          <w:p>
            <w:pPr>
              <w:spacing w:after="20" w:line="300" w:lineRule="auto"/>
              <w:rPr>
                <w:sz w:val="21"/>
                <w:szCs w:val="21"/>
              </w:rPr>
            </w:pPr>
            <w:r>
              <w:rPr>
                <w:rFonts w:ascii="宋体" w:hAnsi="宋体" w:eastAsia="宋体"/>
                <w:b/>
                <w:color w:val="1F2937"/>
                <w:sz w:val="21"/>
                <w:szCs w:val="21"/>
              </w:rPr>
              <w:t>在系统中的作用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法律</w:t>
            </w:r>
          </w:p>
        </w:tc>
        <w:tc>
          <w:tcPr>
            <w:tcW w:w="1587" w:type="dxa"/>
            <w:vAlign w:val="center"/>
          </w:tcPr>
          <w:p>
            <w:pPr>
              <w:spacing w:after="20" w:line="300" w:lineRule="auto"/>
              <w:rPr>
                <w:sz w:val="21"/>
                <w:szCs w:val="21"/>
              </w:rPr>
            </w:pPr>
            <w:r>
              <w:rPr>
                <w:rFonts w:ascii="宋体" w:hAnsi="宋体" w:eastAsia="宋体"/>
                <w:b w:val="0"/>
                <w:color w:val="1F2937"/>
                <w:sz w:val="21"/>
                <w:szCs w:val="21"/>
              </w:rPr>
              <w:t>45条规则记录</w:t>
            </w:r>
          </w:p>
        </w:tc>
        <w:tc>
          <w:tcPr>
            <w:tcW w:w="5669" w:type="dxa"/>
            <w:vAlign w:val="center"/>
          </w:tcPr>
          <w:p>
            <w:pPr>
              <w:spacing w:after="20" w:line="300" w:lineRule="auto"/>
              <w:rPr>
                <w:sz w:val="21"/>
                <w:szCs w:val="21"/>
              </w:rPr>
            </w:pPr>
            <w:r>
              <w:rPr>
                <w:rFonts w:ascii="宋体" w:hAnsi="宋体" w:eastAsia="宋体"/>
                <w:b w:val="0"/>
                <w:color w:val="1F2937"/>
                <w:sz w:val="21"/>
                <w:szCs w:val="21"/>
              </w:rPr>
              <w:t>个保法、民法典、律师法、反不正当竞争法、数据安全法、保密法等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行政法规</w:t>
            </w:r>
          </w:p>
        </w:tc>
        <w:tc>
          <w:tcPr>
            <w:tcW w:w="1587" w:type="dxa"/>
            <w:vAlign w:val="center"/>
          </w:tcPr>
          <w:p>
            <w:pPr>
              <w:spacing w:after="20" w:line="300" w:lineRule="auto"/>
              <w:rPr>
                <w:sz w:val="21"/>
                <w:szCs w:val="21"/>
              </w:rPr>
            </w:pPr>
            <w:r>
              <w:rPr>
                <w:rFonts w:ascii="宋体" w:hAnsi="宋体" w:eastAsia="宋体"/>
                <w:b w:val="0"/>
                <w:color w:val="1F2937"/>
                <w:sz w:val="21"/>
                <w:szCs w:val="21"/>
              </w:rPr>
              <w:t>7条</w:t>
            </w:r>
          </w:p>
        </w:tc>
        <w:tc>
          <w:tcPr>
            <w:tcW w:w="5669" w:type="dxa"/>
            <w:vAlign w:val="center"/>
          </w:tcPr>
          <w:p>
            <w:pPr>
              <w:spacing w:after="20" w:line="300" w:lineRule="auto"/>
              <w:rPr>
                <w:sz w:val="21"/>
                <w:szCs w:val="21"/>
              </w:rPr>
            </w:pPr>
            <w:r>
              <w:rPr>
                <w:rFonts w:ascii="宋体" w:hAnsi="宋体" w:eastAsia="宋体"/>
                <w:b w:val="0"/>
                <w:color w:val="1F2937"/>
                <w:sz w:val="21"/>
                <w:szCs w:val="21"/>
              </w:rPr>
              <w:t>网络数据安全管理条例等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部门规章</w:t>
            </w:r>
          </w:p>
        </w:tc>
        <w:tc>
          <w:tcPr>
            <w:tcW w:w="1587" w:type="dxa"/>
            <w:vAlign w:val="center"/>
          </w:tcPr>
          <w:p>
            <w:pPr>
              <w:spacing w:after="20" w:line="300" w:lineRule="auto"/>
              <w:rPr>
                <w:sz w:val="21"/>
                <w:szCs w:val="21"/>
              </w:rPr>
            </w:pPr>
            <w:r>
              <w:rPr>
                <w:rFonts w:ascii="宋体" w:hAnsi="宋体" w:eastAsia="宋体"/>
                <w:b w:val="0"/>
                <w:color w:val="1F2937"/>
                <w:sz w:val="21"/>
                <w:szCs w:val="21"/>
              </w:rPr>
              <w:t>16条</w:t>
            </w:r>
          </w:p>
        </w:tc>
        <w:tc>
          <w:tcPr>
            <w:tcW w:w="5669" w:type="dxa"/>
            <w:vAlign w:val="center"/>
          </w:tcPr>
          <w:p>
            <w:pPr>
              <w:spacing w:after="20" w:line="300" w:lineRule="auto"/>
              <w:rPr>
                <w:sz w:val="21"/>
                <w:szCs w:val="21"/>
              </w:rPr>
            </w:pPr>
            <w:r>
              <w:rPr>
                <w:rFonts w:ascii="宋体" w:hAnsi="宋体" w:eastAsia="宋体"/>
                <w:b w:val="0"/>
                <w:color w:val="1F2937"/>
                <w:sz w:val="21"/>
                <w:szCs w:val="21"/>
              </w:rPr>
              <w:t>劳动人事争议仲裁办案规则、跨境数据规则等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司法解释</w:t>
            </w:r>
          </w:p>
        </w:tc>
        <w:tc>
          <w:tcPr>
            <w:tcW w:w="1587" w:type="dxa"/>
            <w:vAlign w:val="center"/>
          </w:tcPr>
          <w:p>
            <w:pPr>
              <w:spacing w:after="20" w:line="300" w:lineRule="auto"/>
              <w:rPr>
                <w:sz w:val="21"/>
                <w:szCs w:val="21"/>
              </w:rPr>
            </w:pPr>
            <w:r>
              <w:rPr>
                <w:rFonts w:ascii="宋体" w:hAnsi="宋体" w:eastAsia="宋体"/>
                <w:b w:val="0"/>
                <w:color w:val="1F2937"/>
                <w:sz w:val="21"/>
                <w:szCs w:val="21"/>
              </w:rPr>
              <w:t>4条</w:t>
            </w:r>
          </w:p>
        </w:tc>
        <w:tc>
          <w:tcPr>
            <w:tcW w:w="5669" w:type="dxa"/>
            <w:vAlign w:val="center"/>
          </w:tcPr>
          <w:p>
            <w:pPr>
              <w:spacing w:after="20" w:line="300" w:lineRule="auto"/>
              <w:rPr>
                <w:sz w:val="21"/>
                <w:szCs w:val="21"/>
              </w:rPr>
            </w:pPr>
            <w:r>
              <w:rPr>
                <w:rFonts w:ascii="宋体" w:hAnsi="宋体" w:eastAsia="宋体"/>
                <w:b w:val="0"/>
                <w:color w:val="1F2937"/>
                <w:sz w:val="21"/>
                <w:szCs w:val="21"/>
              </w:rPr>
              <w:t>民诉法解释、商业秘密司法解释等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地方性法规</w:t>
            </w:r>
          </w:p>
        </w:tc>
        <w:tc>
          <w:tcPr>
            <w:tcW w:w="1587" w:type="dxa"/>
            <w:vAlign w:val="center"/>
          </w:tcPr>
          <w:p>
            <w:pPr>
              <w:spacing w:after="20" w:line="300" w:lineRule="auto"/>
              <w:rPr>
                <w:sz w:val="21"/>
                <w:szCs w:val="21"/>
              </w:rPr>
            </w:pPr>
            <w:r>
              <w:rPr>
                <w:rFonts w:ascii="宋体" w:hAnsi="宋体" w:eastAsia="宋体"/>
                <w:b w:val="0"/>
                <w:color w:val="1F2937"/>
                <w:sz w:val="21"/>
                <w:szCs w:val="21"/>
              </w:rPr>
              <w:t>11条</w:t>
            </w:r>
          </w:p>
        </w:tc>
        <w:tc>
          <w:tcPr>
            <w:tcW w:w="5669" w:type="dxa"/>
            <w:vAlign w:val="center"/>
          </w:tcPr>
          <w:p>
            <w:pPr>
              <w:spacing w:after="20" w:line="300" w:lineRule="auto"/>
              <w:rPr>
                <w:sz w:val="21"/>
                <w:szCs w:val="21"/>
              </w:rPr>
            </w:pPr>
            <w:r>
              <w:rPr>
                <w:rFonts w:ascii="宋体" w:hAnsi="宋体" w:eastAsia="宋体"/>
                <w:b w:val="0"/>
                <w:color w:val="1F2937"/>
                <w:sz w:val="21"/>
                <w:szCs w:val="21"/>
              </w:rPr>
              <w:t>北京市数字经济促进条例、北京市保守国家秘密条例等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地方政府规章</w:t>
            </w:r>
          </w:p>
        </w:tc>
        <w:tc>
          <w:tcPr>
            <w:tcW w:w="1587" w:type="dxa"/>
            <w:vAlign w:val="center"/>
          </w:tcPr>
          <w:p>
            <w:pPr>
              <w:spacing w:after="20" w:line="300" w:lineRule="auto"/>
              <w:rPr>
                <w:sz w:val="21"/>
                <w:szCs w:val="21"/>
              </w:rPr>
            </w:pPr>
            <w:r>
              <w:rPr>
                <w:rFonts w:ascii="宋体" w:hAnsi="宋体" w:eastAsia="宋体"/>
                <w:b w:val="0"/>
                <w:color w:val="1F2937"/>
                <w:sz w:val="21"/>
                <w:szCs w:val="21"/>
              </w:rPr>
              <w:t>1条</w:t>
            </w:r>
          </w:p>
        </w:tc>
        <w:tc>
          <w:tcPr>
            <w:tcW w:w="5669" w:type="dxa"/>
            <w:vAlign w:val="center"/>
          </w:tcPr>
          <w:p>
            <w:pPr>
              <w:spacing w:after="20" w:line="300" w:lineRule="auto"/>
              <w:rPr>
                <w:sz w:val="21"/>
                <w:szCs w:val="21"/>
              </w:rPr>
            </w:pPr>
            <w:r>
              <w:rPr>
                <w:rFonts w:ascii="宋体" w:hAnsi="宋体" w:eastAsia="宋体"/>
                <w:b w:val="0"/>
                <w:color w:val="1F2937"/>
                <w:sz w:val="21"/>
                <w:szCs w:val="21"/>
              </w:rPr>
              <w:t>北京市促进人力资源市场发展办法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推荐性国家标准</w:t>
            </w:r>
          </w:p>
        </w:tc>
        <w:tc>
          <w:tcPr>
            <w:tcW w:w="1587" w:type="dxa"/>
            <w:vAlign w:val="center"/>
          </w:tcPr>
          <w:p>
            <w:pPr>
              <w:spacing w:after="20" w:line="300" w:lineRule="auto"/>
              <w:rPr>
                <w:sz w:val="21"/>
                <w:szCs w:val="21"/>
              </w:rPr>
            </w:pPr>
            <w:r>
              <w:rPr>
                <w:rFonts w:ascii="宋体" w:hAnsi="宋体" w:eastAsia="宋体"/>
                <w:b w:val="0"/>
                <w:color w:val="1F2937"/>
                <w:sz w:val="21"/>
                <w:szCs w:val="21"/>
              </w:rPr>
              <w:t>22条位置/规则</w:t>
            </w:r>
          </w:p>
        </w:tc>
        <w:tc>
          <w:tcPr>
            <w:tcW w:w="5669" w:type="dxa"/>
            <w:vAlign w:val="center"/>
          </w:tcPr>
          <w:p>
            <w:pPr>
              <w:spacing w:after="20" w:line="300" w:lineRule="auto"/>
              <w:rPr>
                <w:sz w:val="21"/>
                <w:szCs w:val="21"/>
              </w:rPr>
            </w:pPr>
            <w:r>
              <w:rPr>
                <w:rFonts w:ascii="宋体" w:hAnsi="宋体" w:eastAsia="宋体"/>
                <w:b w:val="0"/>
                <w:color w:val="1F2937"/>
                <w:sz w:val="21"/>
                <w:szCs w:val="21"/>
              </w:rPr>
              <w:t>GB/T 37964</w:t>
            </w:r>
            <w:r>
              <w:rPr>
                <w:rFonts w:hint="eastAsia"/>
                <w:b w:val="0"/>
                <w:color w:val="1F2937"/>
                <w:sz w:val="21"/>
                <w:szCs w:val="21"/>
                <w:lang w:eastAsia="zh-CN"/>
              </w:rPr>
              <w:t>-</w:t>
            </w:r>
            <w:r>
              <w:rPr>
                <w:rFonts w:ascii="宋体" w:hAnsi="宋体" w:eastAsia="宋体"/>
                <w:b w:val="0"/>
                <w:color w:val="1F2937"/>
                <w:sz w:val="21"/>
                <w:szCs w:val="21"/>
              </w:rPr>
              <w:t>2019、GB/T 42460</w:t>
            </w:r>
            <w:r>
              <w:rPr>
                <w:rFonts w:hint="eastAsia"/>
                <w:b w:val="0"/>
                <w:color w:val="1F2937"/>
                <w:sz w:val="21"/>
                <w:szCs w:val="21"/>
                <w:lang w:eastAsia="zh-CN"/>
              </w:rPr>
              <w:t>-</w:t>
            </w:r>
            <w:r>
              <w:rPr>
                <w:rFonts w:ascii="宋体" w:hAnsi="宋体" w:eastAsia="宋体"/>
                <w:b w:val="0"/>
                <w:color w:val="1F2937"/>
                <w:sz w:val="21"/>
                <w:szCs w:val="21"/>
              </w:rPr>
              <w:t>2023、GB/T 45574</w:t>
            </w:r>
            <w:r>
              <w:rPr>
                <w:rFonts w:hint="eastAsia"/>
                <w:b w:val="0"/>
                <w:color w:val="1F2937"/>
                <w:sz w:val="21"/>
                <w:szCs w:val="21"/>
                <w:lang w:eastAsia="zh-CN"/>
              </w:rPr>
              <w:t>-</w:t>
            </w:r>
            <w:r>
              <w:rPr>
                <w:rFonts w:ascii="宋体" w:hAnsi="宋体" w:eastAsia="宋体"/>
                <w:b w:val="0"/>
                <w:color w:val="1F2937"/>
                <w:sz w:val="21"/>
                <w:szCs w:val="21"/>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项目自定规则</w:t>
            </w:r>
          </w:p>
        </w:tc>
        <w:tc>
          <w:tcPr>
            <w:tcW w:w="1587" w:type="dxa"/>
            <w:vAlign w:val="center"/>
          </w:tcPr>
          <w:p>
            <w:pPr>
              <w:spacing w:after="20" w:line="300" w:lineRule="auto"/>
              <w:rPr>
                <w:sz w:val="21"/>
                <w:szCs w:val="21"/>
              </w:rPr>
            </w:pPr>
            <w:r>
              <w:rPr>
                <w:rFonts w:ascii="宋体" w:hAnsi="宋体" w:eastAsia="宋体"/>
                <w:b w:val="0"/>
                <w:color w:val="1F2937"/>
                <w:sz w:val="21"/>
                <w:szCs w:val="21"/>
              </w:rPr>
              <w:t>3条</w:t>
            </w:r>
          </w:p>
        </w:tc>
        <w:tc>
          <w:tcPr>
            <w:tcW w:w="5669" w:type="dxa"/>
            <w:vAlign w:val="center"/>
          </w:tcPr>
          <w:p>
            <w:pPr>
              <w:spacing w:after="20" w:line="300" w:lineRule="auto"/>
              <w:rPr>
                <w:sz w:val="21"/>
                <w:szCs w:val="21"/>
              </w:rPr>
            </w:pPr>
            <w:r>
              <w:rPr>
                <w:rFonts w:ascii="宋体" w:hAnsi="宋体" w:eastAsia="宋体"/>
                <w:b w:val="0"/>
                <w:color w:val="1F2937"/>
                <w:sz w:val="21"/>
                <w:szCs w:val="21"/>
              </w:rPr>
              <w:t>自动脱敏优先、敏感不等于人工复核、决定性不确定时暂停外部调用</w:t>
            </w:r>
          </w:p>
        </w:tc>
      </w:tr>
    </w:tbl>
    <w:p>
      <w:pPr>
        <w:spacing w:after="40" w:line="300" w:lineRule="auto"/>
      </w:pPr>
    </w:p>
    <w:p>
      <w:pPr>
        <w:spacing w:before="0" w:after="100" w:line="300" w:lineRule="auto"/>
        <w:ind w:firstLine="420"/>
      </w:pPr>
      <w:r>
        <w:rPr>
          <w:rFonts w:ascii="宋体" w:hAnsi="宋体" w:eastAsia="宋体"/>
          <w:b w:val="0"/>
          <w:sz w:val="21"/>
        </w:rPr>
        <w:t>系统在执行中严格区分三种性质：一是法律规范，决定“必须、不得、应当”以及违法后果；二是业务/技术参考，尤其是推荐性国家标准，用于构建标识符识别、去标识化效果和敏感信息安全措施；三是项目自行采取的保守控制，用于降低外部调用风险，但在页面上不得表述为“法律明确要求”。</w:t>
      </w:r>
    </w:p>
    <w:p>
      <w:pPr>
        <w:spacing w:before="0" w:after="100" w:line="300" w:lineRule="auto"/>
        <w:ind w:firstLine="420"/>
      </w:pPr>
      <w:r>
        <w:rPr>
          <w:rFonts w:ascii="宋体" w:hAnsi="宋体" w:eastAsia="宋体"/>
          <w:b w:val="0"/>
          <w:sz w:val="21"/>
        </w:rPr>
        <w:t>法源目录不是简单的法规收藏，而是把每条规范拆解成可供系统调用的结构化记录。当前法源目录每条规则固定记录12个维度：法源层级、名称、条款/位置、原文概括、规范内容、适用对象及范围、触发条件、法律后果、是否需要人工复核、规则性质、版本/修订信息和生效日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vAlign w:val="center"/>
          </w:tcPr>
          <w:p>
            <w:pPr>
              <w:spacing w:after="20" w:line="300" w:lineRule="auto"/>
              <w:rPr>
                <w:sz w:val="21"/>
                <w:szCs w:val="21"/>
              </w:rPr>
            </w:pPr>
            <w:r>
              <w:rPr>
                <w:rFonts w:ascii="宋体" w:hAnsi="宋体" w:eastAsia="宋体"/>
                <w:b/>
                <w:color w:val="1F2937"/>
                <w:sz w:val="21"/>
                <w:szCs w:val="21"/>
              </w:rPr>
              <w:t>结构层</w:t>
            </w:r>
          </w:p>
        </w:tc>
        <w:tc>
          <w:tcPr>
            <w:tcW w:w="3175" w:type="dxa"/>
            <w:vAlign w:val="center"/>
          </w:tcPr>
          <w:p>
            <w:pPr>
              <w:spacing w:after="20" w:line="300" w:lineRule="auto"/>
              <w:rPr>
                <w:sz w:val="21"/>
                <w:szCs w:val="21"/>
              </w:rPr>
            </w:pPr>
            <w:r>
              <w:rPr>
                <w:rFonts w:ascii="宋体" w:hAnsi="宋体" w:eastAsia="宋体"/>
                <w:b/>
                <w:color w:val="1F2937"/>
                <w:sz w:val="21"/>
                <w:szCs w:val="21"/>
              </w:rPr>
              <w:t>字段</w:t>
            </w:r>
          </w:p>
        </w:tc>
        <w:tc>
          <w:tcPr>
            <w:tcW w:w="4309" w:type="dxa"/>
            <w:vAlign w:val="center"/>
          </w:tcPr>
          <w:p>
            <w:pPr>
              <w:spacing w:after="20" w:line="300" w:lineRule="auto"/>
              <w:rPr>
                <w:sz w:val="21"/>
                <w:szCs w:val="21"/>
              </w:rPr>
            </w:pPr>
            <w:r>
              <w:rPr>
                <w:rFonts w:ascii="宋体" w:hAnsi="宋体" w:eastAsia="宋体"/>
                <w:b/>
                <w:color w:val="1F2937"/>
                <w:sz w:val="21"/>
                <w:szCs w:val="21"/>
              </w:rPr>
              <w:t>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20" w:line="300" w:lineRule="auto"/>
              <w:rPr>
                <w:sz w:val="21"/>
                <w:szCs w:val="21"/>
              </w:rPr>
            </w:pPr>
            <w:r>
              <w:rPr>
                <w:rFonts w:ascii="宋体" w:hAnsi="宋体" w:eastAsia="宋体"/>
                <w:b w:val="0"/>
                <w:color w:val="1F2937"/>
                <w:sz w:val="21"/>
                <w:szCs w:val="21"/>
              </w:rPr>
              <w:t>原文层</w:t>
            </w:r>
          </w:p>
        </w:tc>
        <w:tc>
          <w:tcPr>
            <w:tcW w:w="3175" w:type="dxa"/>
            <w:vAlign w:val="center"/>
          </w:tcPr>
          <w:p>
            <w:pPr>
              <w:spacing w:after="20" w:line="300" w:lineRule="auto"/>
              <w:rPr>
                <w:sz w:val="21"/>
                <w:szCs w:val="21"/>
              </w:rPr>
            </w:pPr>
            <w:r>
              <w:rPr>
                <w:rFonts w:ascii="宋体" w:hAnsi="宋体" w:eastAsia="宋体"/>
                <w:b w:val="0"/>
                <w:color w:val="1F2937"/>
                <w:sz w:val="21"/>
                <w:szCs w:val="21"/>
              </w:rPr>
              <w:t>法源名称、条款/位置、原文概括</w:t>
            </w:r>
          </w:p>
        </w:tc>
        <w:tc>
          <w:tcPr>
            <w:tcW w:w="4309" w:type="dxa"/>
            <w:vAlign w:val="center"/>
          </w:tcPr>
          <w:p>
            <w:pPr>
              <w:spacing w:after="20" w:line="300" w:lineRule="auto"/>
              <w:rPr>
                <w:sz w:val="21"/>
                <w:szCs w:val="21"/>
              </w:rPr>
            </w:pPr>
            <w:r>
              <w:rPr>
                <w:rFonts w:ascii="宋体" w:hAnsi="宋体" w:eastAsia="宋体"/>
                <w:b w:val="0"/>
                <w:color w:val="1F2937"/>
                <w:sz w:val="21"/>
                <w:szCs w:val="21"/>
              </w:rPr>
              <w:t>保证判断可回溯至具体规范，不由模型自行“编法条”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20" w:line="300" w:lineRule="auto"/>
              <w:rPr>
                <w:sz w:val="21"/>
                <w:szCs w:val="21"/>
              </w:rPr>
            </w:pPr>
            <w:r>
              <w:rPr>
                <w:rFonts w:ascii="宋体" w:hAnsi="宋体" w:eastAsia="宋体"/>
                <w:b w:val="0"/>
                <w:color w:val="1F2937"/>
                <w:sz w:val="21"/>
                <w:szCs w:val="21"/>
              </w:rPr>
              <w:t>解释层</w:t>
            </w:r>
          </w:p>
        </w:tc>
        <w:tc>
          <w:tcPr>
            <w:tcW w:w="3175" w:type="dxa"/>
            <w:vAlign w:val="center"/>
          </w:tcPr>
          <w:p>
            <w:pPr>
              <w:spacing w:after="20" w:line="300" w:lineRule="auto"/>
              <w:rPr>
                <w:sz w:val="21"/>
                <w:szCs w:val="21"/>
              </w:rPr>
            </w:pPr>
            <w:r>
              <w:rPr>
                <w:rFonts w:ascii="宋体" w:hAnsi="宋体" w:eastAsia="宋体"/>
                <w:b w:val="0"/>
                <w:color w:val="1F2937"/>
                <w:sz w:val="21"/>
                <w:szCs w:val="21"/>
              </w:rPr>
              <w:t>规范内容、适用对象及范围</w:t>
            </w:r>
          </w:p>
        </w:tc>
        <w:tc>
          <w:tcPr>
            <w:tcW w:w="4309" w:type="dxa"/>
            <w:vAlign w:val="center"/>
          </w:tcPr>
          <w:p>
            <w:pPr>
              <w:spacing w:after="20" w:line="300" w:lineRule="auto"/>
              <w:rPr>
                <w:sz w:val="21"/>
                <w:szCs w:val="21"/>
              </w:rPr>
            </w:pPr>
            <w:r>
              <w:rPr>
                <w:rFonts w:ascii="宋体" w:hAnsi="宋体" w:eastAsia="宋体"/>
                <w:b w:val="0"/>
                <w:color w:val="1F2937"/>
                <w:sz w:val="21"/>
                <w:szCs w:val="21"/>
              </w:rPr>
              <w:t>说明该条解决什么法律问题、约束谁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vAlign w:val="center"/>
          </w:tcPr>
          <w:p>
            <w:pPr>
              <w:spacing w:after="20" w:line="300" w:lineRule="auto"/>
              <w:rPr>
                <w:sz w:val="21"/>
                <w:szCs w:val="21"/>
              </w:rPr>
            </w:pPr>
            <w:r>
              <w:rPr>
                <w:rFonts w:ascii="宋体" w:hAnsi="宋体" w:eastAsia="宋体"/>
                <w:b w:val="0"/>
                <w:color w:val="1F2937"/>
                <w:sz w:val="21"/>
                <w:szCs w:val="21"/>
              </w:rPr>
              <w:t>触发层</w:t>
            </w:r>
          </w:p>
        </w:tc>
        <w:tc>
          <w:tcPr>
            <w:tcW w:w="3175" w:type="dxa"/>
            <w:vAlign w:val="center"/>
          </w:tcPr>
          <w:p>
            <w:pPr>
              <w:spacing w:after="20" w:line="300" w:lineRule="auto"/>
              <w:rPr>
                <w:sz w:val="21"/>
                <w:szCs w:val="21"/>
              </w:rPr>
            </w:pPr>
            <w:r>
              <w:rPr>
                <w:rFonts w:ascii="宋体" w:hAnsi="宋体" w:eastAsia="宋体"/>
                <w:b w:val="0"/>
                <w:color w:val="1F2937"/>
                <w:sz w:val="21"/>
                <w:szCs w:val="21"/>
              </w:rPr>
              <w:t>触发条件</w:t>
            </w:r>
          </w:p>
        </w:tc>
        <w:tc>
          <w:tcPr>
            <w:tcW w:w="4309" w:type="dxa"/>
            <w:vAlign w:val="center"/>
          </w:tcPr>
          <w:p>
            <w:pPr>
              <w:spacing w:after="20" w:line="300" w:lineRule="auto"/>
              <w:rPr>
                <w:sz w:val="21"/>
                <w:szCs w:val="21"/>
              </w:rPr>
            </w:pPr>
            <w:r>
              <w:rPr>
                <w:rFonts w:ascii="宋体" w:hAnsi="宋体" w:eastAsia="宋体"/>
                <w:b w:val="0"/>
                <w:color w:val="1F2937"/>
                <w:sz w:val="21"/>
                <w:szCs w:val="21"/>
              </w:rPr>
              <w:t>把抽象规范转化为材料事实条件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pPr>
              <w:spacing w:after="20" w:line="300" w:lineRule="auto"/>
              <w:rPr>
                <w:sz w:val="21"/>
                <w:szCs w:val="21"/>
              </w:rPr>
            </w:pPr>
            <w:r>
              <w:rPr>
                <w:rFonts w:ascii="宋体" w:hAnsi="宋体" w:eastAsia="宋体"/>
                <w:b w:val="0"/>
                <w:color w:val="1F2937"/>
                <w:sz w:val="21"/>
                <w:szCs w:val="21"/>
              </w:rPr>
              <w:t>处置层</w:t>
            </w:r>
          </w:p>
        </w:tc>
        <w:tc>
          <w:tcPr>
            <w:tcW w:w="3175" w:type="dxa"/>
            <w:vAlign w:val="center"/>
          </w:tcPr>
          <w:p>
            <w:pPr>
              <w:spacing w:after="20" w:line="300" w:lineRule="auto"/>
              <w:rPr>
                <w:sz w:val="21"/>
                <w:szCs w:val="21"/>
              </w:rPr>
            </w:pPr>
            <w:r>
              <w:rPr>
                <w:rFonts w:ascii="宋体" w:hAnsi="宋体" w:eastAsia="宋体"/>
                <w:b w:val="0"/>
                <w:color w:val="1F2937"/>
                <w:sz w:val="21"/>
                <w:szCs w:val="21"/>
              </w:rPr>
              <w:t>法律后果、是否人工复核</w:t>
            </w:r>
          </w:p>
        </w:tc>
        <w:tc>
          <w:tcPr>
            <w:tcW w:w="4309" w:type="dxa"/>
            <w:vAlign w:val="center"/>
          </w:tcPr>
          <w:p>
            <w:pPr>
              <w:spacing w:after="20" w:line="300" w:lineRule="auto"/>
              <w:rPr>
                <w:sz w:val="21"/>
                <w:szCs w:val="21"/>
              </w:rPr>
            </w:pPr>
            <w:r>
              <w:rPr>
                <w:rFonts w:ascii="宋体" w:hAnsi="宋体" w:eastAsia="宋体"/>
                <w:b w:val="0"/>
                <w:color w:val="1F2937"/>
                <w:sz w:val="21"/>
                <w:szCs w:val="21"/>
              </w:rPr>
              <w:t>决定自动脱敏、继续、暂停、禁止或转人工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7" w:type="dxa"/>
            <w:vAlign w:val="center"/>
          </w:tcPr>
          <w:p>
            <w:pPr>
              <w:spacing w:after="20" w:line="300" w:lineRule="auto"/>
              <w:rPr>
                <w:sz w:val="21"/>
                <w:szCs w:val="21"/>
              </w:rPr>
            </w:pPr>
            <w:r>
              <w:rPr>
                <w:rFonts w:ascii="宋体" w:hAnsi="宋体" w:eastAsia="宋体"/>
                <w:b w:val="0"/>
                <w:color w:val="1F2937"/>
                <w:sz w:val="21"/>
                <w:szCs w:val="21"/>
              </w:rPr>
              <w:t>治理层</w:t>
            </w:r>
          </w:p>
        </w:tc>
        <w:tc>
          <w:tcPr>
            <w:tcW w:w="3175" w:type="dxa"/>
            <w:vAlign w:val="center"/>
          </w:tcPr>
          <w:p>
            <w:pPr>
              <w:spacing w:after="20" w:line="300" w:lineRule="auto"/>
              <w:rPr>
                <w:sz w:val="21"/>
                <w:szCs w:val="21"/>
              </w:rPr>
            </w:pPr>
            <w:r>
              <w:rPr>
                <w:rFonts w:ascii="宋体" w:hAnsi="宋体" w:eastAsia="宋体"/>
                <w:b w:val="0"/>
                <w:color w:val="1F2937"/>
                <w:sz w:val="21"/>
                <w:szCs w:val="21"/>
              </w:rPr>
              <w:t>规则性质、版本/修订信息、生效日期</w:t>
            </w:r>
          </w:p>
        </w:tc>
        <w:tc>
          <w:tcPr>
            <w:tcW w:w="4309" w:type="dxa"/>
            <w:vAlign w:val="center"/>
          </w:tcPr>
          <w:p>
            <w:pPr>
              <w:spacing w:after="20" w:line="300" w:lineRule="auto"/>
              <w:rPr>
                <w:sz w:val="21"/>
                <w:szCs w:val="21"/>
              </w:rPr>
            </w:pPr>
            <w:r>
              <w:rPr>
                <w:rFonts w:ascii="宋体" w:hAnsi="宋体" w:eastAsia="宋体"/>
                <w:b w:val="0"/>
                <w:color w:val="1F2937"/>
                <w:sz w:val="21"/>
                <w:szCs w:val="21"/>
              </w:rPr>
              <w:t>防止国标与法律混同，支持法规更新和版本追踪</w:t>
            </w:r>
          </w:p>
        </w:tc>
      </w:tr>
    </w:tbl>
    <w:p>
      <w:pPr>
        <w:pStyle w:val="4"/>
        <w:spacing w:before="160" w:after="120" w:line="300" w:lineRule="auto"/>
      </w:pPr>
    </w:p>
    <w:p>
      <w:pPr>
        <w:spacing w:before="0" w:after="100" w:line="300" w:lineRule="auto"/>
        <w:ind w:firstLine="420"/>
      </w:pPr>
      <w:r>
        <w:rPr>
          <w:rFonts w:ascii="宋体" w:hAnsi="宋体" w:eastAsia="宋体"/>
          <w:b w:val="0"/>
          <w:sz w:val="21"/>
        </w:rPr>
        <w:t>对任一拟发送给外部模型的材料片段，系统按照先对象、再行为、再权限、后处置的顺序运行。核心流程如下：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3"/>
        <w:gridCol w:w="2406"/>
        <w:gridCol w:w="5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3" w:type="dxa"/>
            <w:vAlign w:val="center"/>
          </w:tcPr>
          <w:p>
            <w:pPr>
              <w:spacing w:after="20" w:line="300" w:lineRule="auto"/>
              <w:rPr>
                <w:sz w:val="21"/>
                <w:szCs w:val="21"/>
              </w:rPr>
            </w:pPr>
            <w:r>
              <w:rPr>
                <w:rFonts w:ascii="宋体" w:hAnsi="宋体" w:eastAsia="宋体"/>
                <w:b/>
                <w:color w:val="1F2937"/>
                <w:sz w:val="21"/>
                <w:szCs w:val="21"/>
              </w:rPr>
              <w:t>步骤</w:t>
            </w:r>
          </w:p>
        </w:tc>
        <w:tc>
          <w:tcPr>
            <w:tcW w:w="2406" w:type="dxa"/>
            <w:vAlign w:val="center"/>
          </w:tcPr>
          <w:p>
            <w:pPr>
              <w:spacing w:after="20" w:line="300" w:lineRule="auto"/>
              <w:rPr>
                <w:sz w:val="21"/>
                <w:szCs w:val="21"/>
              </w:rPr>
            </w:pPr>
            <w:r>
              <w:rPr>
                <w:rFonts w:ascii="宋体" w:hAnsi="宋体" w:eastAsia="宋体"/>
                <w:b/>
                <w:color w:val="1F2937"/>
                <w:sz w:val="21"/>
                <w:szCs w:val="21"/>
              </w:rPr>
              <w:t>判断节点</w:t>
            </w:r>
          </w:p>
        </w:tc>
        <w:tc>
          <w:tcPr>
            <w:tcW w:w="5841" w:type="dxa"/>
            <w:vAlign w:val="center"/>
          </w:tcPr>
          <w:p>
            <w:pPr>
              <w:spacing w:after="20" w:line="300" w:lineRule="auto"/>
              <w:rPr>
                <w:sz w:val="21"/>
                <w:szCs w:val="21"/>
              </w:rPr>
            </w:pPr>
            <w:r>
              <w:rPr>
                <w:rFonts w:ascii="宋体" w:hAnsi="宋体" w:eastAsia="宋体"/>
                <w:b/>
                <w:color w:val="1F2937"/>
                <w:sz w:val="21"/>
                <w:szCs w:val="21"/>
              </w:rPr>
              <w:t>系统要回答的问题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vAlign w:val="center"/>
          </w:tcPr>
          <w:p>
            <w:pPr>
              <w:spacing w:after="20" w:line="300" w:lineRule="auto"/>
              <w:rPr>
                <w:sz w:val="21"/>
                <w:szCs w:val="21"/>
              </w:rPr>
            </w:pPr>
            <w:r>
              <w:rPr>
                <w:rFonts w:ascii="宋体" w:hAnsi="宋体" w:eastAsia="宋体"/>
                <w:b w:val="0"/>
                <w:color w:val="1F2937"/>
                <w:sz w:val="21"/>
                <w:szCs w:val="21"/>
              </w:rPr>
              <w:t>①</w:t>
            </w:r>
          </w:p>
        </w:tc>
        <w:tc>
          <w:tcPr>
            <w:tcW w:w="2406" w:type="dxa"/>
            <w:vAlign w:val="center"/>
          </w:tcPr>
          <w:p>
            <w:pPr>
              <w:spacing w:after="20" w:line="300" w:lineRule="auto"/>
              <w:rPr>
                <w:sz w:val="21"/>
                <w:szCs w:val="21"/>
              </w:rPr>
            </w:pPr>
            <w:r>
              <w:rPr>
                <w:rFonts w:ascii="宋体" w:hAnsi="宋体" w:eastAsia="宋体"/>
                <w:b w:val="0"/>
                <w:color w:val="1F2937"/>
                <w:sz w:val="21"/>
                <w:szCs w:val="21"/>
              </w:rPr>
              <w:t>识别保护对象</w:t>
            </w:r>
          </w:p>
        </w:tc>
        <w:tc>
          <w:tcPr>
            <w:tcW w:w="5841" w:type="dxa"/>
            <w:vAlign w:val="center"/>
          </w:tcPr>
          <w:p>
            <w:pPr>
              <w:spacing w:after="20" w:line="300" w:lineRule="auto"/>
              <w:rPr>
                <w:sz w:val="21"/>
                <w:szCs w:val="21"/>
              </w:rPr>
            </w:pPr>
            <w:r>
              <w:rPr>
                <w:rFonts w:ascii="宋体" w:hAnsi="宋体" w:eastAsia="宋体"/>
                <w:b w:val="0"/>
                <w:color w:val="1F2937"/>
                <w:sz w:val="21"/>
                <w:szCs w:val="21"/>
              </w:rPr>
              <w:t>个人信息/敏感个人信息/隐私/商业秘密/国家秘密/程序保密材料等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vAlign w:val="center"/>
          </w:tcPr>
          <w:p>
            <w:pPr>
              <w:spacing w:after="20" w:line="300" w:lineRule="auto"/>
              <w:rPr>
                <w:sz w:val="21"/>
                <w:szCs w:val="21"/>
              </w:rPr>
            </w:pPr>
            <w:r>
              <w:rPr>
                <w:rFonts w:ascii="宋体" w:hAnsi="宋体" w:eastAsia="宋体"/>
                <w:b w:val="0"/>
                <w:color w:val="1F2937"/>
                <w:sz w:val="21"/>
                <w:szCs w:val="21"/>
              </w:rPr>
              <w:t>②</w:t>
            </w:r>
          </w:p>
        </w:tc>
        <w:tc>
          <w:tcPr>
            <w:tcW w:w="2406" w:type="dxa"/>
            <w:vAlign w:val="center"/>
          </w:tcPr>
          <w:p>
            <w:pPr>
              <w:spacing w:after="20" w:line="300" w:lineRule="auto"/>
              <w:rPr>
                <w:sz w:val="21"/>
                <w:szCs w:val="21"/>
              </w:rPr>
            </w:pPr>
            <w:r>
              <w:rPr>
                <w:rFonts w:ascii="宋体" w:hAnsi="宋体" w:eastAsia="宋体"/>
                <w:b w:val="0"/>
                <w:color w:val="1F2937"/>
                <w:sz w:val="21"/>
                <w:szCs w:val="21"/>
              </w:rPr>
              <w:t>判断任务必要性</w:t>
            </w:r>
          </w:p>
        </w:tc>
        <w:tc>
          <w:tcPr>
            <w:tcW w:w="5841" w:type="dxa"/>
            <w:vAlign w:val="center"/>
          </w:tcPr>
          <w:p>
            <w:pPr>
              <w:spacing w:after="20" w:line="300" w:lineRule="auto"/>
              <w:rPr>
                <w:sz w:val="21"/>
                <w:szCs w:val="21"/>
              </w:rPr>
            </w:pPr>
            <w:r>
              <w:rPr>
                <w:rFonts w:ascii="宋体" w:hAnsi="宋体" w:eastAsia="宋体"/>
                <w:b w:val="0"/>
                <w:color w:val="1F2937"/>
                <w:sz w:val="21"/>
                <w:szCs w:val="21"/>
              </w:rPr>
              <w:t>该信息是否为劳动争议事实摘要所必需；能否用较低精度事实替代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vAlign w:val="center"/>
          </w:tcPr>
          <w:p>
            <w:pPr>
              <w:spacing w:after="20" w:line="300" w:lineRule="auto"/>
              <w:rPr>
                <w:sz w:val="21"/>
                <w:szCs w:val="21"/>
              </w:rPr>
            </w:pPr>
            <w:r>
              <w:rPr>
                <w:rFonts w:ascii="宋体" w:hAnsi="宋体" w:eastAsia="宋体"/>
                <w:b w:val="0"/>
                <w:color w:val="1F2937"/>
                <w:sz w:val="21"/>
                <w:szCs w:val="21"/>
              </w:rPr>
              <w:t>③</w:t>
            </w:r>
          </w:p>
        </w:tc>
        <w:tc>
          <w:tcPr>
            <w:tcW w:w="2406" w:type="dxa"/>
            <w:vAlign w:val="center"/>
          </w:tcPr>
          <w:p>
            <w:pPr>
              <w:spacing w:after="20" w:line="300" w:lineRule="auto"/>
              <w:rPr>
                <w:sz w:val="21"/>
                <w:szCs w:val="21"/>
              </w:rPr>
            </w:pPr>
            <w:r>
              <w:rPr>
                <w:rFonts w:ascii="宋体" w:hAnsi="宋体" w:eastAsia="宋体"/>
                <w:b w:val="0"/>
                <w:color w:val="1F2937"/>
                <w:sz w:val="21"/>
                <w:szCs w:val="21"/>
              </w:rPr>
              <w:t>识别处理行为</w:t>
            </w:r>
          </w:p>
        </w:tc>
        <w:tc>
          <w:tcPr>
            <w:tcW w:w="5841" w:type="dxa"/>
            <w:vAlign w:val="center"/>
          </w:tcPr>
          <w:p>
            <w:pPr>
              <w:spacing w:after="20" w:line="300" w:lineRule="auto"/>
              <w:rPr>
                <w:sz w:val="21"/>
                <w:szCs w:val="21"/>
              </w:rPr>
            </w:pPr>
            <w:r>
              <w:rPr>
                <w:rFonts w:ascii="宋体" w:hAnsi="宋体" w:eastAsia="宋体"/>
                <w:b w:val="0"/>
                <w:color w:val="1F2937"/>
                <w:sz w:val="21"/>
                <w:szCs w:val="21"/>
              </w:rPr>
              <w:t>本地处理、委托处理、向其他处理者提供、公开披露、跨境提供等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vAlign w:val="center"/>
          </w:tcPr>
          <w:p>
            <w:pPr>
              <w:spacing w:after="20" w:line="300" w:lineRule="auto"/>
              <w:rPr>
                <w:sz w:val="21"/>
                <w:szCs w:val="21"/>
              </w:rPr>
            </w:pPr>
            <w:r>
              <w:rPr>
                <w:rFonts w:ascii="宋体" w:hAnsi="宋体" w:eastAsia="宋体"/>
                <w:b w:val="0"/>
                <w:color w:val="1F2937"/>
                <w:sz w:val="21"/>
                <w:szCs w:val="21"/>
              </w:rPr>
              <w:t>④</w:t>
            </w:r>
          </w:p>
        </w:tc>
        <w:tc>
          <w:tcPr>
            <w:tcW w:w="2406" w:type="dxa"/>
            <w:vAlign w:val="center"/>
          </w:tcPr>
          <w:p>
            <w:pPr>
              <w:spacing w:after="20" w:line="300" w:lineRule="auto"/>
              <w:rPr>
                <w:sz w:val="21"/>
                <w:szCs w:val="21"/>
              </w:rPr>
            </w:pPr>
            <w:r>
              <w:rPr>
                <w:rFonts w:ascii="宋体" w:hAnsi="宋体" w:eastAsia="宋体"/>
                <w:b w:val="0"/>
                <w:color w:val="1F2937"/>
                <w:sz w:val="21"/>
                <w:szCs w:val="21"/>
              </w:rPr>
              <w:t>确认义务主体与权限</w:t>
            </w:r>
          </w:p>
        </w:tc>
        <w:tc>
          <w:tcPr>
            <w:tcW w:w="5841" w:type="dxa"/>
            <w:vAlign w:val="center"/>
          </w:tcPr>
          <w:p>
            <w:pPr>
              <w:spacing w:after="20" w:line="300" w:lineRule="auto"/>
              <w:rPr>
                <w:sz w:val="21"/>
                <w:szCs w:val="21"/>
              </w:rPr>
            </w:pPr>
            <w:r>
              <w:rPr>
                <w:rFonts w:ascii="宋体" w:hAnsi="宋体" w:eastAsia="宋体"/>
                <w:b w:val="0"/>
                <w:color w:val="1F2937"/>
                <w:sz w:val="21"/>
                <w:szCs w:val="21"/>
              </w:rPr>
              <w:t>律师、律所、客户、法院/仲裁机构、外部服务商分别受何规则约束；查阅/复制权是否包含第三方提供权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vAlign w:val="center"/>
          </w:tcPr>
          <w:p>
            <w:pPr>
              <w:spacing w:after="20" w:line="300" w:lineRule="auto"/>
              <w:rPr>
                <w:sz w:val="21"/>
                <w:szCs w:val="21"/>
              </w:rPr>
            </w:pPr>
            <w:r>
              <w:rPr>
                <w:rFonts w:ascii="宋体" w:hAnsi="宋体" w:eastAsia="宋体"/>
                <w:b w:val="0"/>
                <w:color w:val="1F2937"/>
                <w:sz w:val="21"/>
                <w:szCs w:val="21"/>
              </w:rPr>
              <w:t>⑤</w:t>
            </w:r>
          </w:p>
        </w:tc>
        <w:tc>
          <w:tcPr>
            <w:tcW w:w="2406" w:type="dxa"/>
            <w:vAlign w:val="center"/>
          </w:tcPr>
          <w:p>
            <w:pPr>
              <w:spacing w:after="20" w:line="300" w:lineRule="auto"/>
              <w:rPr>
                <w:sz w:val="21"/>
                <w:szCs w:val="21"/>
              </w:rPr>
            </w:pPr>
            <w:r>
              <w:rPr>
                <w:rFonts w:ascii="宋体" w:hAnsi="宋体" w:eastAsia="宋体"/>
                <w:b w:val="0"/>
                <w:color w:val="1F2937"/>
                <w:sz w:val="21"/>
                <w:szCs w:val="21"/>
              </w:rPr>
              <w:t>匹配法律限制</w:t>
            </w:r>
          </w:p>
        </w:tc>
        <w:tc>
          <w:tcPr>
            <w:tcW w:w="5841" w:type="dxa"/>
            <w:vAlign w:val="center"/>
          </w:tcPr>
          <w:p>
            <w:pPr>
              <w:spacing w:after="20" w:line="300" w:lineRule="auto"/>
              <w:rPr>
                <w:sz w:val="21"/>
                <w:szCs w:val="21"/>
              </w:rPr>
            </w:pPr>
            <w:r>
              <w:rPr>
                <w:rFonts w:ascii="宋体" w:hAnsi="宋体" w:eastAsia="宋体"/>
                <w:b w:val="0"/>
                <w:color w:val="1F2937"/>
                <w:sz w:val="21"/>
                <w:szCs w:val="21"/>
              </w:rPr>
              <w:t>特别法、保密措施、合同义务、个保法处理条件、数据出境规则等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vAlign w:val="center"/>
          </w:tcPr>
          <w:p>
            <w:pPr>
              <w:spacing w:after="20" w:line="300" w:lineRule="auto"/>
              <w:rPr>
                <w:sz w:val="21"/>
                <w:szCs w:val="21"/>
              </w:rPr>
            </w:pPr>
            <w:r>
              <w:rPr>
                <w:rFonts w:ascii="宋体" w:hAnsi="宋体" w:eastAsia="宋体"/>
                <w:b w:val="0"/>
                <w:color w:val="1F2937"/>
                <w:sz w:val="21"/>
                <w:szCs w:val="21"/>
              </w:rPr>
              <w:t>⑥</w:t>
            </w:r>
          </w:p>
        </w:tc>
        <w:tc>
          <w:tcPr>
            <w:tcW w:w="2406" w:type="dxa"/>
            <w:vAlign w:val="center"/>
          </w:tcPr>
          <w:p>
            <w:pPr>
              <w:spacing w:after="20" w:line="300" w:lineRule="auto"/>
              <w:rPr>
                <w:sz w:val="21"/>
                <w:szCs w:val="21"/>
              </w:rPr>
            </w:pPr>
            <w:r>
              <w:rPr>
                <w:rFonts w:ascii="宋体" w:hAnsi="宋体" w:eastAsia="宋体"/>
                <w:b w:val="0"/>
                <w:color w:val="1F2937"/>
                <w:sz w:val="21"/>
                <w:szCs w:val="21"/>
              </w:rPr>
              <w:t>执行最小化/去标识化</w:t>
            </w:r>
          </w:p>
        </w:tc>
        <w:tc>
          <w:tcPr>
            <w:tcW w:w="5841" w:type="dxa"/>
            <w:vAlign w:val="center"/>
          </w:tcPr>
          <w:p>
            <w:pPr>
              <w:spacing w:after="20" w:line="300" w:lineRule="auto"/>
              <w:rPr>
                <w:sz w:val="21"/>
                <w:szCs w:val="21"/>
              </w:rPr>
            </w:pPr>
            <w:r>
              <w:rPr>
                <w:rFonts w:ascii="宋体" w:hAnsi="宋体" w:eastAsia="宋体"/>
                <w:b w:val="0"/>
                <w:color w:val="1F2937"/>
                <w:sz w:val="21"/>
                <w:szCs w:val="21"/>
              </w:rPr>
              <w:t>删除无关内容、角色化、掩码、泛化、裁剪原始附件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vAlign w:val="center"/>
          </w:tcPr>
          <w:p>
            <w:pPr>
              <w:spacing w:after="20" w:line="300" w:lineRule="auto"/>
              <w:rPr>
                <w:sz w:val="21"/>
                <w:szCs w:val="21"/>
              </w:rPr>
            </w:pPr>
            <w:r>
              <w:rPr>
                <w:rFonts w:ascii="宋体" w:hAnsi="宋体" w:eastAsia="宋体"/>
                <w:b w:val="0"/>
                <w:color w:val="1F2937"/>
                <w:sz w:val="21"/>
                <w:szCs w:val="21"/>
              </w:rPr>
              <w:t>⑦</w:t>
            </w:r>
          </w:p>
        </w:tc>
        <w:tc>
          <w:tcPr>
            <w:tcW w:w="2406" w:type="dxa"/>
            <w:vAlign w:val="center"/>
          </w:tcPr>
          <w:p>
            <w:pPr>
              <w:spacing w:after="20" w:line="300" w:lineRule="auto"/>
              <w:rPr>
                <w:sz w:val="21"/>
                <w:szCs w:val="21"/>
              </w:rPr>
            </w:pPr>
            <w:r>
              <w:rPr>
                <w:rFonts w:ascii="宋体" w:hAnsi="宋体" w:eastAsia="宋体"/>
                <w:b w:val="0"/>
                <w:color w:val="1F2937"/>
                <w:sz w:val="21"/>
                <w:szCs w:val="21"/>
              </w:rPr>
              <w:t>输出状态</w:t>
            </w:r>
          </w:p>
        </w:tc>
        <w:tc>
          <w:tcPr>
            <w:tcW w:w="5841" w:type="dxa"/>
            <w:vAlign w:val="center"/>
          </w:tcPr>
          <w:p>
            <w:pPr>
              <w:spacing w:after="20" w:line="300" w:lineRule="auto"/>
              <w:rPr>
                <w:sz w:val="21"/>
                <w:szCs w:val="21"/>
              </w:rPr>
            </w:pPr>
            <w:r>
              <w:rPr>
                <w:rFonts w:ascii="宋体" w:hAnsi="宋体" w:eastAsia="宋体"/>
                <w:b w:val="0"/>
                <w:color w:val="1F2937"/>
                <w:sz w:val="21"/>
                <w:szCs w:val="21"/>
              </w:rPr>
              <w:t>允许处理</w:t>
            </w:r>
            <w:r>
              <w:rPr>
                <w:rFonts w:hint="eastAsia"/>
                <w:b w:val="0"/>
                <w:color w:val="1F2937"/>
                <w:sz w:val="21"/>
                <w:szCs w:val="21"/>
                <w:lang w:eastAsia="zh-CN"/>
              </w:rPr>
              <w:t>/</w:t>
            </w:r>
            <w:r>
              <w:rPr>
                <w:rFonts w:ascii="宋体" w:hAnsi="宋体" w:eastAsia="宋体"/>
                <w:b w:val="0"/>
                <w:color w:val="1F2937"/>
                <w:sz w:val="21"/>
                <w:szCs w:val="21"/>
              </w:rPr>
              <w:t>补充处理后允许</w:t>
            </w:r>
            <w:r>
              <w:rPr>
                <w:rFonts w:hint="eastAsia"/>
                <w:b w:val="0"/>
                <w:color w:val="1F2937"/>
                <w:sz w:val="21"/>
                <w:szCs w:val="21"/>
                <w:lang w:eastAsia="zh-CN"/>
              </w:rPr>
              <w:t>/</w:t>
            </w:r>
            <w:r>
              <w:rPr>
                <w:rFonts w:ascii="宋体" w:hAnsi="宋体" w:eastAsia="宋体"/>
                <w:b w:val="0"/>
                <w:color w:val="1F2937"/>
                <w:sz w:val="21"/>
                <w:szCs w:val="21"/>
              </w:rPr>
              <w:t>补充核实</w:t>
            </w:r>
            <w:r>
              <w:rPr>
                <w:rFonts w:hint="eastAsia"/>
                <w:b w:val="0"/>
                <w:color w:val="1F2937"/>
                <w:sz w:val="21"/>
                <w:szCs w:val="21"/>
                <w:lang w:eastAsia="zh-CN"/>
              </w:rPr>
              <w:t>/</w:t>
            </w:r>
            <w:r>
              <w:rPr>
                <w:rFonts w:ascii="宋体" w:hAnsi="宋体" w:eastAsia="宋体"/>
                <w:b w:val="0"/>
                <w:color w:val="1F2937"/>
                <w:sz w:val="21"/>
                <w:szCs w:val="21"/>
              </w:rPr>
              <w:t>禁止外部处理</w:t>
            </w:r>
          </w:p>
        </w:tc>
      </w:tr>
    </w:tbl>
    <w:p>
      <w:pPr>
        <w:pStyle w:val="4"/>
        <w:spacing w:before="160" w:after="120" w:line="300" w:lineRule="auto"/>
      </w:pPr>
    </w:p>
    <w:p>
      <w:pPr>
        <w:spacing w:before="0" w:after="100" w:line="300" w:lineRule="auto"/>
        <w:ind w:firstLine="420"/>
      </w:pPr>
      <w:r>
        <w:rPr>
          <w:rFonts w:ascii="宋体" w:hAnsi="宋体" w:eastAsia="宋体"/>
          <w:b w:val="0"/>
          <w:sz w:val="21"/>
        </w:rPr>
        <w:t>系统把“法律上坚决不能外发”限定为极窄的例外状态。只有同时满足以下四项条件，才进入硬性阻断：</w:t>
      </w:r>
    </w:p>
    <w:p>
      <w:pPr>
        <w:spacing w:after="80" w:line="300" w:lineRule="auto"/>
        <w:ind w:left="454" w:hanging="312"/>
        <w:rPr>
          <w:color w:val="auto"/>
        </w:rPr>
      </w:pPr>
      <w:r>
        <w:rPr>
          <w:rFonts w:ascii="宋体" w:hAnsi="宋体" w:eastAsia="宋体"/>
          <w:b/>
          <w:color w:val="auto"/>
          <w:sz w:val="21"/>
        </w:rPr>
        <w:t xml:space="preserve">1. </w:t>
      </w:r>
      <w:r>
        <w:rPr>
          <w:rFonts w:ascii="宋体" w:hAnsi="宋体" w:eastAsia="宋体"/>
          <w:b w:val="0"/>
          <w:color w:val="auto"/>
          <w:sz w:val="21"/>
        </w:rPr>
        <w:t>存在明确受法律保护的对象，而不是仅凭“敏感”“内部”“重要”等业务标签判断。</w:t>
      </w:r>
    </w:p>
    <w:p>
      <w:pPr>
        <w:spacing w:after="80" w:line="300" w:lineRule="auto"/>
        <w:ind w:left="454" w:hanging="312"/>
        <w:rPr>
          <w:color w:val="auto"/>
        </w:rPr>
      </w:pPr>
      <w:r>
        <w:rPr>
          <w:rFonts w:ascii="宋体" w:hAnsi="宋体" w:eastAsia="宋体"/>
          <w:b/>
          <w:color w:val="auto"/>
          <w:sz w:val="21"/>
        </w:rPr>
        <w:t xml:space="preserve">2. </w:t>
      </w:r>
      <w:r>
        <w:rPr>
          <w:rFonts w:ascii="宋体" w:hAnsi="宋体" w:eastAsia="宋体"/>
          <w:b w:val="0"/>
          <w:color w:val="auto"/>
          <w:sz w:val="21"/>
        </w:rPr>
        <w:t>法律规范或具体有效措施直接禁止当前的外部提供、披露、传输或处理行为。</w:t>
      </w:r>
    </w:p>
    <w:p>
      <w:pPr>
        <w:spacing w:after="80" w:line="300" w:lineRule="auto"/>
        <w:ind w:left="454" w:hanging="312"/>
        <w:rPr>
          <w:color w:val="auto"/>
        </w:rPr>
      </w:pPr>
      <w:r>
        <w:rPr>
          <w:rFonts w:ascii="宋体" w:hAnsi="宋体" w:eastAsia="宋体"/>
          <w:b/>
          <w:color w:val="auto"/>
          <w:sz w:val="21"/>
        </w:rPr>
        <w:t xml:space="preserve">3. </w:t>
      </w:r>
      <w:r>
        <w:rPr>
          <w:rFonts w:ascii="宋体" w:hAnsi="宋体" w:eastAsia="宋体"/>
          <w:b w:val="0"/>
          <w:color w:val="auto"/>
          <w:sz w:val="21"/>
        </w:rPr>
        <w:t>该规范确实适用于当前主体、当前材料和当前处理方式。</w:t>
      </w:r>
    </w:p>
    <w:p>
      <w:pPr>
        <w:spacing w:after="80" w:line="300" w:lineRule="auto"/>
        <w:ind w:left="454" w:hanging="312"/>
      </w:pPr>
      <w:r>
        <w:rPr>
          <w:rFonts w:ascii="宋体" w:hAnsi="宋体" w:eastAsia="宋体"/>
          <w:b/>
          <w:color w:val="auto"/>
          <w:sz w:val="21"/>
        </w:rPr>
        <w:t xml:space="preserve">4. </w:t>
      </w:r>
      <w:r>
        <w:rPr>
          <w:rFonts w:ascii="宋体" w:hAnsi="宋体" w:eastAsia="宋体"/>
          <w:b w:val="0"/>
          <w:color w:val="auto"/>
          <w:sz w:val="21"/>
        </w:rPr>
        <w:t>删</w:t>
      </w:r>
      <w:r>
        <w:rPr>
          <w:rFonts w:ascii="宋体" w:hAnsi="宋体" w:eastAsia="宋体"/>
          <w:b w:val="0"/>
          <w:sz w:val="21"/>
        </w:rPr>
        <w:t>除无关内容、去除直接标识符、缩小范围等普通最小化措施仍不能使当前行为脱离禁止范围；若合法匿名化后已不再涉及受限制对象，应重新判断。</w:t>
      </w:r>
    </w:p>
    <w:p>
      <w:pPr>
        <w:spacing w:before="0" w:after="100" w:line="300" w:lineRule="auto"/>
        <w:ind w:firstLine="420"/>
      </w:pPr>
      <w:r>
        <w:rPr>
          <w:rFonts w:ascii="宋体" w:hAnsi="宋体" w:eastAsia="宋体"/>
          <w:b w:val="0"/>
          <w:sz w:val="21"/>
        </w:rPr>
        <w:t>这一四要件设计的意义在于：把信息很敏感的风险直觉，与法律直接禁止当前行为的规范结论分开。系统只有在法律构成完整成立时才阻断；若某项决定性事实不明确，则应进入人工复核，而不是自动把疑问升级成法律禁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422"/>
        <w:gridCol w:w="2422"/>
        <w:gridCol w:w="2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vAlign w:val="center"/>
          </w:tcPr>
          <w:p>
            <w:pPr>
              <w:spacing w:after="20" w:line="300" w:lineRule="auto"/>
              <w:rPr>
                <w:sz w:val="21"/>
                <w:szCs w:val="21"/>
              </w:rPr>
            </w:pPr>
            <w:r>
              <w:rPr>
                <w:rFonts w:ascii="宋体" w:hAnsi="宋体" w:eastAsia="宋体"/>
                <w:b/>
                <w:color w:val="1F2937"/>
                <w:sz w:val="21"/>
                <w:szCs w:val="21"/>
              </w:rPr>
              <w:t>情形</w:t>
            </w:r>
          </w:p>
        </w:tc>
        <w:tc>
          <w:tcPr>
            <w:tcW w:w="2721" w:type="dxa"/>
            <w:vAlign w:val="center"/>
          </w:tcPr>
          <w:p>
            <w:pPr>
              <w:spacing w:after="20" w:line="300" w:lineRule="auto"/>
              <w:rPr>
                <w:sz w:val="21"/>
                <w:szCs w:val="21"/>
              </w:rPr>
            </w:pPr>
            <w:r>
              <w:rPr>
                <w:rFonts w:ascii="宋体" w:hAnsi="宋体" w:eastAsia="宋体"/>
                <w:b/>
                <w:color w:val="1F2937"/>
                <w:sz w:val="21"/>
                <w:szCs w:val="21"/>
              </w:rPr>
              <w:t>成立条件</w:t>
            </w:r>
          </w:p>
        </w:tc>
        <w:tc>
          <w:tcPr>
            <w:tcW w:w="2608" w:type="dxa"/>
            <w:vAlign w:val="center"/>
          </w:tcPr>
          <w:p>
            <w:pPr>
              <w:spacing w:after="20" w:line="300" w:lineRule="auto"/>
              <w:rPr>
                <w:sz w:val="21"/>
                <w:szCs w:val="21"/>
              </w:rPr>
            </w:pPr>
            <w:r>
              <w:rPr>
                <w:rFonts w:ascii="宋体" w:hAnsi="宋体" w:eastAsia="宋体"/>
                <w:b/>
                <w:color w:val="1F2937"/>
                <w:sz w:val="21"/>
                <w:szCs w:val="21"/>
              </w:rPr>
              <w:t>系统处置</w:t>
            </w:r>
          </w:p>
        </w:tc>
        <w:tc>
          <w:tcPr>
            <w:tcW w:w="2721" w:type="dxa"/>
            <w:vAlign w:val="center"/>
          </w:tcPr>
          <w:p>
            <w:pPr>
              <w:spacing w:after="20" w:line="300" w:lineRule="auto"/>
              <w:rPr>
                <w:sz w:val="21"/>
                <w:szCs w:val="21"/>
              </w:rPr>
            </w:pPr>
            <w:r>
              <w:rPr>
                <w:rFonts w:ascii="宋体" w:hAnsi="宋体" w:eastAsia="宋体"/>
                <w:b/>
                <w:color w:val="1F2937"/>
                <w:sz w:val="21"/>
                <w:szCs w:val="21"/>
              </w:rPr>
              <w:t>防止误判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国家秘密</w:t>
            </w:r>
          </w:p>
        </w:tc>
        <w:tc>
          <w:tcPr>
            <w:tcW w:w="2721" w:type="dxa"/>
            <w:vAlign w:val="center"/>
          </w:tcPr>
          <w:p>
            <w:pPr>
              <w:spacing w:after="20" w:line="300" w:lineRule="auto"/>
              <w:rPr>
                <w:sz w:val="21"/>
                <w:szCs w:val="21"/>
              </w:rPr>
            </w:pPr>
            <w:r>
              <w:rPr>
                <w:rFonts w:ascii="宋体" w:hAnsi="宋体" w:eastAsia="宋体"/>
                <w:b w:val="0"/>
                <w:color w:val="1F2937"/>
                <w:sz w:val="21"/>
                <w:szCs w:val="21"/>
              </w:rPr>
              <w:t>已依法确认涉密＋当前外部模型/链路/设备不符合涉密要求</w:t>
            </w:r>
          </w:p>
        </w:tc>
        <w:tc>
          <w:tcPr>
            <w:tcW w:w="2608" w:type="dxa"/>
            <w:vAlign w:val="center"/>
          </w:tcPr>
          <w:p>
            <w:pPr>
              <w:spacing w:after="20" w:line="300" w:lineRule="auto"/>
              <w:rPr>
                <w:sz w:val="21"/>
                <w:szCs w:val="21"/>
              </w:rPr>
            </w:pPr>
            <w:r>
              <w:rPr>
                <w:rFonts w:ascii="宋体" w:hAnsi="宋体" w:eastAsia="宋体"/>
                <w:b w:val="0"/>
                <w:color w:val="1F2937"/>
                <w:sz w:val="21"/>
                <w:szCs w:val="21"/>
              </w:rPr>
              <w:t>禁止进入普通互联网外部模型；一般加密、姓名打码不能使非涉密环境变为涉密合规环境</w:t>
            </w:r>
          </w:p>
        </w:tc>
        <w:tc>
          <w:tcPr>
            <w:tcW w:w="2721" w:type="dxa"/>
            <w:vAlign w:val="center"/>
          </w:tcPr>
          <w:p>
            <w:pPr>
              <w:spacing w:after="20" w:line="300" w:lineRule="auto"/>
              <w:rPr>
                <w:sz w:val="21"/>
                <w:szCs w:val="21"/>
              </w:rPr>
            </w:pPr>
            <w:r>
              <w:rPr>
                <w:rFonts w:ascii="宋体" w:hAnsi="宋体" w:eastAsia="宋体"/>
                <w:b w:val="0"/>
                <w:color w:val="1F2937"/>
                <w:sz w:val="21"/>
                <w:szCs w:val="21"/>
              </w:rPr>
              <w:t>秘密属性或处理环境不明时先人工核实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法院/仲裁具体保密措施</w:t>
            </w:r>
          </w:p>
        </w:tc>
        <w:tc>
          <w:tcPr>
            <w:tcW w:w="2721" w:type="dxa"/>
            <w:vAlign w:val="center"/>
          </w:tcPr>
          <w:p>
            <w:pPr>
              <w:spacing w:after="20" w:line="300" w:lineRule="auto"/>
              <w:rPr>
                <w:sz w:val="21"/>
                <w:szCs w:val="21"/>
              </w:rPr>
            </w:pPr>
            <w:r>
              <w:rPr>
                <w:rFonts w:ascii="宋体" w:hAnsi="宋体" w:eastAsia="宋体"/>
                <w:b w:val="0"/>
                <w:color w:val="1F2937"/>
                <w:sz w:val="21"/>
                <w:szCs w:val="21"/>
              </w:rPr>
              <w:t>存在针对特定材料的明确、有效保密措施，且限制范围覆盖当前第三方</w:t>
            </w:r>
          </w:p>
        </w:tc>
        <w:tc>
          <w:tcPr>
            <w:tcW w:w="2608" w:type="dxa"/>
            <w:vAlign w:val="center"/>
          </w:tcPr>
          <w:p>
            <w:pPr>
              <w:spacing w:after="20" w:line="300" w:lineRule="auto"/>
              <w:rPr>
                <w:sz w:val="21"/>
                <w:szCs w:val="21"/>
              </w:rPr>
            </w:pPr>
            <w:r>
              <w:rPr>
                <w:rFonts w:ascii="宋体" w:hAnsi="宋体" w:eastAsia="宋体"/>
                <w:b w:val="0"/>
                <w:color w:val="1F2937"/>
                <w:sz w:val="21"/>
                <w:szCs w:val="21"/>
              </w:rPr>
              <w:t>按具体保密措施阻断当前外部提供</w:t>
            </w:r>
          </w:p>
        </w:tc>
        <w:tc>
          <w:tcPr>
            <w:tcW w:w="2721" w:type="dxa"/>
            <w:vAlign w:val="center"/>
          </w:tcPr>
          <w:p>
            <w:pPr>
              <w:spacing w:after="20" w:line="300" w:lineRule="auto"/>
              <w:rPr>
                <w:sz w:val="21"/>
                <w:szCs w:val="21"/>
              </w:rPr>
            </w:pPr>
            <w:r>
              <w:rPr>
                <w:rFonts w:ascii="宋体" w:hAnsi="宋体" w:eastAsia="宋体"/>
                <w:b w:val="0"/>
                <w:color w:val="1F2937"/>
                <w:sz w:val="21"/>
                <w:szCs w:val="21"/>
              </w:rPr>
              <w:t>仅“不公开审理”“正卷材料”等标签不足以直接禁止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商业秘密＋明确第三方限制</w:t>
            </w:r>
          </w:p>
        </w:tc>
        <w:tc>
          <w:tcPr>
            <w:tcW w:w="2721" w:type="dxa"/>
            <w:vAlign w:val="center"/>
          </w:tcPr>
          <w:p>
            <w:pPr>
              <w:spacing w:after="20" w:line="300" w:lineRule="auto"/>
              <w:rPr>
                <w:sz w:val="21"/>
                <w:szCs w:val="21"/>
              </w:rPr>
            </w:pPr>
            <w:r>
              <w:rPr>
                <w:rFonts w:ascii="宋体" w:hAnsi="宋体" w:eastAsia="宋体"/>
                <w:b w:val="0"/>
                <w:color w:val="1F2937"/>
                <w:sz w:val="21"/>
                <w:szCs w:val="21"/>
              </w:rPr>
              <w:t>商业秘密构成、有效保密义务、当前第三方不在允许范围、无授权或例外均成立</w:t>
            </w:r>
          </w:p>
        </w:tc>
        <w:tc>
          <w:tcPr>
            <w:tcW w:w="2608" w:type="dxa"/>
            <w:vAlign w:val="center"/>
          </w:tcPr>
          <w:p>
            <w:pPr>
              <w:spacing w:after="20" w:line="300" w:lineRule="auto"/>
              <w:rPr>
                <w:sz w:val="21"/>
                <w:szCs w:val="21"/>
              </w:rPr>
            </w:pPr>
            <w:r>
              <w:rPr>
                <w:rFonts w:ascii="宋体" w:hAnsi="宋体" w:eastAsia="宋体"/>
                <w:b w:val="0"/>
                <w:color w:val="1F2937"/>
                <w:sz w:val="21"/>
                <w:szCs w:val="21"/>
              </w:rPr>
              <w:t>不得违反保密义务向当前第三方披露/使用</w:t>
            </w:r>
          </w:p>
        </w:tc>
        <w:tc>
          <w:tcPr>
            <w:tcW w:w="2721" w:type="dxa"/>
            <w:vAlign w:val="center"/>
          </w:tcPr>
          <w:p>
            <w:pPr>
              <w:spacing w:after="20" w:line="300" w:lineRule="auto"/>
              <w:rPr>
                <w:sz w:val="21"/>
                <w:szCs w:val="21"/>
              </w:rPr>
            </w:pPr>
            <w:r>
              <w:rPr>
                <w:rFonts w:ascii="宋体" w:hAnsi="宋体" w:eastAsia="宋体"/>
                <w:b w:val="0"/>
                <w:color w:val="1F2937"/>
                <w:sz w:val="21"/>
                <w:szCs w:val="21"/>
              </w:rPr>
              <w:t>任何一项构成或权限不明时转人工，不直接禁止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传染病特别规则</w:t>
            </w:r>
          </w:p>
        </w:tc>
        <w:tc>
          <w:tcPr>
            <w:tcW w:w="2721" w:type="dxa"/>
            <w:vAlign w:val="center"/>
          </w:tcPr>
          <w:p>
            <w:pPr>
              <w:spacing w:after="20" w:line="300" w:lineRule="auto"/>
              <w:rPr>
                <w:sz w:val="21"/>
                <w:szCs w:val="21"/>
              </w:rPr>
            </w:pPr>
            <w:r>
              <w:rPr>
                <w:rFonts w:ascii="宋体" w:hAnsi="宋体" w:eastAsia="宋体"/>
                <w:b w:val="0"/>
                <w:color w:val="1F2937"/>
                <w:sz w:val="21"/>
                <w:szCs w:val="21"/>
              </w:rPr>
              <w:t>法定主体、受保护信息、当前行为满足特别法构成</w:t>
            </w:r>
          </w:p>
        </w:tc>
        <w:tc>
          <w:tcPr>
            <w:tcW w:w="2608" w:type="dxa"/>
            <w:vAlign w:val="center"/>
          </w:tcPr>
          <w:p>
            <w:pPr>
              <w:spacing w:after="20" w:line="300" w:lineRule="auto"/>
              <w:rPr>
                <w:sz w:val="21"/>
                <w:szCs w:val="21"/>
              </w:rPr>
            </w:pPr>
            <w:r>
              <w:rPr>
                <w:rFonts w:ascii="宋体" w:hAnsi="宋体" w:eastAsia="宋体"/>
                <w:b w:val="0"/>
                <w:color w:val="1F2937"/>
                <w:sz w:val="21"/>
                <w:szCs w:val="21"/>
              </w:rPr>
              <w:t>不得泄露相应个人隐私/个人信息；特定来源信息受目的限制</w:t>
            </w:r>
          </w:p>
        </w:tc>
        <w:tc>
          <w:tcPr>
            <w:tcW w:w="2721" w:type="dxa"/>
            <w:vAlign w:val="center"/>
          </w:tcPr>
          <w:p>
            <w:pPr>
              <w:spacing w:after="20" w:line="300" w:lineRule="auto"/>
              <w:rPr>
                <w:sz w:val="21"/>
                <w:szCs w:val="21"/>
              </w:rPr>
            </w:pPr>
            <w:r>
              <w:rPr>
                <w:rFonts w:ascii="宋体" w:hAnsi="宋体" w:eastAsia="宋体"/>
                <w:b w:val="0"/>
                <w:color w:val="1F2937"/>
                <w:sz w:val="21"/>
                <w:szCs w:val="21"/>
              </w:rPr>
              <w:t>不能把“传染病史”或疾病标签机械等同于硬性禁止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其他特别法/特殊材料</w:t>
            </w:r>
          </w:p>
        </w:tc>
        <w:tc>
          <w:tcPr>
            <w:tcW w:w="2721" w:type="dxa"/>
            <w:vAlign w:val="center"/>
          </w:tcPr>
          <w:p>
            <w:pPr>
              <w:spacing w:after="20" w:line="300" w:lineRule="auto"/>
              <w:rPr>
                <w:sz w:val="21"/>
                <w:szCs w:val="21"/>
              </w:rPr>
            </w:pPr>
            <w:r>
              <w:rPr>
                <w:rFonts w:ascii="宋体" w:hAnsi="宋体" w:eastAsia="宋体"/>
                <w:b w:val="0"/>
                <w:color w:val="1F2937"/>
                <w:sz w:val="21"/>
                <w:szCs w:val="21"/>
              </w:rPr>
              <w:t>特别法明确禁止当前行为且适用条件已确认</w:t>
            </w:r>
          </w:p>
        </w:tc>
        <w:tc>
          <w:tcPr>
            <w:tcW w:w="2608" w:type="dxa"/>
            <w:vAlign w:val="center"/>
          </w:tcPr>
          <w:p>
            <w:pPr>
              <w:spacing w:after="20" w:line="300" w:lineRule="auto"/>
              <w:rPr>
                <w:sz w:val="21"/>
                <w:szCs w:val="21"/>
              </w:rPr>
            </w:pPr>
            <w:r>
              <w:rPr>
                <w:rFonts w:ascii="宋体" w:hAnsi="宋体" w:eastAsia="宋体"/>
                <w:b w:val="0"/>
                <w:color w:val="1F2937"/>
                <w:sz w:val="21"/>
                <w:szCs w:val="21"/>
              </w:rPr>
              <w:t>按具体法条执行</w:t>
            </w:r>
          </w:p>
        </w:tc>
        <w:tc>
          <w:tcPr>
            <w:tcW w:w="2721" w:type="dxa"/>
            <w:vAlign w:val="center"/>
          </w:tcPr>
          <w:p>
            <w:pPr>
              <w:spacing w:after="20" w:line="300" w:lineRule="auto"/>
              <w:rPr>
                <w:sz w:val="21"/>
                <w:szCs w:val="21"/>
              </w:rPr>
            </w:pPr>
            <w:r>
              <w:rPr>
                <w:rFonts w:ascii="宋体" w:hAnsi="宋体" w:eastAsia="宋体"/>
                <w:b w:val="0"/>
                <w:color w:val="1F2937"/>
                <w:sz w:val="21"/>
                <w:szCs w:val="21"/>
              </w:rPr>
              <w:t>坚持“一类一法、一种行为对应具体条款”</w:t>
            </w:r>
          </w:p>
        </w:tc>
      </w:tr>
    </w:tbl>
    <w:p>
      <w:pPr>
        <w:pStyle w:val="4"/>
        <w:spacing w:before="160" w:after="120" w:line="300" w:lineRule="auto"/>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vAlign w:val="center"/>
          </w:tcPr>
          <w:p>
            <w:pPr>
              <w:spacing w:after="20" w:line="300" w:lineRule="auto"/>
              <w:rPr>
                <w:sz w:val="21"/>
                <w:szCs w:val="21"/>
              </w:rPr>
            </w:pPr>
            <w:r>
              <w:rPr>
                <w:rFonts w:ascii="宋体" w:hAnsi="宋体" w:eastAsia="宋体"/>
                <w:b/>
                <w:color w:val="1F2937"/>
                <w:sz w:val="21"/>
                <w:szCs w:val="21"/>
              </w:rPr>
              <w:t>信息/材料</w:t>
            </w:r>
          </w:p>
        </w:tc>
        <w:tc>
          <w:tcPr>
            <w:tcW w:w="3458" w:type="dxa"/>
            <w:vAlign w:val="center"/>
          </w:tcPr>
          <w:p>
            <w:pPr>
              <w:spacing w:after="20" w:line="300" w:lineRule="auto"/>
              <w:rPr>
                <w:sz w:val="21"/>
                <w:szCs w:val="21"/>
              </w:rPr>
            </w:pPr>
            <w:r>
              <w:rPr>
                <w:rFonts w:ascii="宋体" w:hAnsi="宋体" w:eastAsia="宋体"/>
                <w:b/>
                <w:color w:val="1F2937"/>
                <w:sz w:val="21"/>
                <w:szCs w:val="21"/>
              </w:rPr>
              <w:t>为什么不能一刀切</w:t>
            </w:r>
          </w:p>
        </w:tc>
        <w:tc>
          <w:tcPr>
            <w:tcW w:w="4195" w:type="dxa"/>
            <w:vAlign w:val="center"/>
          </w:tcPr>
          <w:p>
            <w:pPr>
              <w:spacing w:after="20" w:line="300" w:lineRule="auto"/>
              <w:rPr>
                <w:sz w:val="21"/>
                <w:szCs w:val="21"/>
              </w:rPr>
            </w:pPr>
            <w:r>
              <w:rPr>
                <w:rFonts w:ascii="宋体" w:hAnsi="宋体" w:eastAsia="宋体"/>
                <w:b/>
                <w:color w:val="1F2937"/>
                <w:sz w:val="21"/>
                <w:szCs w:val="21"/>
              </w:rPr>
              <w:t>进一步判断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vAlign w:val="center"/>
          </w:tcPr>
          <w:p>
            <w:pPr>
              <w:spacing w:after="20" w:line="300" w:lineRule="auto"/>
              <w:rPr>
                <w:sz w:val="21"/>
                <w:szCs w:val="21"/>
              </w:rPr>
            </w:pPr>
            <w:r>
              <w:rPr>
                <w:rFonts w:ascii="宋体" w:hAnsi="宋体" w:eastAsia="宋体"/>
                <w:b w:val="0"/>
                <w:color w:val="1F2937"/>
                <w:sz w:val="21"/>
                <w:szCs w:val="21"/>
              </w:rPr>
              <w:t>不满14周岁未成年人信息</w:t>
            </w:r>
          </w:p>
        </w:tc>
        <w:tc>
          <w:tcPr>
            <w:tcW w:w="3458" w:type="dxa"/>
            <w:vAlign w:val="center"/>
          </w:tcPr>
          <w:p>
            <w:pPr>
              <w:spacing w:after="20" w:line="300" w:lineRule="auto"/>
              <w:rPr>
                <w:sz w:val="21"/>
                <w:szCs w:val="21"/>
              </w:rPr>
            </w:pPr>
            <w:r>
              <w:rPr>
                <w:rFonts w:ascii="宋体" w:hAnsi="宋体" w:eastAsia="宋体"/>
                <w:b w:val="0"/>
                <w:color w:val="1F2937"/>
                <w:sz w:val="21"/>
                <w:szCs w:val="21"/>
              </w:rPr>
              <w:t>敏感个人信息并受特别保护，但并非“任何第三方处理均禁止”</w:t>
            </w:r>
          </w:p>
        </w:tc>
        <w:tc>
          <w:tcPr>
            <w:tcW w:w="4195" w:type="dxa"/>
            <w:vAlign w:val="center"/>
          </w:tcPr>
          <w:p>
            <w:pPr>
              <w:spacing w:after="20" w:line="300" w:lineRule="auto"/>
              <w:rPr>
                <w:sz w:val="21"/>
                <w:szCs w:val="21"/>
              </w:rPr>
            </w:pPr>
            <w:r>
              <w:rPr>
                <w:rFonts w:ascii="宋体" w:hAnsi="宋体" w:eastAsia="宋体"/>
                <w:b w:val="0"/>
                <w:color w:val="1F2937"/>
                <w:sz w:val="21"/>
                <w:szCs w:val="21"/>
              </w:rPr>
              <w:t>年龄、合法基础、监护人同意/其他法定依据、必要性、特别限制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pPr>
              <w:spacing w:after="20" w:line="300" w:lineRule="auto"/>
              <w:rPr>
                <w:sz w:val="21"/>
                <w:szCs w:val="21"/>
              </w:rPr>
            </w:pPr>
            <w:r>
              <w:rPr>
                <w:rFonts w:ascii="宋体" w:hAnsi="宋体" w:eastAsia="宋体"/>
                <w:b w:val="0"/>
                <w:color w:val="1F2937"/>
                <w:sz w:val="21"/>
                <w:szCs w:val="21"/>
              </w:rPr>
              <w:t>医疗健康/职业病资料</w:t>
            </w:r>
          </w:p>
        </w:tc>
        <w:tc>
          <w:tcPr>
            <w:tcW w:w="3458" w:type="dxa"/>
            <w:vAlign w:val="center"/>
          </w:tcPr>
          <w:p>
            <w:pPr>
              <w:spacing w:after="20" w:line="300" w:lineRule="auto"/>
              <w:rPr>
                <w:sz w:val="21"/>
                <w:szCs w:val="21"/>
              </w:rPr>
            </w:pPr>
            <w:r>
              <w:rPr>
                <w:rFonts w:ascii="宋体" w:hAnsi="宋体" w:eastAsia="宋体"/>
                <w:b w:val="0"/>
                <w:color w:val="1F2937"/>
                <w:sz w:val="21"/>
                <w:szCs w:val="21"/>
              </w:rPr>
              <w:t>工伤、职业病、病假案件可能必须使用</w:t>
            </w:r>
          </w:p>
        </w:tc>
        <w:tc>
          <w:tcPr>
            <w:tcW w:w="4195" w:type="dxa"/>
            <w:vAlign w:val="center"/>
          </w:tcPr>
          <w:p>
            <w:pPr>
              <w:spacing w:after="20" w:line="300" w:lineRule="auto"/>
              <w:rPr>
                <w:sz w:val="21"/>
                <w:szCs w:val="21"/>
              </w:rPr>
            </w:pPr>
            <w:r>
              <w:rPr>
                <w:rFonts w:ascii="宋体" w:hAnsi="宋体" w:eastAsia="宋体"/>
                <w:b w:val="0"/>
                <w:color w:val="1F2937"/>
                <w:sz w:val="21"/>
                <w:szCs w:val="21"/>
              </w:rPr>
              <w:t>案件必要性、特别法限制、无关病历细节能否删除、访问范围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pPr>
              <w:spacing w:after="20" w:line="300" w:lineRule="auto"/>
              <w:rPr>
                <w:sz w:val="21"/>
                <w:szCs w:val="21"/>
              </w:rPr>
            </w:pPr>
            <w:r>
              <w:rPr>
                <w:rFonts w:ascii="宋体" w:hAnsi="宋体" w:eastAsia="宋体"/>
                <w:b w:val="0"/>
                <w:color w:val="1F2937"/>
                <w:sz w:val="21"/>
                <w:szCs w:val="21"/>
              </w:rPr>
              <w:t>工资/社保/金融账户</w:t>
            </w:r>
          </w:p>
        </w:tc>
        <w:tc>
          <w:tcPr>
            <w:tcW w:w="3458" w:type="dxa"/>
            <w:vAlign w:val="center"/>
          </w:tcPr>
          <w:p>
            <w:pPr>
              <w:spacing w:after="20" w:line="300" w:lineRule="auto"/>
              <w:rPr>
                <w:sz w:val="21"/>
                <w:szCs w:val="21"/>
              </w:rPr>
            </w:pPr>
            <w:r>
              <w:rPr>
                <w:rFonts w:ascii="宋体" w:hAnsi="宋体" w:eastAsia="宋体"/>
                <w:b w:val="0"/>
                <w:color w:val="1F2937"/>
                <w:sz w:val="21"/>
                <w:szCs w:val="21"/>
              </w:rPr>
              <w:t>通常是工资和补偿争议的核心证据；金融账户为敏感信息</w:t>
            </w:r>
          </w:p>
        </w:tc>
        <w:tc>
          <w:tcPr>
            <w:tcW w:w="4195" w:type="dxa"/>
            <w:vAlign w:val="center"/>
          </w:tcPr>
          <w:p>
            <w:pPr>
              <w:spacing w:after="20" w:line="300" w:lineRule="auto"/>
              <w:rPr>
                <w:sz w:val="21"/>
                <w:szCs w:val="21"/>
              </w:rPr>
            </w:pPr>
            <w:r>
              <w:rPr>
                <w:rFonts w:ascii="宋体" w:hAnsi="宋体" w:eastAsia="宋体"/>
                <w:b w:val="0"/>
                <w:color w:val="1F2937"/>
                <w:sz w:val="21"/>
                <w:szCs w:val="21"/>
              </w:rPr>
              <w:t>保留金额/期间/支付事实，账号等强识别字段最小化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pPr>
              <w:spacing w:after="20" w:line="300" w:lineRule="auto"/>
              <w:rPr>
                <w:sz w:val="21"/>
                <w:szCs w:val="21"/>
              </w:rPr>
            </w:pPr>
            <w:r>
              <w:rPr>
                <w:rFonts w:ascii="宋体" w:hAnsi="宋体" w:eastAsia="宋体"/>
                <w:b w:val="0"/>
                <w:color w:val="1F2937"/>
                <w:sz w:val="21"/>
                <w:szCs w:val="21"/>
              </w:rPr>
              <w:t>律师执业知悉信息</w:t>
            </w:r>
          </w:p>
        </w:tc>
        <w:tc>
          <w:tcPr>
            <w:tcW w:w="3458" w:type="dxa"/>
            <w:vAlign w:val="center"/>
          </w:tcPr>
          <w:p>
            <w:pPr>
              <w:spacing w:after="20" w:line="300" w:lineRule="auto"/>
              <w:rPr>
                <w:sz w:val="21"/>
                <w:szCs w:val="21"/>
              </w:rPr>
            </w:pPr>
            <w:r>
              <w:rPr>
                <w:rFonts w:ascii="宋体" w:hAnsi="宋体" w:eastAsia="宋体"/>
                <w:b w:val="0"/>
                <w:color w:val="1F2937"/>
                <w:sz w:val="21"/>
                <w:szCs w:val="21"/>
              </w:rPr>
              <w:t>律师有保密义务，但不能无条件推导任何技术服务商均不得接触</w:t>
            </w:r>
          </w:p>
        </w:tc>
        <w:tc>
          <w:tcPr>
            <w:tcW w:w="4195" w:type="dxa"/>
            <w:vAlign w:val="center"/>
          </w:tcPr>
          <w:p>
            <w:pPr>
              <w:spacing w:after="20" w:line="300" w:lineRule="auto"/>
              <w:rPr>
                <w:sz w:val="21"/>
                <w:szCs w:val="21"/>
              </w:rPr>
            </w:pPr>
            <w:r>
              <w:rPr>
                <w:rFonts w:ascii="宋体" w:hAnsi="宋体" w:eastAsia="宋体"/>
                <w:b w:val="0"/>
                <w:color w:val="1F2937"/>
                <w:sz w:val="21"/>
                <w:szCs w:val="21"/>
              </w:rPr>
              <w:t>办案必要性、授权、委托/提供关系、保密安排、特别限制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vAlign w:val="center"/>
          </w:tcPr>
          <w:p>
            <w:pPr>
              <w:spacing w:after="20" w:line="300" w:lineRule="auto"/>
              <w:rPr>
                <w:sz w:val="21"/>
                <w:szCs w:val="21"/>
              </w:rPr>
            </w:pPr>
            <w:r>
              <w:rPr>
                <w:rFonts w:ascii="宋体" w:hAnsi="宋体" w:eastAsia="宋体"/>
                <w:b w:val="0"/>
                <w:color w:val="1F2937"/>
                <w:sz w:val="21"/>
                <w:szCs w:val="21"/>
              </w:rPr>
              <w:t>公开裁判文书/公开信息</w:t>
            </w:r>
          </w:p>
        </w:tc>
        <w:tc>
          <w:tcPr>
            <w:tcW w:w="3458" w:type="dxa"/>
            <w:vAlign w:val="center"/>
          </w:tcPr>
          <w:p>
            <w:pPr>
              <w:spacing w:after="20" w:line="300" w:lineRule="auto"/>
              <w:rPr>
                <w:sz w:val="21"/>
                <w:szCs w:val="21"/>
              </w:rPr>
            </w:pPr>
            <w:r>
              <w:rPr>
                <w:rFonts w:ascii="宋体" w:hAnsi="宋体" w:eastAsia="宋体"/>
                <w:b w:val="0"/>
                <w:color w:val="1F2937"/>
                <w:sz w:val="21"/>
                <w:szCs w:val="21"/>
              </w:rPr>
              <w:t>“已公开”不等于可无限制二次处理</w:t>
            </w:r>
          </w:p>
        </w:tc>
        <w:tc>
          <w:tcPr>
            <w:tcW w:w="4195" w:type="dxa"/>
            <w:vAlign w:val="center"/>
          </w:tcPr>
          <w:p>
            <w:pPr>
              <w:spacing w:after="20" w:line="300" w:lineRule="auto"/>
              <w:rPr>
                <w:sz w:val="21"/>
                <w:szCs w:val="21"/>
              </w:rPr>
            </w:pPr>
            <w:r>
              <w:rPr>
                <w:rFonts w:ascii="宋体" w:hAnsi="宋体" w:eastAsia="宋体"/>
                <w:b w:val="0"/>
                <w:color w:val="1F2937"/>
                <w:sz w:val="21"/>
                <w:szCs w:val="21"/>
              </w:rPr>
              <w:t>是否合法公开、合理范围、对个人权益影响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pPr>
              <w:spacing w:after="20" w:line="300" w:lineRule="auto"/>
              <w:rPr>
                <w:sz w:val="21"/>
                <w:szCs w:val="21"/>
              </w:rPr>
            </w:pPr>
            <w:r>
              <w:rPr>
                <w:rFonts w:ascii="宋体" w:hAnsi="宋体" w:eastAsia="宋体"/>
                <w:b w:val="0"/>
                <w:color w:val="1F2937"/>
                <w:sz w:val="21"/>
                <w:szCs w:val="21"/>
              </w:rPr>
              <w:t>境外AI/境外品牌</w:t>
            </w:r>
          </w:p>
        </w:tc>
        <w:tc>
          <w:tcPr>
            <w:tcW w:w="3458" w:type="dxa"/>
            <w:vAlign w:val="center"/>
          </w:tcPr>
          <w:p>
            <w:pPr>
              <w:spacing w:after="20" w:line="300" w:lineRule="auto"/>
              <w:rPr>
                <w:sz w:val="21"/>
                <w:szCs w:val="21"/>
              </w:rPr>
            </w:pPr>
            <w:r>
              <w:rPr>
                <w:rFonts w:ascii="宋体" w:hAnsi="宋体" w:eastAsia="宋体"/>
                <w:b w:val="0"/>
                <w:color w:val="1F2937"/>
                <w:sz w:val="21"/>
                <w:szCs w:val="21"/>
              </w:rPr>
              <w:t>境外主体身份本身不等于实际发生数据出境</w:t>
            </w:r>
          </w:p>
        </w:tc>
        <w:tc>
          <w:tcPr>
            <w:tcW w:w="4195" w:type="dxa"/>
            <w:vAlign w:val="center"/>
          </w:tcPr>
          <w:p>
            <w:pPr>
              <w:spacing w:after="20" w:line="300" w:lineRule="auto"/>
              <w:rPr>
                <w:sz w:val="21"/>
                <w:szCs w:val="21"/>
              </w:rPr>
            </w:pPr>
            <w:r>
              <w:rPr>
                <w:rFonts w:ascii="宋体" w:hAnsi="宋体" w:eastAsia="宋体"/>
                <w:b w:val="0"/>
                <w:color w:val="1F2937"/>
                <w:sz w:val="21"/>
                <w:szCs w:val="21"/>
              </w:rPr>
              <w:t>实际数据流向、存储和访问地点、适用跨境路径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pPr>
              <w:spacing w:after="20" w:line="300" w:lineRule="auto"/>
              <w:rPr>
                <w:sz w:val="21"/>
                <w:szCs w:val="21"/>
              </w:rPr>
            </w:pPr>
            <w:r>
              <w:rPr>
                <w:rFonts w:ascii="宋体" w:hAnsi="宋体" w:eastAsia="宋体"/>
                <w:b w:val="0"/>
                <w:color w:val="1F2937"/>
                <w:sz w:val="21"/>
                <w:szCs w:val="21"/>
              </w:rPr>
              <w:t>工作秘密</w:t>
            </w:r>
          </w:p>
        </w:tc>
        <w:tc>
          <w:tcPr>
            <w:tcW w:w="3458" w:type="dxa"/>
            <w:vAlign w:val="center"/>
          </w:tcPr>
          <w:p>
            <w:pPr>
              <w:spacing w:after="20" w:line="300" w:lineRule="auto"/>
              <w:rPr>
                <w:sz w:val="21"/>
                <w:szCs w:val="21"/>
              </w:rPr>
            </w:pPr>
            <w:r>
              <w:rPr>
                <w:rFonts w:ascii="宋体" w:hAnsi="宋体" w:eastAsia="宋体"/>
                <w:b w:val="0"/>
                <w:color w:val="1F2937"/>
                <w:sz w:val="21"/>
                <w:szCs w:val="21"/>
              </w:rPr>
              <w:t>不同于国家秘密，不当然适用国家秘密绝对禁止</w:t>
            </w:r>
          </w:p>
        </w:tc>
        <w:tc>
          <w:tcPr>
            <w:tcW w:w="4195" w:type="dxa"/>
            <w:vAlign w:val="center"/>
          </w:tcPr>
          <w:p>
            <w:pPr>
              <w:spacing w:after="20" w:line="300" w:lineRule="auto"/>
              <w:rPr>
                <w:sz w:val="21"/>
                <w:szCs w:val="21"/>
              </w:rPr>
            </w:pPr>
            <w:r>
              <w:rPr>
                <w:rFonts w:ascii="宋体" w:hAnsi="宋体" w:eastAsia="宋体"/>
                <w:b w:val="0"/>
                <w:color w:val="1F2937"/>
                <w:sz w:val="21"/>
                <w:szCs w:val="21"/>
              </w:rPr>
              <w:t>来源机关、认定与管理制度、对外提供限制</w:t>
            </w:r>
          </w:p>
        </w:tc>
      </w:tr>
    </w:tbl>
    <w:p>
      <w:pPr>
        <w:spacing w:before="0" w:after="100" w:line="300" w:lineRule="auto"/>
        <w:jc w:val="both"/>
        <w:rPr>
          <w:rFonts w:ascii="宋体" w:hAnsi="宋体" w:eastAsia="宋体"/>
          <w:b/>
          <w:bCs/>
          <w:sz w:val="24"/>
          <w:szCs w:val="28"/>
        </w:rPr>
      </w:pPr>
    </w:p>
    <w:p>
      <w:pPr>
        <w:spacing w:before="0" w:after="100" w:line="300" w:lineRule="auto"/>
        <w:ind w:firstLine="562" w:firstLineChars="200"/>
        <w:jc w:val="center"/>
        <w:rPr>
          <w:rFonts w:ascii="宋体" w:hAnsi="宋体" w:eastAsia="宋体"/>
          <w:b/>
          <w:bCs/>
          <w:sz w:val="28"/>
          <w:szCs w:val="32"/>
        </w:rPr>
      </w:pPr>
      <w:r>
        <w:rPr>
          <w:b/>
          <w:bCs/>
          <w:sz w:val="28"/>
          <w:szCs w:val="32"/>
        </w:rPr>
        <w:t>第二章  法律知识资产</w:t>
      </w:r>
    </w:p>
    <w:p>
      <w:pPr>
        <w:spacing w:before="0" w:after="100" w:line="300" w:lineRule="auto"/>
        <w:ind w:firstLine="420" w:firstLineChars="200"/>
      </w:pPr>
      <w:r>
        <w:rPr>
          <w:rFonts w:ascii="宋体" w:hAnsi="宋体" w:eastAsia="宋体"/>
          <w:b w:val="0"/>
          <w:sz w:val="21"/>
        </w:rPr>
        <w:t>本项目法律知识资产以劳动争议诉讼材料为对象，把法源</w:t>
      </w:r>
      <w:r>
        <w:rPr>
          <w:rFonts w:hint="eastAsia"/>
          <w:b w:val="0"/>
          <w:sz w:val="21"/>
          <w:lang w:eastAsia="zh-CN"/>
        </w:rPr>
        <w:t>、</w:t>
      </w:r>
      <w:r>
        <w:rPr>
          <w:rFonts w:ascii="宋体" w:hAnsi="宋体" w:eastAsia="宋体"/>
          <w:b w:val="0"/>
          <w:sz w:val="21"/>
        </w:rPr>
        <w:t>信息类型</w:t>
      </w:r>
      <w:r>
        <w:rPr>
          <w:rFonts w:hint="eastAsia"/>
          <w:b w:val="0"/>
          <w:sz w:val="21"/>
          <w:lang w:eastAsia="zh-CN"/>
        </w:rPr>
        <w:t>、</w:t>
      </w:r>
      <w:r>
        <w:rPr>
          <w:rFonts w:ascii="宋体" w:hAnsi="宋体" w:eastAsia="宋体"/>
          <w:b w:val="0"/>
          <w:sz w:val="21"/>
        </w:rPr>
        <w:t>材料载体</w:t>
      </w:r>
      <w:r>
        <w:rPr>
          <w:rFonts w:hint="eastAsia"/>
          <w:b w:val="0"/>
          <w:sz w:val="21"/>
          <w:lang w:eastAsia="zh-CN"/>
        </w:rPr>
        <w:t>、</w:t>
      </w:r>
      <w:r>
        <w:rPr>
          <w:rFonts w:ascii="宋体" w:hAnsi="宋体" w:eastAsia="宋体"/>
          <w:b w:val="0"/>
          <w:sz w:val="21"/>
        </w:rPr>
        <w:t>处理方式</w:t>
      </w:r>
      <w:r>
        <w:rPr>
          <w:rFonts w:hint="eastAsia"/>
          <w:b w:val="0"/>
          <w:sz w:val="21"/>
          <w:lang w:val="en-US" w:eastAsia="zh-CN"/>
        </w:rPr>
        <w:t>与</w:t>
      </w:r>
      <w:r>
        <w:rPr>
          <w:rFonts w:ascii="宋体" w:hAnsi="宋体" w:eastAsia="宋体"/>
          <w:b w:val="0"/>
          <w:sz w:val="21"/>
        </w:rPr>
        <w:t>复核触发点连接起来。系统不是把整部法律直接交给大模型自由解释，而是通过结构化资产先限定法律问题、事实条件和处置边界，再由模型承担识别和文本处理任务。这样可以降低大模型在法律来源、适用对象和行为定性上的自由发挥空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4"/>
        <w:gridCol w:w="3776"/>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84" w:type="dxa"/>
            <w:vAlign w:val="center"/>
          </w:tcPr>
          <w:p>
            <w:pPr>
              <w:spacing w:after="20" w:line="300" w:lineRule="auto"/>
              <w:rPr>
                <w:sz w:val="21"/>
                <w:szCs w:val="21"/>
              </w:rPr>
            </w:pPr>
            <w:r>
              <w:rPr>
                <w:rFonts w:ascii="宋体" w:hAnsi="宋体" w:eastAsia="宋体"/>
                <w:b/>
                <w:color w:val="1F2937"/>
                <w:sz w:val="21"/>
                <w:szCs w:val="21"/>
              </w:rPr>
              <w:t>知识层</w:t>
            </w:r>
          </w:p>
        </w:tc>
        <w:tc>
          <w:tcPr>
            <w:tcW w:w="3776" w:type="dxa"/>
            <w:vAlign w:val="center"/>
          </w:tcPr>
          <w:p>
            <w:pPr>
              <w:spacing w:after="20" w:line="300" w:lineRule="auto"/>
              <w:rPr>
                <w:sz w:val="21"/>
                <w:szCs w:val="21"/>
              </w:rPr>
            </w:pPr>
            <w:r>
              <w:rPr>
                <w:rFonts w:ascii="宋体" w:hAnsi="宋体" w:eastAsia="宋体"/>
                <w:b/>
                <w:color w:val="1F2937"/>
                <w:sz w:val="21"/>
                <w:szCs w:val="21"/>
              </w:rPr>
              <w:t>资产规模</w:t>
            </w:r>
          </w:p>
        </w:tc>
        <w:tc>
          <w:tcPr>
            <w:tcW w:w="3230" w:type="dxa"/>
            <w:vAlign w:val="center"/>
          </w:tcPr>
          <w:p>
            <w:pPr>
              <w:spacing w:after="20" w:line="300" w:lineRule="auto"/>
              <w:rPr>
                <w:sz w:val="21"/>
                <w:szCs w:val="21"/>
              </w:rPr>
            </w:pPr>
            <w:r>
              <w:rPr>
                <w:rFonts w:ascii="宋体" w:hAnsi="宋体" w:eastAsia="宋体"/>
                <w:b/>
                <w:color w:val="1F2937"/>
                <w:sz w:val="21"/>
                <w:szCs w:val="21"/>
              </w:rPr>
              <w:t>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pPr>
              <w:spacing w:after="20" w:line="300" w:lineRule="auto"/>
              <w:rPr>
                <w:sz w:val="21"/>
                <w:szCs w:val="21"/>
              </w:rPr>
            </w:pPr>
            <w:r>
              <w:rPr>
                <w:rFonts w:ascii="宋体" w:hAnsi="宋体" w:eastAsia="宋体"/>
                <w:b w:val="0"/>
                <w:color w:val="1F2937"/>
                <w:sz w:val="21"/>
                <w:szCs w:val="21"/>
              </w:rPr>
              <w:t>第一层：法源目录</w:t>
            </w:r>
          </w:p>
        </w:tc>
        <w:tc>
          <w:tcPr>
            <w:tcW w:w="3776" w:type="dxa"/>
            <w:vAlign w:val="center"/>
          </w:tcPr>
          <w:p>
            <w:pPr>
              <w:spacing w:after="20" w:line="300" w:lineRule="auto"/>
              <w:rPr>
                <w:sz w:val="21"/>
                <w:szCs w:val="21"/>
              </w:rPr>
            </w:pPr>
            <w:r>
              <w:rPr>
                <w:rFonts w:ascii="宋体" w:hAnsi="宋体" w:eastAsia="宋体"/>
                <w:b w:val="0"/>
                <w:color w:val="1F2937"/>
                <w:sz w:val="21"/>
                <w:szCs w:val="21"/>
              </w:rPr>
              <w:t>109条规则记录</w:t>
            </w:r>
            <w:r>
              <w:rPr>
                <w:rFonts w:hint="eastAsia"/>
                <w:b w:val="0"/>
                <w:color w:val="1F2937"/>
                <w:sz w:val="21"/>
                <w:szCs w:val="21"/>
                <w:lang w:eastAsia="zh-CN"/>
              </w:rPr>
              <w:t>/</w:t>
            </w:r>
            <w:r>
              <w:rPr>
                <w:rFonts w:ascii="宋体" w:hAnsi="宋体" w:eastAsia="宋体"/>
                <w:b w:val="0"/>
                <w:color w:val="1F2937"/>
                <w:sz w:val="21"/>
                <w:szCs w:val="21"/>
              </w:rPr>
              <w:t>33个法源名称</w:t>
            </w:r>
          </w:p>
        </w:tc>
        <w:tc>
          <w:tcPr>
            <w:tcW w:w="3230" w:type="dxa"/>
            <w:vAlign w:val="center"/>
          </w:tcPr>
          <w:p>
            <w:pPr>
              <w:spacing w:after="20" w:line="300" w:lineRule="auto"/>
              <w:rPr>
                <w:sz w:val="21"/>
                <w:szCs w:val="21"/>
              </w:rPr>
            </w:pPr>
            <w:r>
              <w:rPr>
                <w:rFonts w:ascii="宋体" w:hAnsi="宋体" w:eastAsia="宋体"/>
                <w:b w:val="0"/>
                <w:color w:val="1F2937"/>
                <w:sz w:val="21"/>
                <w:szCs w:val="21"/>
              </w:rPr>
              <w:t>提供规范原文、适用对象、触发条件、版本与效力性质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pPr>
              <w:spacing w:after="20" w:line="300" w:lineRule="auto"/>
              <w:rPr>
                <w:sz w:val="21"/>
                <w:szCs w:val="21"/>
              </w:rPr>
            </w:pPr>
            <w:r>
              <w:rPr>
                <w:rFonts w:ascii="宋体" w:hAnsi="宋体" w:eastAsia="宋体"/>
                <w:b w:val="0"/>
                <w:color w:val="1F2937"/>
                <w:sz w:val="21"/>
                <w:szCs w:val="21"/>
              </w:rPr>
              <w:t>第二层：信息映射矩阵</w:t>
            </w:r>
          </w:p>
        </w:tc>
        <w:tc>
          <w:tcPr>
            <w:tcW w:w="3776" w:type="dxa"/>
            <w:vAlign w:val="center"/>
          </w:tcPr>
          <w:p>
            <w:pPr>
              <w:spacing w:after="20" w:line="300" w:lineRule="auto"/>
              <w:rPr>
                <w:sz w:val="21"/>
                <w:szCs w:val="21"/>
              </w:rPr>
            </w:pPr>
            <w:r>
              <w:rPr>
                <w:rFonts w:ascii="宋体" w:hAnsi="宋体" w:eastAsia="宋体"/>
                <w:b w:val="0"/>
                <w:color w:val="1F2937"/>
                <w:sz w:val="21"/>
                <w:szCs w:val="21"/>
              </w:rPr>
              <w:t>25类个人信息＋15类其他敏感客体</w:t>
            </w:r>
          </w:p>
        </w:tc>
        <w:tc>
          <w:tcPr>
            <w:tcW w:w="3230" w:type="dxa"/>
            <w:vAlign w:val="center"/>
          </w:tcPr>
          <w:p>
            <w:pPr>
              <w:spacing w:after="20" w:line="300" w:lineRule="auto"/>
              <w:rPr>
                <w:sz w:val="21"/>
                <w:szCs w:val="21"/>
              </w:rPr>
            </w:pPr>
            <w:r>
              <w:rPr>
                <w:rFonts w:ascii="宋体" w:hAnsi="宋体" w:eastAsia="宋体"/>
                <w:b w:val="0"/>
                <w:color w:val="1F2937"/>
                <w:sz w:val="21"/>
                <w:szCs w:val="21"/>
              </w:rPr>
              <w:t>把劳动争议材料中的具体字段与法律规则对应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pPr>
              <w:spacing w:after="20" w:line="300" w:lineRule="auto"/>
              <w:rPr>
                <w:sz w:val="21"/>
                <w:szCs w:val="21"/>
              </w:rPr>
            </w:pPr>
            <w:r>
              <w:rPr>
                <w:rFonts w:ascii="宋体" w:hAnsi="宋体" w:eastAsia="宋体"/>
                <w:b w:val="0"/>
                <w:color w:val="1F2937"/>
                <w:sz w:val="21"/>
                <w:szCs w:val="21"/>
              </w:rPr>
              <w:t>第三层：判断规则</w:t>
            </w:r>
          </w:p>
        </w:tc>
        <w:tc>
          <w:tcPr>
            <w:tcW w:w="3776" w:type="dxa"/>
            <w:vAlign w:val="center"/>
          </w:tcPr>
          <w:p>
            <w:pPr>
              <w:spacing w:after="20" w:line="300" w:lineRule="auto"/>
              <w:rPr>
                <w:sz w:val="21"/>
                <w:szCs w:val="21"/>
              </w:rPr>
            </w:pPr>
            <w:r>
              <w:rPr>
                <w:rFonts w:ascii="宋体" w:hAnsi="宋体" w:eastAsia="宋体"/>
                <w:b w:val="0"/>
                <w:color w:val="1F2937"/>
                <w:sz w:val="21"/>
                <w:szCs w:val="21"/>
              </w:rPr>
              <w:t>硬性禁止、最小化、特别法、冲突处理规则</w:t>
            </w:r>
          </w:p>
        </w:tc>
        <w:tc>
          <w:tcPr>
            <w:tcW w:w="3230" w:type="dxa"/>
            <w:vAlign w:val="center"/>
          </w:tcPr>
          <w:p>
            <w:pPr>
              <w:spacing w:after="20" w:line="300" w:lineRule="auto"/>
              <w:rPr>
                <w:sz w:val="21"/>
                <w:szCs w:val="21"/>
              </w:rPr>
            </w:pPr>
            <w:r>
              <w:rPr>
                <w:rFonts w:ascii="宋体" w:hAnsi="宋体" w:eastAsia="宋体"/>
                <w:b w:val="0"/>
                <w:color w:val="1F2937"/>
                <w:sz w:val="21"/>
                <w:szCs w:val="21"/>
              </w:rPr>
              <w:t>把法律条文转化为系统动作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4" w:type="dxa"/>
            <w:vAlign w:val="center"/>
          </w:tcPr>
          <w:p>
            <w:pPr>
              <w:spacing w:after="20" w:line="300" w:lineRule="auto"/>
              <w:rPr>
                <w:sz w:val="21"/>
                <w:szCs w:val="21"/>
              </w:rPr>
            </w:pPr>
            <w:r>
              <w:rPr>
                <w:rFonts w:ascii="宋体" w:hAnsi="宋体" w:eastAsia="宋体"/>
                <w:b w:val="0"/>
                <w:color w:val="1F2937"/>
                <w:sz w:val="21"/>
                <w:szCs w:val="21"/>
              </w:rPr>
              <w:t>第四层：人工复核资产</w:t>
            </w:r>
          </w:p>
        </w:tc>
        <w:tc>
          <w:tcPr>
            <w:tcW w:w="3776" w:type="dxa"/>
            <w:vAlign w:val="center"/>
          </w:tcPr>
          <w:p>
            <w:pPr>
              <w:spacing w:after="20" w:line="300" w:lineRule="auto"/>
              <w:rPr>
                <w:sz w:val="21"/>
                <w:szCs w:val="21"/>
              </w:rPr>
            </w:pPr>
            <w:r>
              <w:rPr>
                <w:rFonts w:ascii="宋体" w:hAnsi="宋体" w:eastAsia="宋体"/>
                <w:b w:val="0"/>
                <w:color w:val="1F2937"/>
                <w:sz w:val="21"/>
                <w:szCs w:val="21"/>
              </w:rPr>
              <w:t>复核触发点、审批问题、风险提示、责任边界</w:t>
            </w:r>
          </w:p>
        </w:tc>
        <w:tc>
          <w:tcPr>
            <w:tcW w:w="3230" w:type="dxa"/>
            <w:vAlign w:val="center"/>
          </w:tcPr>
          <w:p>
            <w:pPr>
              <w:spacing w:after="20" w:line="300" w:lineRule="auto"/>
              <w:rPr>
                <w:sz w:val="21"/>
                <w:szCs w:val="21"/>
              </w:rPr>
            </w:pPr>
            <w:r>
              <w:rPr>
                <w:rFonts w:ascii="宋体" w:hAnsi="宋体" w:eastAsia="宋体"/>
                <w:b w:val="0"/>
                <w:color w:val="1F2937"/>
                <w:sz w:val="21"/>
                <w:szCs w:val="21"/>
              </w:rPr>
              <w:t>把机器无法安全确定的问题交给专业人员并留痕</w:t>
            </w:r>
          </w:p>
        </w:tc>
      </w:tr>
    </w:tbl>
    <w:p>
      <w:pPr>
        <w:pStyle w:val="4"/>
        <w:spacing w:before="160" w:after="120" w:line="300" w:lineRule="auto"/>
      </w:pPr>
    </w:p>
    <w:p>
      <w:pPr>
        <w:spacing w:before="0" w:after="100" w:line="300" w:lineRule="auto"/>
        <w:ind w:firstLine="420"/>
      </w:pPr>
      <w:r>
        <w:rPr>
          <w:rFonts w:ascii="宋体" w:hAnsi="宋体" w:eastAsia="宋体"/>
          <w:b w:val="0"/>
          <w:sz w:val="21"/>
        </w:rPr>
        <w:t>个人信息处理映射表覆盖25类劳动争议诉讼材料中的高频个人信息，并固定记录10个维度：信息类型、常见载体/出现位置、是否属于敏感个人信息、个保法对应条款/出处、法条原文摘录、规范内容、处理方式、规则性质、是否需要人工复核、复核触发点。其核心价值是把字段识别和法律处理连成一条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vAlign w:val="center"/>
          </w:tcPr>
          <w:p>
            <w:pPr>
              <w:spacing w:after="20" w:line="300" w:lineRule="auto"/>
              <w:rPr>
                <w:sz w:val="21"/>
                <w:szCs w:val="21"/>
              </w:rPr>
            </w:pPr>
            <w:r>
              <w:rPr>
                <w:rFonts w:ascii="宋体" w:hAnsi="宋体" w:eastAsia="宋体"/>
                <w:b/>
                <w:color w:val="1F2937"/>
                <w:sz w:val="21"/>
                <w:szCs w:val="21"/>
              </w:rPr>
              <w:t>信息组</w:t>
            </w:r>
          </w:p>
        </w:tc>
        <w:tc>
          <w:tcPr>
            <w:tcW w:w="3345" w:type="dxa"/>
            <w:vAlign w:val="center"/>
          </w:tcPr>
          <w:p>
            <w:pPr>
              <w:spacing w:after="20" w:line="300" w:lineRule="auto"/>
              <w:rPr>
                <w:sz w:val="21"/>
                <w:szCs w:val="21"/>
              </w:rPr>
            </w:pPr>
            <w:r>
              <w:rPr>
                <w:rFonts w:ascii="宋体" w:hAnsi="宋体" w:eastAsia="宋体"/>
                <w:b/>
                <w:color w:val="1F2937"/>
                <w:sz w:val="21"/>
                <w:szCs w:val="21"/>
              </w:rPr>
              <w:t>典型类型</w:t>
            </w:r>
          </w:p>
        </w:tc>
        <w:tc>
          <w:tcPr>
            <w:tcW w:w="4592" w:type="dxa"/>
            <w:vAlign w:val="center"/>
          </w:tcPr>
          <w:p>
            <w:pPr>
              <w:spacing w:after="20" w:line="300" w:lineRule="auto"/>
              <w:rPr>
                <w:sz w:val="21"/>
                <w:szCs w:val="21"/>
              </w:rPr>
            </w:pPr>
            <w:r>
              <w:rPr>
                <w:rFonts w:ascii="宋体" w:hAnsi="宋体" w:eastAsia="宋体"/>
                <w:b/>
                <w:color w:val="1F2937"/>
                <w:sz w:val="21"/>
                <w:szCs w:val="21"/>
              </w:rPr>
              <w:t>默认处理策略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直接身份与联系方式</w:t>
            </w:r>
          </w:p>
        </w:tc>
        <w:tc>
          <w:tcPr>
            <w:tcW w:w="3345" w:type="dxa"/>
            <w:vAlign w:val="center"/>
          </w:tcPr>
          <w:p>
            <w:pPr>
              <w:spacing w:after="20" w:line="300" w:lineRule="auto"/>
              <w:rPr>
                <w:sz w:val="21"/>
                <w:szCs w:val="21"/>
              </w:rPr>
            </w:pPr>
            <w:r>
              <w:rPr>
                <w:rFonts w:ascii="宋体" w:hAnsi="宋体" w:eastAsia="宋体"/>
                <w:b w:val="0"/>
                <w:color w:val="1F2937"/>
                <w:sz w:val="21"/>
                <w:szCs w:val="21"/>
              </w:rPr>
              <w:t>姓名、身份证件号码、住址、手机号、电子邮箱、出生日期/年龄</w:t>
            </w:r>
          </w:p>
        </w:tc>
        <w:tc>
          <w:tcPr>
            <w:tcW w:w="4592" w:type="dxa"/>
            <w:vAlign w:val="center"/>
          </w:tcPr>
          <w:p>
            <w:pPr>
              <w:spacing w:after="20" w:line="300" w:lineRule="auto"/>
              <w:rPr>
                <w:sz w:val="21"/>
                <w:szCs w:val="21"/>
              </w:rPr>
            </w:pPr>
            <w:r>
              <w:rPr>
                <w:rFonts w:ascii="宋体" w:hAnsi="宋体" w:eastAsia="宋体"/>
                <w:b w:val="0"/>
                <w:color w:val="1F2937"/>
                <w:sz w:val="21"/>
                <w:szCs w:val="21"/>
              </w:rPr>
              <w:t>默认角色化、删除、掩码或降低精度；只有案件事实确需真实字段时保留必要精度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金融与报酬</w:t>
            </w:r>
          </w:p>
        </w:tc>
        <w:tc>
          <w:tcPr>
            <w:tcW w:w="3345" w:type="dxa"/>
            <w:vAlign w:val="center"/>
          </w:tcPr>
          <w:p>
            <w:pPr>
              <w:spacing w:after="20" w:line="300" w:lineRule="auto"/>
              <w:rPr>
                <w:sz w:val="21"/>
                <w:szCs w:val="21"/>
              </w:rPr>
            </w:pPr>
            <w:r>
              <w:rPr>
                <w:rFonts w:ascii="宋体" w:hAnsi="宋体" w:eastAsia="宋体"/>
                <w:b w:val="0"/>
                <w:color w:val="1F2937"/>
                <w:sz w:val="21"/>
                <w:szCs w:val="21"/>
              </w:rPr>
              <w:t>银行账号/银行卡号、工资/奖金、社保、银行流水交易对手、税务信息</w:t>
            </w:r>
          </w:p>
        </w:tc>
        <w:tc>
          <w:tcPr>
            <w:tcW w:w="4592" w:type="dxa"/>
            <w:vAlign w:val="center"/>
          </w:tcPr>
          <w:p>
            <w:pPr>
              <w:spacing w:after="20" w:line="300" w:lineRule="auto"/>
              <w:rPr>
                <w:sz w:val="21"/>
                <w:szCs w:val="21"/>
              </w:rPr>
            </w:pPr>
            <w:r>
              <w:rPr>
                <w:rFonts w:ascii="宋体" w:hAnsi="宋体" w:eastAsia="宋体"/>
                <w:b w:val="0"/>
                <w:color w:val="1F2937"/>
                <w:sz w:val="21"/>
                <w:szCs w:val="21"/>
              </w:rPr>
              <w:t>保留金额、期间、支付状态等争议事实；完整账号和无关交易优先删除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医疗健康</w:t>
            </w:r>
          </w:p>
        </w:tc>
        <w:tc>
          <w:tcPr>
            <w:tcW w:w="3345" w:type="dxa"/>
            <w:vAlign w:val="center"/>
          </w:tcPr>
          <w:p>
            <w:pPr>
              <w:spacing w:after="20" w:line="300" w:lineRule="auto"/>
              <w:rPr>
                <w:sz w:val="21"/>
                <w:szCs w:val="21"/>
              </w:rPr>
            </w:pPr>
            <w:r>
              <w:rPr>
                <w:rFonts w:ascii="宋体" w:hAnsi="宋体" w:eastAsia="宋体"/>
                <w:b w:val="0"/>
                <w:color w:val="1F2937"/>
                <w:sz w:val="21"/>
                <w:szCs w:val="21"/>
              </w:rPr>
              <w:t>病历/诊断、工伤认定/劳动能力鉴定、生育孕产、离职原因中的健康信息</w:t>
            </w:r>
          </w:p>
        </w:tc>
        <w:tc>
          <w:tcPr>
            <w:tcW w:w="4592" w:type="dxa"/>
            <w:vAlign w:val="center"/>
          </w:tcPr>
          <w:p>
            <w:pPr>
              <w:spacing w:after="20" w:line="300" w:lineRule="auto"/>
              <w:rPr>
                <w:sz w:val="21"/>
                <w:szCs w:val="21"/>
              </w:rPr>
            </w:pPr>
            <w:r>
              <w:rPr>
                <w:rFonts w:ascii="宋体" w:hAnsi="宋体" w:eastAsia="宋体"/>
                <w:b w:val="0"/>
                <w:color w:val="1F2937"/>
                <w:sz w:val="21"/>
                <w:szCs w:val="21"/>
              </w:rPr>
              <w:t>保留诊断结论、等级、关键日期等必要事实；完整病史和无关检查细节不进入外部载荷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生物识别与行踪</w:t>
            </w:r>
          </w:p>
        </w:tc>
        <w:tc>
          <w:tcPr>
            <w:tcW w:w="3345" w:type="dxa"/>
            <w:vAlign w:val="center"/>
          </w:tcPr>
          <w:p>
            <w:pPr>
              <w:spacing w:after="20" w:line="300" w:lineRule="auto"/>
              <w:rPr>
                <w:sz w:val="21"/>
                <w:szCs w:val="21"/>
              </w:rPr>
            </w:pPr>
            <w:r>
              <w:rPr>
                <w:rFonts w:ascii="宋体" w:hAnsi="宋体" w:eastAsia="宋体"/>
                <w:b w:val="0"/>
                <w:color w:val="1F2937"/>
                <w:sz w:val="21"/>
                <w:szCs w:val="21"/>
              </w:rPr>
              <w:t>指纹/人脸、精确定位、考勤/打卡时间</w:t>
            </w:r>
          </w:p>
        </w:tc>
        <w:tc>
          <w:tcPr>
            <w:tcW w:w="4592" w:type="dxa"/>
            <w:vAlign w:val="center"/>
          </w:tcPr>
          <w:p>
            <w:pPr>
              <w:spacing w:after="20" w:line="300" w:lineRule="auto"/>
              <w:rPr>
                <w:sz w:val="21"/>
                <w:szCs w:val="21"/>
              </w:rPr>
            </w:pPr>
            <w:r>
              <w:rPr>
                <w:rFonts w:ascii="宋体" w:hAnsi="宋体" w:eastAsia="宋体"/>
                <w:b w:val="0"/>
                <w:color w:val="1F2937"/>
                <w:sz w:val="21"/>
                <w:szCs w:val="21"/>
              </w:rPr>
              <w:t>优先以考勤结果、时间、必要地点替代原始模板和连续轨迹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特殊身份与未成年人</w:t>
            </w:r>
          </w:p>
        </w:tc>
        <w:tc>
          <w:tcPr>
            <w:tcW w:w="3345" w:type="dxa"/>
            <w:vAlign w:val="center"/>
          </w:tcPr>
          <w:p>
            <w:pPr>
              <w:spacing w:after="20" w:line="300" w:lineRule="auto"/>
              <w:rPr>
                <w:sz w:val="21"/>
                <w:szCs w:val="21"/>
              </w:rPr>
            </w:pPr>
            <w:r>
              <w:rPr>
                <w:rFonts w:ascii="宋体" w:hAnsi="宋体" w:eastAsia="宋体"/>
                <w:b w:val="0"/>
                <w:color w:val="1F2937"/>
                <w:sz w:val="21"/>
                <w:szCs w:val="21"/>
              </w:rPr>
              <w:t>宗教信仰/特定身份、不满14周岁未成年人信息</w:t>
            </w:r>
          </w:p>
        </w:tc>
        <w:tc>
          <w:tcPr>
            <w:tcW w:w="4592" w:type="dxa"/>
            <w:vAlign w:val="center"/>
          </w:tcPr>
          <w:p>
            <w:pPr>
              <w:spacing w:after="20" w:line="300" w:lineRule="auto"/>
              <w:rPr>
                <w:sz w:val="21"/>
                <w:szCs w:val="21"/>
              </w:rPr>
            </w:pPr>
            <w:r>
              <w:rPr>
                <w:rFonts w:ascii="宋体" w:hAnsi="宋体" w:eastAsia="宋体"/>
                <w:b w:val="0"/>
                <w:color w:val="1F2937"/>
                <w:sz w:val="21"/>
                <w:szCs w:val="21"/>
              </w:rPr>
              <w:t>非案件必要则删除；确需处理时适用敏感信息和特别规则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家庭与第三方</w:t>
            </w:r>
          </w:p>
        </w:tc>
        <w:tc>
          <w:tcPr>
            <w:tcW w:w="3345" w:type="dxa"/>
            <w:vAlign w:val="center"/>
          </w:tcPr>
          <w:p>
            <w:pPr>
              <w:spacing w:after="20" w:line="300" w:lineRule="auto"/>
              <w:rPr>
                <w:sz w:val="21"/>
                <w:szCs w:val="21"/>
              </w:rPr>
            </w:pPr>
            <w:r>
              <w:rPr>
                <w:rFonts w:ascii="宋体" w:hAnsi="宋体" w:eastAsia="宋体"/>
                <w:b w:val="0"/>
                <w:color w:val="1F2937"/>
                <w:sz w:val="21"/>
                <w:szCs w:val="21"/>
              </w:rPr>
              <w:t>家庭成员、证人/第三方联系人</w:t>
            </w:r>
          </w:p>
        </w:tc>
        <w:tc>
          <w:tcPr>
            <w:tcW w:w="4592" w:type="dxa"/>
            <w:vAlign w:val="center"/>
          </w:tcPr>
          <w:p>
            <w:pPr>
              <w:spacing w:after="20" w:line="300" w:lineRule="auto"/>
              <w:rPr>
                <w:sz w:val="21"/>
                <w:szCs w:val="21"/>
              </w:rPr>
            </w:pPr>
            <w:r>
              <w:rPr>
                <w:rFonts w:ascii="宋体" w:hAnsi="宋体" w:eastAsia="宋体"/>
                <w:b w:val="0"/>
                <w:color w:val="1F2937"/>
                <w:sz w:val="21"/>
                <w:szCs w:val="21"/>
              </w:rPr>
              <w:t>通常只保留关系、证言和角色，真实联系方式/住址等最小化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通信与视听证据</w:t>
            </w:r>
          </w:p>
        </w:tc>
        <w:tc>
          <w:tcPr>
            <w:tcW w:w="3345" w:type="dxa"/>
            <w:vAlign w:val="center"/>
          </w:tcPr>
          <w:p>
            <w:pPr>
              <w:spacing w:after="20" w:line="300" w:lineRule="auto"/>
              <w:rPr>
                <w:sz w:val="21"/>
                <w:szCs w:val="21"/>
              </w:rPr>
            </w:pPr>
            <w:r>
              <w:rPr>
                <w:rFonts w:ascii="宋体" w:hAnsi="宋体" w:eastAsia="宋体"/>
                <w:b w:val="0"/>
                <w:color w:val="1F2937"/>
                <w:sz w:val="21"/>
                <w:szCs w:val="21"/>
              </w:rPr>
              <w:t>微信/社交账号、聊天记录、录音录像</w:t>
            </w:r>
          </w:p>
        </w:tc>
        <w:tc>
          <w:tcPr>
            <w:tcW w:w="4592" w:type="dxa"/>
            <w:vAlign w:val="center"/>
          </w:tcPr>
          <w:p>
            <w:pPr>
              <w:spacing w:after="20" w:line="300" w:lineRule="auto"/>
              <w:rPr>
                <w:sz w:val="21"/>
                <w:szCs w:val="21"/>
              </w:rPr>
            </w:pPr>
            <w:r>
              <w:rPr>
                <w:rFonts w:ascii="宋体" w:hAnsi="宋体" w:eastAsia="宋体"/>
                <w:b w:val="0"/>
                <w:color w:val="1F2937"/>
                <w:sz w:val="21"/>
                <w:szCs w:val="21"/>
              </w:rPr>
              <w:t>保留争议相关内容；账号、头像、无关人员声像和第三方信息剔除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pPr>
              <w:spacing w:after="20" w:line="300" w:lineRule="auto"/>
              <w:rPr>
                <w:sz w:val="21"/>
                <w:szCs w:val="21"/>
              </w:rPr>
            </w:pPr>
            <w:r>
              <w:rPr>
                <w:rFonts w:ascii="宋体" w:hAnsi="宋体" w:eastAsia="宋体"/>
                <w:b w:val="0"/>
                <w:color w:val="1F2937"/>
                <w:sz w:val="21"/>
                <w:szCs w:val="21"/>
              </w:rPr>
              <w:t>用工管理信息</w:t>
            </w:r>
          </w:p>
        </w:tc>
        <w:tc>
          <w:tcPr>
            <w:tcW w:w="3345" w:type="dxa"/>
            <w:vAlign w:val="center"/>
          </w:tcPr>
          <w:p>
            <w:pPr>
              <w:spacing w:after="20" w:line="300" w:lineRule="auto"/>
              <w:rPr>
                <w:sz w:val="21"/>
                <w:szCs w:val="21"/>
              </w:rPr>
            </w:pPr>
            <w:r>
              <w:rPr>
                <w:rFonts w:ascii="宋体" w:hAnsi="宋体" w:eastAsia="宋体"/>
                <w:b w:val="0"/>
                <w:color w:val="1F2937"/>
                <w:sz w:val="21"/>
                <w:szCs w:val="21"/>
              </w:rPr>
              <w:t>考勤、绩效考核、奖惩记录</w:t>
            </w:r>
          </w:p>
        </w:tc>
        <w:tc>
          <w:tcPr>
            <w:tcW w:w="4592" w:type="dxa"/>
            <w:vAlign w:val="center"/>
          </w:tcPr>
          <w:p>
            <w:pPr>
              <w:spacing w:after="20" w:line="300" w:lineRule="auto"/>
              <w:rPr>
                <w:sz w:val="21"/>
                <w:szCs w:val="21"/>
              </w:rPr>
            </w:pPr>
            <w:r>
              <w:rPr>
                <w:rFonts w:ascii="宋体" w:hAnsi="宋体" w:eastAsia="宋体"/>
                <w:b w:val="0"/>
                <w:color w:val="1F2937"/>
                <w:sz w:val="21"/>
                <w:szCs w:val="21"/>
              </w:rPr>
              <w:t>保留争议期间和争议指标，删除无关评价与附带敏感字段</w:t>
            </w:r>
          </w:p>
        </w:tc>
      </w:tr>
    </w:tbl>
    <w:p>
      <w:pPr>
        <w:pStyle w:val="4"/>
        <w:spacing w:before="160" w:after="120" w:line="300" w:lineRule="auto"/>
      </w:pPr>
    </w:p>
    <w:p>
      <w:pPr>
        <w:spacing w:before="0" w:after="100" w:line="300" w:lineRule="auto"/>
        <w:ind w:firstLine="420"/>
      </w:pPr>
      <w:r>
        <w:rPr>
          <w:rFonts w:ascii="宋体" w:hAnsi="宋体" w:eastAsia="宋体"/>
          <w:b w:val="0"/>
          <w:sz w:val="21"/>
        </w:rPr>
        <w:t>劳动争议诉讼材料不仅包含个人信息。商业秘密、病历和鉴定原始材料、征信、国家秘密、工作秘密、司法/仲裁保密材料、合同保密义务、电子证据原始载体等对象具有不同的法律性质，不能全部塞进“敏感个人信息”标签中处理。为此项目另行建立15类其他敏感客体映射，固定记录客体、载体、法源、原文、规范内容、处理方式、规则性质、人工复核及触发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3621"/>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9" w:type="dxa"/>
            <w:vAlign w:val="center"/>
          </w:tcPr>
          <w:p>
            <w:pPr>
              <w:spacing w:after="20" w:line="300" w:lineRule="auto"/>
              <w:rPr>
                <w:sz w:val="21"/>
                <w:szCs w:val="21"/>
              </w:rPr>
            </w:pPr>
            <w:r>
              <w:rPr>
                <w:rFonts w:ascii="宋体" w:hAnsi="宋体" w:eastAsia="宋体"/>
                <w:b/>
                <w:color w:val="1F2937"/>
                <w:sz w:val="21"/>
                <w:szCs w:val="21"/>
              </w:rPr>
              <w:t>客体组</w:t>
            </w:r>
          </w:p>
        </w:tc>
        <w:tc>
          <w:tcPr>
            <w:tcW w:w="3621" w:type="dxa"/>
            <w:vAlign w:val="center"/>
          </w:tcPr>
          <w:p>
            <w:pPr>
              <w:spacing w:after="20" w:line="300" w:lineRule="auto"/>
              <w:rPr>
                <w:sz w:val="21"/>
                <w:szCs w:val="21"/>
              </w:rPr>
            </w:pPr>
            <w:r>
              <w:rPr>
                <w:rFonts w:ascii="宋体" w:hAnsi="宋体" w:eastAsia="宋体"/>
                <w:b/>
                <w:color w:val="1F2937"/>
                <w:sz w:val="21"/>
                <w:szCs w:val="21"/>
              </w:rPr>
              <w:t>典型内容</w:t>
            </w:r>
          </w:p>
        </w:tc>
        <w:tc>
          <w:tcPr>
            <w:tcW w:w="3230" w:type="dxa"/>
            <w:vAlign w:val="center"/>
          </w:tcPr>
          <w:p>
            <w:pPr>
              <w:spacing w:after="20" w:line="300" w:lineRule="auto"/>
              <w:rPr>
                <w:sz w:val="21"/>
                <w:szCs w:val="21"/>
              </w:rPr>
            </w:pPr>
            <w:r>
              <w:rPr>
                <w:rFonts w:ascii="宋体" w:hAnsi="宋体" w:eastAsia="宋体"/>
                <w:b/>
                <w:color w:val="1F2937"/>
                <w:sz w:val="21"/>
                <w:szCs w:val="21"/>
              </w:rPr>
              <w:t>处理逻辑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vAlign w:val="center"/>
          </w:tcPr>
          <w:p>
            <w:pPr>
              <w:spacing w:after="20" w:line="300" w:lineRule="auto"/>
              <w:rPr>
                <w:sz w:val="21"/>
                <w:szCs w:val="21"/>
              </w:rPr>
            </w:pPr>
            <w:r>
              <w:rPr>
                <w:rFonts w:ascii="宋体" w:hAnsi="宋体" w:eastAsia="宋体"/>
                <w:b w:val="0"/>
                <w:color w:val="1F2937"/>
                <w:sz w:val="21"/>
                <w:szCs w:val="21"/>
              </w:rPr>
              <w:t>商业秘密与企业保密信息</w:t>
            </w:r>
          </w:p>
        </w:tc>
        <w:tc>
          <w:tcPr>
            <w:tcW w:w="3621" w:type="dxa"/>
            <w:vAlign w:val="center"/>
          </w:tcPr>
          <w:p>
            <w:pPr>
              <w:spacing w:after="20" w:line="300" w:lineRule="auto"/>
              <w:rPr>
                <w:sz w:val="21"/>
                <w:szCs w:val="21"/>
              </w:rPr>
            </w:pPr>
            <w:r>
              <w:rPr>
                <w:rFonts w:ascii="宋体" w:hAnsi="宋体" w:eastAsia="宋体"/>
                <w:b w:val="0"/>
                <w:color w:val="1F2937"/>
                <w:sz w:val="21"/>
                <w:szCs w:val="21"/>
              </w:rPr>
              <w:t>技术信息、经营信息、商业秘密载体/保密措施、未公开财务经营资料、招投标及采购保密资料</w:t>
            </w:r>
          </w:p>
        </w:tc>
        <w:tc>
          <w:tcPr>
            <w:tcW w:w="3230" w:type="dxa"/>
            <w:vAlign w:val="center"/>
          </w:tcPr>
          <w:p>
            <w:pPr>
              <w:spacing w:after="20" w:line="300" w:lineRule="auto"/>
              <w:rPr>
                <w:sz w:val="21"/>
                <w:szCs w:val="21"/>
              </w:rPr>
            </w:pPr>
            <w:r>
              <w:rPr>
                <w:rFonts w:ascii="宋体" w:hAnsi="宋体" w:eastAsia="宋体"/>
                <w:b w:val="0"/>
                <w:color w:val="1F2937"/>
                <w:sz w:val="21"/>
                <w:szCs w:val="21"/>
              </w:rPr>
              <w:t>先判断商业秘密构成和保密义务，再判断第三方处理权限；能以概括事实替代原文的，不发送原始秘密资料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vAlign w:val="center"/>
          </w:tcPr>
          <w:p>
            <w:pPr>
              <w:spacing w:after="20" w:line="300" w:lineRule="auto"/>
              <w:rPr>
                <w:sz w:val="21"/>
                <w:szCs w:val="21"/>
              </w:rPr>
            </w:pPr>
            <w:r>
              <w:rPr>
                <w:rFonts w:ascii="宋体" w:hAnsi="宋体" w:eastAsia="宋体"/>
                <w:b w:val="0"/>
                <w:color w:val="1F2937"/>
                <w:sz w:val="21"/>
                <w:szCs w:val="21"/>
              </w:rPr>
              <w:t>医疗/鉴定特殊证据</w:t>
            </w:r>
          </w:p>
        </w:tc>
        <w:tc>
          <w:tcPr>
            <w:tcW w:w="3621" w:type="dxa"/>
            <w:vAlign w:val="center"/>
          </w:tcPr>
          <w:p>
            <w:pPr>
              <w:spacing w:after="20" w:line="300" w:lineRule="auto"/>
              <w:rPr>
                <w:sz w:val="21"/>
                <w:szCs w:val="21"/>
              </w:rPr>
            </w:pPr>
            <w:r>
              <w:rPr>
                <w:rFonts w:ascii="宋体" w:hAnsi="宋体" w:eastAsia="宋体"/>
                <w:b w:val="0"/>
                <w:color w:val="1F2937"/>
                <w:sz w:val="21"/>
                <w:szCs w:val="21"/>
              </w:rPr>
              <w:t>病历、病案、职业病/医疗鉴定原始材料</w:t>
            </w:r>
          </w:p>
        </w:tc>
        <w:tc>
          <w:tcPr>
            <w:tcW w:w="3230" w:type="dxa"/>
            <w:vAlign w:val="center"/>
          </w:tcPr>
          <w:p>
            <w:pPr>
              <w:spacing w:after="20" w:line="300" w:lineRule="auto"/>
              <w:rPr>
                <w:sz w:val="21"/>
                <w:szCs w:val="21"/>
              </w:rPr>
            </w:pPr>
            <w:r>
              <w:rPr>
                <w:rFonts w:ascii="宋体" w:hAnsi="宋体" w:eastAsia="宋体"/>
                <w:b w:val="0"/>
                <w:color w:val="1F2937"/>
                <w:sz w:val="21"/>
                <w:szCs w:val="21"/>
              </w:rPr>
              <w:t>优先保留结论和关键事实；完整病历、影像、检验底稿仅在确有必要且权限明确时处理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vAlign w:val="center"/>
          </w:tcPr>
          <w:p>
            <w:pPr>
              <w:spacing w:after="20" w:line="300" w:lineRule="auto"/>
              <w:rPr>
                <w:sz w:val="21"/>
                <w:szCs w:val="21"/>
              </w:rPr>
            </w:pPr>
            <w:r>
              <w:rPr>
                <w:rFonts w:ascii="宋体" w:hAnsi="宋体" w:eastAsia="宋体"/>
                <w:b w:val="0"/>
                <w:color w:val="1F2937"/>
                <w:sz w:val="21"/>
                <w:szCs w:val="21"/>
              </w:rPr>
              <w:t>征信与信用资料</w:t>
            </w:r>
          </w:p>
        </w:tc>
        <w:tc>
          <w:tcPr>
            <w:tcW w:w="3621" w:type="dxa"/>
            <w:vAlign w:val="center"/>
          </w:tcPr>
          <w:p>
            <w:pPr>
              <w:spacing w:after="20" w:line="300" w:lineRule="auto"/>
              <w:rPr>
                <w:sz w:val="21"/>
                <w:szCs w:val="21"/>
              </w:rPr>
            </w:pPr>
            <w:r>
              <w:rPr>
                <w:rFonts w:ascii="宋体" w:hAnsi="宋体" w:eastAsia="宋体"/>
                <w:b w:val="0"/>
                <w:color w:val="1F2937"/>
                <w:sz w:val="21"/>
                <w:szCs w:val="21"/>
              </w:rPr>
              <w:t>个人征信报告、企业信用报告</w:t>
            </w:r>
          </w:p>
        </w:tc>
        <w:tc>
          <w:tcPr>
            <w:tcW w:w="3230" w:type="dxa"/>
            <w:vAlign w:val="center"/>
          </w:tcPr>
          <w:p>
            <w:pPr>
              <w:spacing w:after="20" w:line="300" w:lineRule="auto"/>
              <w:rPr>
                <w:sz w:val="21"/>
                <w:szCs w:val="21"/>
              </w:rPr>
            </w:pPr>
            <w:r>
              <w:rPr>
                <w:rFonts w:ascii="宋体" w:hAnsi="宋体" w:eastAsia="宋体"/>
                <w:b w:val="0"/>
                <w:color w:val="1F2937"/>
                <w:sz w:val="21"/>
                <w:szCs w:val="21"/>
              </w:rPr>
              <w:t>非争议核心原则上删除；必要时仅保留直接相关结论或字段，核实来源与使用权限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vAlign w:val="center"/>
          </w:tcPr>
          <w:p>
            <w:pPr>
              <w:spacing w:after="20" w:line="300" w:lineRule="auto"/>
              <w:rPr>
                <w:sz w:val="21"/>
                <w:szCs w:val="21"/>
              </w:rPr>
            </w:pPr>
            <w:r>
              <w:rPr>
                <w:rFonts w:ascii="宋体" w:hAnsi="宋体" w:eastAsia="宋体"/>
                <w:b w:val="0"/>
                <w:color w:val="1F2937"/>
                <w:sz w:val="21"/>
                <w:szCs w:val="21"/>
              </w:rPr>
              <w:t>秘密与机关材料</w:t>
            </w:r>
          </w:p>
        </w:tc>
        <w:tc>
          <w:tcPr>
            <w:tcW w:w="3621" w:type="dxa"/>
            <w:vAlign w:val="center"/>
          </w:tcPr>
          <w:p>
            <w:pPr>
              <w:spacing w:after="20" w:line="300" w:lineRule="auto"/>
              <w:rPr>
                <w:sz w:val="21"/>
                <w:szCs w:val="21"/>
              </w:rPr>
            </w:pPr>
            <w:r>
              <w:rPr>
                <w:rFonts w:ascii="宋体" w:hAnsi="宋体" w:eastAsia="宋体"/>
                <w:b w:val="0"/>
                <w:color w:val="1F2937"/>
                <w:sz w:val="21"/>
                <w:szCs w:val="21"/>
              </w:rPr>
              <w:t>国家秘密、工作秘密及机关内部敏感材料</w:t>
            </w:r>
          </w:p>
        </w:tc>
        <w:tc>
          <w:tcPr>
            <w:tcW w:w="3230" w:type="dxa"/>
            <w:vAlign w:val="center"/>
          </w:tcPr>
          <w:p>
            <w:pPr>
              <w:spacing w:after="20" w:line="300" w:lineRule="auto"/>
              <w:rPr>
                <w:sz w:val="21"/>
                <w:szCs w:val="21"/>
              </w:rPr>
            </w:pPr>
            <w:r>
              <w:rPr>
                <w:rFonts w:ascii="宋体" w:hAnsi="宋体" w:eastAsia="宋体"/>
                <w:b w:val="0"/>
                <w:color w:val="1F2937"/>
                <w:sz w:val="21"/>
                <w:szCs w:val="21"/>
              </w:rPr>
              <w:t>国家秘密满足条件时硬性阻断；工作秘密按来源单位制度和对外流转限制判断，不与国家秘密混同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vAlign w:val="center"/>
          </w:tcPr>
          <w:p>
            <w:pPr>
              <w:spacing w:after="20" w:line="300" w:lineRule="auto"/>
              <w:rPr>
                <w:sz w:val="21"/>
                <w:szCs w:val="21"/>
              </w:rPr>
            </w:pPr>
            <w:r>
              <w:rPr>
                <w:rFonts w:ascii="宋体" w:hAnsi="宋体" w:eastAsia="宋体"/>
                <w:b w:val="0"/>
                <w:color w:val="1F2937"/>
                <w:sz w:val="21"/>
                <w:szCs w:val="21"/>
              </w:rPr>
              <w:t>诉讼程序与合同保密</w:t>
            </w:r>
          </w:p>
        </w:tc>
        <w:tc>
          <w:tcPr>
            <w:tcW w:w="3621" w:type="dxa"/>
            <w:vAlign w:val="center"/>
          </w:tcPr>
          <w:p>
            <w:pPr>
              <w:spacing w:after="20" w:line="300" w:lineRule="auto"/>
              <w:rPr>
                <w:sz w:val="21"/>
                <w:szCs w:val="21"/>
              </w:rPr>
            </w:pPr>
            <w:r>
              <w:rPr>
                <w:rFonts w:ascii="宋体" w:hAnsi="宋体" w:eastAsia="宋体"/>
                <w:b w:val="0"/>
                <w:color w:val="1F2937"/>
                <w:sz w:val="21"/>
                <w:szCs w:val="21"/>
              </w:rPr>
              <w:t>法院/仲裁保密材料、第三方NDA及合同保密条款</w:t>
            </w:r>
          </w:p>
        </w:tc>
        <w:tc>
          <w:tcPr>
            <w:tcW w:w="3230" w:type="dxa"/>
            <w:vAlign w:val="center"/>
          </w:tcPr>
          <w:p>
            <w:pPr>
              <w:spacing w:after="20" w:line="300" w:lineRule="auto"/>
              <w:rPr>
                <w:sz w:val="21"/>
                <w:szCs w:val="21"/>
              </w:rPr>
            </w:pPr>
            <w:r>
              <w:rPr>
                <w:rFonts w:ascii="宋体" w:hAnsi="宋体" w:eastAsia="宋体"/>
                <w:b w:val="0"/>
                <w:color w:val="1F2937"/>
                <w:sz w:val="21"/>
                <w:szCs w:val="21"/>
              </w:rPr>
              <w:t>核对具体保密措施、允许接触主体、委托/转委托和第三方披露边界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9" w:type="dxa"/>
            <w:vAlign w:val="center"/>
          </w:tcPr>
          <w:p>
            <w:pPr>
              <w:spacing w:after="20" w:line="300" w:lineRule="auto"/>
              <w:rPr>
                <w:sz w:val="21"/>
                <w:szCs w:val="21"/>
              </w:rPr>
            </w:pPr>
            <w:r>
              <w:rPr>
                <w:rFonts w:ascii="宋体" w:hAnsi="宋体" w:eastAsia="宋体"/>
                <w:b w:val="0"/>
                <w:color w:val="1F2937"/>
                <w:sz w:val="21"/>
                <w:szCs w:val="21"/>
              </w:rPr>
              <w:t>电子证据与内部调查</w:t>
            </w:r>
          </w:p>
        </w:tc>
        <w:tc>
          <w:tcPr>
            <w:tcW w:w="3621" w:type="dxa"/>
            <w:vAlign w:val="center"/>
          </w:tcPr>
          <w:p>
            <w:pPr>
              <w:spacing w:after="20" w:line="300" w:lineRule="auto"/>
              <w:rPr>
                <w:sz w:val="21"/>
                <w:szCs w:val="21"/>
              </w:rPr>
            </w:pPr>
            <w:r>
              <w:rPr>
                <w:rFonts w:ascii="宋体" w:hAnsi="宋体" w:eastAsia="宋体"/>
                <w:b w:val="0"/>
                <w:color w:val="1F2937"/>
                <w:sz w:val="21"/>
                <w:szCs w:val="21"/>
              </w:rPr>
              <w:t>电子数据原始载体/取证镜像、未公开调查审计及内部合规材料</w:t>
            </w:r>
          </w:p>
        </w:tc>
        <w:tc>
          <w:tcPr>
            <w:tcW w:w="3230" w:type="dxa"/>
            <w:vAlign w:val="center"/>
          </w:tcPr>
          <w:p>
            <w:pPr>
              <w:spacing w:after="20" w:line="300" w:lineRule="auto"/>
              <w:rPr>
                <w:sz w:val="21"/>
                <w:szCs w:val="21"/>
              </w:rPr>
            </w:pPr>
            <w:r>
              <w:rPr>
                <w:rFonts w:ascii="宋体" w:hAnsi="宋体" w:eastAsia="宋体"/>
                <w:b w:val="0"/>
                <w:color w:val="1F2937"/>
                <w:sz w:val="21"/>
                <w:szCs w:val="21"/>
              </w:rPr>
              <w:t>外部AI通常只需要可读副本/争议相关片段，不需要接触完整原始镜像或全部调查底稿</w:t>
            </w:r>
          </w:p>
        </w:tc>
      </w:tr>
    </w:tbl>
    <w:p>
      <w:pPr>
        <w:pStyle w:val="4"/>
        <w:spacing w:before="160" w:after="120" w:line="300" w:lineRule="auto"/>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5"/>
        <w:gridCol w:w="3925"/>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35" w:type="dxa"/>
            <w:vAlign w:val="center"/>
          </w:tcPr>
          <w:p>
            <w:pPr>
              <w:spacing w:after="20" w:line="300" w:lineRule="auto"/>
              <w:rPr>
                <w:sz w:val="21"/>
                <w:szCs w:val="21"/>
              </w:rPr>
            </w:pPr>
            <w:r>
              <w:rPr>
                <w:rFonts w:ascii="宋体" w:hAnsi="宋体" w:eastAsia="宋体"/>
                <w:b/>
                <w:color w:val="1F2937"/>
                <w:sz w:val="21"/>
                <w:szCs w:val="21"/>
              </w:rPr>
              <w:t>标准</w:t>
            </w:r>
          </w:p>
        </w:tc>
        <w:tc>
          <w:tcPr>
            <w:tcW w:w="3925" w:type="dxa"/>
            <w:vAlign w:val="center"/>
          </w:tcPr>
          <w:p>
            <w:pPr>
              <w:spacing w:after="20" w:line="300" w:lineRule="auto"/>
              <w:rPr>
                <w:sz w:val="21"/>
                <w:szCs w:val="21"/>
              </w:rPr>
            </w:pPr>
            <w:r>
              <w:rPr>
                <w:rFonts w:ascii="宋体" w:hAnsi="宋体" w:eastAsia="宋体"/>
                <w:b/>
                <w:color w:val="1F2937"/>
                <w:sz w:val="21"/>
                <w:szCs w:val="21"/>
              </w:rPr>
              <w:t>定位</w:t>
            </w:r>
          </w:p>
        </w:tc>
        <w:tc>
          <w:tcPr>
            <w:tcW w:w="3230" w:type="dxa"/>
            <w:vAlign w:val="center"/>
          </w:tcPr>
          <w:p>
            <w:pPr>
              <w:spacing w:after="20" w:line="300" w:lineRule="auto"/>
              <w:rPr>
                <w:sz w:val="21"/>
                <w:szCs w:val="21"/>
              </w:rPr>
            </w:pPr>
            <w:r>
              <w:rPr>
                <w:rFonts w:ascii="宋体" w:hAnsi="宋体" w:eastAsia="宋体"/>
                <w:b/>
                <w:color w:val="1F2937"/>
                <w:sz w:val="21"/>
                <w:szCs w:val="21"/>
              </w:rPr>
              <w:t>在项目中的使用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5" w:type="dxa"/>
            <w:vAlign w:val="center"/>
          </w:tcPr>
          <w:p>
            <w:pPr>
              <w:spacing w:after="20" w:line="300" w:lineRule="auto"/>
              <w:rPr>
                <w:sz w:val="21"/>
                <w:szCs w:val="21"/>
              </w:rPr>
            </w:pPr>
            <w:r>
              <w:rPr>
                <w:rFonts w:ascii="宋体" w:hAnsi="宋体" w:eastAsia="宋体"/>
                <w:b w:val="0"/>
                <w:color w:val="1F2937"/>
                <w:sz w:val="21"/>
                <w:szCs w:val="21"/>
              </w:rPr>
              <w:t>GB/T 37964</w:t>
            </w:r>
            <w:r>
              <w:rPr>
                <w:rFonts w:hint="eastAsia"/>
                <w:b w:val="0"/>
                <w:color w:val="1F2937"/>
                <w:sz w:val="21"/>
                <w:szCs w:val="21"/>
                <w:lang w:eastAsia="zh-CN"/>
              </w:rPr>
              <w:t>-</w:t>
            </w:r>
            <w:r>
              <w:rPr>
                <w:rFonts w:ascii="宋体" w:hAnsi="宋体" w:eastAsia="宋体"/>
                <w:b w:val="0"/>
                <w:color w:val="1F2937"/>
                <w:sz w:val="21"/>
                <w:szCs w:val="21"/>
              </w:rPr>
              <w:t>2019</w:t>
            </w:r>
          </w:p>
        </w:tc>
        <w:tc>
          <w:tcPr>
            <w:tcW w:w="3925" w:type="dxa"/>
            <w:vAlign w:val="center"/>
          </w:tcPr>
          <w:p>
            <w:pPr>
              <w:spacing w:after="20" w:line="300" w:lineRule="auto"/>
              <w:rPr>
                <w:sz w:val="21"/>
                <w:szCs w:val="21"/>
              </w:rPr>
            </w:pPr>
            <w:r>
              <w:rPr>
                <w:rFonts w:ascii="宋体" w:hAnsi="宋体" w:eastAsia="宋体"/>
                <w:b w:val="0"/>
                <w:color w:val="1F2937"/>
                <w:sz w:val="21"/>
                <w:szCs w:val="21"/>
              </w:rPr>
              <w:t>个人信息去标识化指南</w:t>
            </w:r>
          </w:p>
        </w:tc>
        <w:tc>
          <w:tcPr>
            <w:tcW w:w="3230" w:type="dxa"/>
            <w:vAlign w:val="center"/>
          </w:tcPr>
          <w:p>
            <w:pPr>
              <w:spacing w:after="20" w:line="300" w:lineRule="auto"/>
              <w:rPr>
                <w:sz w:val="21"/>
                <w:szCs w:val="21"/>
              </w:rPr>
            </w:pPr>
            <w:r>
              <w:rPr>
                <w:rFonts w:ascii="宋体" w:hAnsi="宋体" w:eastAsia="宋体"/>
                <w:b w:val="0"/>
                <w:color w:val="1F2937"/>
                <w:sz w:val="21"/>
                <w:szCs w:val="21"/>
              </w:rPr>
              <w:t>区分直接标识符与准标识符；强调删除/变换后仍需评估重识别风险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5" w:type="dxa"/>
            <w:vAlign w:val="center"/>
          </w:tcPr>
          <w:p>
            <w:pPr>
              <w:spacing w:after="20" w:line="300" w:lineRule="auto"/>
              <w:rPr>
                <w:sz w:val="21"/>
                <w:szCs w:val="21"/>
              </w:rPr>
            </w:pPr>
            <w:r>
              <w:rPr>
                <w:rFonts w:ascii="宋体" w:hAnsi="宋体" w:eastAsia="宋体"/>
                <w:b w:val="0"/>
                <w:color w:val="1F2937"/>
                <w:sz w:val="21"/>
                <w:szCs w:val="21"/>
              </w:rPr>
              <w:t>GB/T 42460</w:t>
            </w:r>
            <w:r>
              <w:rPr>
                <w:rFonts w:hint="eastAsia"/>
                <w:b w:val="0"/>
                <w:color w:val="1F2937"/>
                <w:sz w:val="21"/>
                <w:szCs w:val="21"/>
                <w:lang w:eastAsia="zh-CN"/>
              </w:rPr>
              <w:t>-</w:t>
            </w:r>
            <w:r>
              <w:rPr>
                <w:rFonts w:ascii="宋体" w:hAnsi="宋体" w:eastAsia="宋体"/>
                <w:b w:val="0"/>
                <w:color w:val="1F2937"/>
                <w:sz w:val="21"/>
                <w:szCs w:val="21"/>
              </w:rPr>
              <w:t>2023</w:t>
            </w:r>
          </w:p>
        </w:tc>
        <w:tc>
          <w:tcPr>
            <w:tcW w:w="3925" w:type="dxa"/>
            <w:vAlign w:val="center"/>
          </w:tcPr>
          <w:p>
            <w:pPr>
              <w:spacing w:after="20" w:line="300" w:lineRule="auto"/>
              <w:rPr>
                <w:sz w:val="21"/>
                <w:szCs w:val="21"/>
              </w:rPr>
            </w:pPr>
            <w:r>
              <w:rPr>
                <w:rFonts w:ascii="宋体" w:hAnsi="宋体" w:eastAsia="宋体"/>
                <w:b w:val="0"/>
                <w:color w:val="1F2937"/>
                <w:sz w:val="21"/>
                <w:szCs w:val="21"/>
              </w:rPr>
              <w:t>个人信息去标识化效果评估指南</w:t>
            </w:r>
          </w:p>
        </w:tc>
        <w:tc>
          <w:tcPr>
            <w:tcW w:w="3230" w:type="dxa"/>
            <w:vAlign w:val="center"/>
          </w:tcPr>
          <w:p>
            <w:pPr>
              <w:spacing w:after="20" w:line="300" w:lineRule="auto"/>
              <w:rPr>
                <w:sz w:val="21"/>
                <w:szCs w:val="21"/>
              </w:rPr>
            </w:pPr>
            <w:r>
              <w:rPr>
                <w:rFonts w:ascii="宋体" w:hAnsi="宋体" w:eastAsia="宋体"/>
                <w:b w:val="0"/>
                <w:color w:val="1F2937"/>
                <w:sz w:val="21"/>
                <w:szCs w:val="21"/>
              </w:rPr>
              <w:t>提供标识度分级、定性/定量重识别风险评估方法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5" w:type="dxa"/>
            <w:vAlign w:val="center"/>
          </w:tcPr>
          <w:p>
            <w:pPr>
              <w:spacing w:after="20" w:line="300" w:lineRule="auto"/>
              <w:rPr>
                <w:sz w:val="21"/>
                <w:szCs w:val="21"/>
              </w:rPr>
            </w:pPr>
            <w:r>
              <w:rPr>
                <w:rFonts w:ascii="宋体" w:hAnsi="宋体" w:eastAsia="宋体"/>
                <w:b w:val="0"/>
                <w:color w:val="1F2937"/>
                <w:sz w:val="21"/>
                <w:szCs w:val="21"/>
              </w:rPr>
              <w:t>GB/T 45574</w:t>
            </w:r>
            <w:r>
              <w:rPr>
                <w:rFonts w:hint="eastAsia"/>
                <w:b w:val="0"/>
                <w:color w:val="1F2937"/>
                <w:sz w:val="21"/>
                <w:szCs w:val="21"/>
                <w:lang w:eastAsia="zh-CN"/>
              </w:rPr>
              <w:t>-</w:t>
            </w:r>
            <w:r>
              <w:rPr>
                <w:rFonts w:ascii="宋体" w:hAnsi="宋体" w:eastAsia="宋体"/>
                <w:b w:val="0"/>
                <w:color w:val="1F2937"/>
                <w:sz w:val="21"/>
                <w:szCs w:val="21"/>
              </w:rPr>
              <w:t>2025</w:t>
            </w:r>
          </w:p>
        </w:tc>
        <w:tc>
          <w:tcPr>
            <w:tcW w:w="3925" w:type="dxa"/>
            <w:vAlign w:val="center"/>
          </w:tcPr>
          <w:p>
            <w:pPr>
              <w:spacing w:after="20" w:line="300" w:lineRule="auto"/>
              <w:rPr>
                <w:sz w:val="21"/>
                <w:szCs w:val="21"/>
              </w:rPr>
            </w:pPr>
            <w:r>
              <w:rPr>
                <w:rFonts w:ascii="宋体" w:hAnsi="宋体" w:eastAsia="宋体"/>
                <w:b w:val="0"/>
                <w:color w:val="1F2937"/>
                <w:sz w:val="21"/>
                <w:szCs w:val="21"/>
              </w:rPr>
              <w:t>敏感个人信息处理安全要求</w:t>
            </w:r>
          </w:p>
        </w:tc>
        <w:tc>
          <w:tcPr>
            <w:tcW w:w="3230" w:type="dxa"/>
            <w:vAlign w:val="center"/>
          </w:tcPr>
          <w:p>
            <w:pPr>
              <w:spacing w:after="20" w:line="300" w:lineRule="auto"/>
              <w:rPr>
                <w:sz w:val="21"/>
                <w:szCs w:val="21"/>
              </w:rPr>
            </w:pPr>
            <w:r>
              <w:rPr>
                <w:rFonts w:ascii="宋体" w:hAnsi="宋体" w:eastAsia="宋体"/>
                <w:b w:val="0"/>
                <w:color w:val="1F2937"/>
                <w:sz w:val="21"/>
                <w:szCs w:val="21"/>
              </w:rPr>
              <w:t>对医疗健康、金融账户、行踪轨迹、不满14周岁未成年人等提出更细化的安全控制参考</w:t>
            </w:r>
          </w:p>
        </w:tc>
      </w:tr>
    </w:tbl>
    <w:p>
      <w:pPr>
        <w:spacing w:after="40" w:line="300" w:lineRule="auto"/>
      </w:pPr>
    </w:p>
    <w:p>
      <w:pPr>
        <w:spacing w:before="0" w:after="100" w:line="300" w:lineRule="auto"/>
        <w:ind w:firstLine="420"/>
      </w:pPr>
      <w:r>
        <w:rPr>
          <w:rFonts w:ascii="宋体" w:hAnsi="宋体" w:eastAsia="宋体"/>
          <w:b w:val="0"/>
          <w:sz w:val="21"/>
        </w:rPr>
        <w:t>推荐性国家标准在本系统中只作为业务/技术参考，用于指导怎么脱敏、如何评估脱敏效果、如何保护敏感信息，不作为独立的法律禁止依据。系统界面和规则记录均应保留这一性质区分。</w:t>
      </w:r>
    </w:p>
    <w:p>
      <w:pPr>
        <w:spacing w:before="0" w:after="100" w:line="300" w:lineRule="auto"/>
        <w:ind w:firstLine="420"/>
      </w:pPr>
      <w:r>
        <w:rPr>
          <w:rFonts w:ascii="宋体" w:hAnsi="宋体" w:eastAsia="宋体"/>
          <w:b w:val="0"/>
          <w:sz w:val="21"/>
        </w:rPr>
        <w:t>考虑项目团队和应用场景的北京法治环境，法源目录专门补充与个人信息、数据安全、劳动用工、公共卫生、未成年人、商业秘密和保密工作直接相关的北京地方规范，并严格限制其主体和场景适用范围。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19"/>
        <w:gridCol w:w="5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19" w:type="dxa"/>
            <w:vAlign w:val="center"/>
          </w:tcPr>
          <w:p>
            <w:pPr>
              <w:spacing w:after="20" w:line="300" w:lineRule="auto"/>
              <w:rPr>
                <w:sz w:val="21"/>
                <w:szCs w:val="21"/>
              </w:rPr>
            </w:pPr>
            <w:r>
              <w:rPr>
                <w:rFonts w:ascii="宋体" w:hAnsi="宋体" w:eastAsia="宋体"/>
                <w:b/>
                <w:color w:val="1F2937"/>
                <w:sz w:val="21"/>
                <w:szCs w:val="21"/>
              </w:rPr>
              <w:t>北京规则</w:t>
            </w:r>
          </w:p>
        </w:tc>
        <w:tc>
          <w:tcPr>
            <w:tcW w:w="5669" w:type="dxa"/>
            <w:vAlign w:val="center"/>
          </w:tcPr>
          <w:p>
            <w:pPr>
              <w:spacing w:after="20" w:line="300" w:lineRule="auto"/>
              <w:rPr>
                <w:sz w:val="21"/>
                <w:szCs w:val="21"/>
              </w:rPr>
            </w:pPr>
            <w:r>
              <w:rPr>
                <w:rFonts w:ascii="宋体" w:hAnsi="宋体" w:eastAsia="宋体"/>
                <w:b/>
                <w:color w:val="1F2937"/>
                <w:sz w:val="21"/>
                <w:szCs w:val="21"/>
              </w:rPr>
              <w:t>系统关注点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9" w:type="dxa"/>
            <w:vAlign w:val="center"/>
          </w:tcPr>
          <w:p>
            <w:pPr>
              <w:spacing w:after="20" w:line="300" w:lineRule="auto"/>
              <w:rPr>
                <w:sz w:val="21"/>
                <w:szCs w:val="21"/>
              </w:rPr>
            </w:pPr>
            <w:r>
              <w:rPr>
                <w:rFonts w:ascii="宋体" w:hAnsi="宋体" w:eastAsia="宋体"/>
                <w:b w:val="0"/>
                <w:color w:val="1F2937"/>
                <w:sz w:val="21"/>
                <w:szCs w:val="21"/>
              </w:rPr>
              <w:t>《北京市数字经济促进条例》</w:t>
            </w:r>
          </w:p>
        </w:tc>
        <w:tc>
          <w:tcPr>
            <w:tcW w:w="5669" w:type="dxa"/>
            <w:vAlign w:val="center"/>
          </w:tcPr>
          <w:p>
            <w:pPr>
              <w:spacing w:after="20" w:line="300" w:lineRule="auto"/>
              <w:rPr>
                <w:sz w:val="21"/>
                <w:szCs w:val="21"/>
              </w:rPr>
            </w:pPr>
            <w:r>
              <w:rPr>
                <w:rFonts w:ascii="宋体" w:hAnsi="宋体" w:eastAsia="宋体"/>
                <w:b w:val="0"/>
                <w:color w:val="1F2937"/>
                <w:sz w:val="21"/>
                <w:szCs w:val="21"/>
              </w:rPr>
              <w:t>合法数据处理、个人信息合法使用、匿名化/去标识化场景化安全评估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9" w:type="dxa"/>
            <w:vAlign w:val="center"/>
          </w:tcPr>
          <w:p>
            <w:pPr>
              <w:spacing w:after="20" w:line="300" w:lineRule="auto"/>
              <w:rPr>
                <w:sz w:val="21"/>
                <w:szCs w:val="21"/>
              </w:rPr>
            </w:pPr>
            <w:r>
              <w:rPr>
                <w:rFonts w:ascii="宋体" w:hAnsi="宋体" w:eastAsia="宋体"/>
                <w:b w:val="0"/>
                <w:color w:val="1F2937"/>
                <w:sz w:val="21"/>
                <w:szCs w:val="21"/>
              </w:rPr>
              <w:t>《北京市促进人力资源市场发展办法》</w:t>
            </w:r>
          </w:p>
        </w:tc>
        <w:tc>
          <w:tcPr>
            <w:tcW w:w="5669" w:type="dxa"/>
            <w:vAlign w:val="center"/>
          </w:tcPr>
          <w:p>
            <w:pPr>
              <w:spacing w:after="20" w:line="300" w:lineRule="auto"/>
              <w:rPr>
                <w:sz w:val="21"/>
                <w:szCs w:val="21"/>
              </w:rPr>
            </w:pPr>
            <w:r>
              <w:rPr>
                <w:rFonts w:ascii="宋体" w:hAnsi="宋体" w:eastAsia="宋体"/>
                <w:b w:val="0"/>
                <w:color w:val="1F2937"/>
                <w:sz w:val="21"/>
                <w:szCs w:val="21"/>
              </w:rPr>
              <w:t>招聘/求职者个人信息处理及用人单位、人力资源服务机构义务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9" w:type="dxa"/>
            <w:vAlign w:val="center"/>
          </w:tcPr>
          <w:p>
            <w:pPr>
              <w:spacing w:after="20" w:line="300" w:lineRule="auto"/>
              <w:rPr>
                <w:sz w:val="21"/>
                <w:szCs w:val="21"/>
              </w:rPr>
            </w:pPr>
            <w:r>
              <w:rPr>
                <w:rFonts w:ascii="宋体" w:hAnsi="宋体" w:eastAsia="宋体"/>
                <w:b w:val="0"/>
                <w:color w:val="1F2937"/>
                <w:sz w:val="21"/>
                <w:szCs w:val="21"/>
              </w:rPr>
              <w:t>《北京市突发公共卫生事件应急条例》</w:t>
            </w:r>
          </w:p>
        </w:tc>
        <w:tc>
          <w:tcPr>
            <w:tcW w:w="5669" w:type="dxa"/>
            <w:vAlign w:val="center"/>
          </w:tcPr>
          <w:p>
            <w:pPr>
              <w:spacing w:after="20" w:line="300" w:lineRule="auto"/>
              <w:rPr>
                <w:sz w:val="21"/>
                <w:szCs w:val="21"/>
              </w:rPr>
            </w:pPr>
            <w:r>
              <w:rPr>
                <w:rFonts w:ascii="宋体" w:hAnsi="宋体" w:eastAsia="宋体"/>
                <w:b w:val="0"/>
                <w:color w:val="1F2937"/>
                <w:sz w:val="21"/>
                <w:szCs w:val="21"/>
              </w:rPr>
              <w:t>应急工作中获取的个人信息防泄露、防滥用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9" w:type="dxa"/>
            <w:vAlign w:val="center"/>
          </w:tcPr>
          <w:p>
            <w:pPr>
              <w:spacing w:after="20" w:line="300" w:lineRule="auto"/>
              <w:rPr>
                <w:sz w:val="21"/>
                <w:szCs w:val="21"/>
              </w:rPr>
            </w:pPr>
            <w:r>
              <w:rPr>
                <w:rFonts w:ascii="宋体" w:hAnsi="宋体" w:eastAsia="宋体"/>
                <w:b w:val="0"/>
                <w:color w:val="1F2937"/>
                <w:sz w:val="21"/>
                <w:szCs w:val="21"/>
              </w:rPr>
              <w:t>《北京市精神卫生条例》</w:t>
            </w:r>
          </w:p>
        </w:tc>
        <w:tc>
          <w:tcPr>
            <w:tcW w:w="5669" w:type="dxa"/>
            <w:vAlign w:val="center"/>
          </w:tcPr>
          <w:p>
            <w:pPr>
              <w:spacing w:after="20" w:line="300" w:lineRule="auto"/>
              <w:rPr>
                <w:sz w:val="21"/>
                <w:szCs w:val="21"/>
              </w:rPr>
            </w:pPr>
            <w:r>
              <w:rPr>
                <w:rFonts w:ascii="宋体" w:hAnsi="宋体" w:eastAsia="宋体"/>
                <w:b w:val="0"/>
                <w:color w:val="1F2937"/>
                <w:sz w:val="21"/>
                <w:szCs w:val="21"/>
              </w:rPr>
              <w:t>精神疾病患者隐私、视听资料和可识别病情资料特别保护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9" w:type="dxa"/>
            <w:vAlign w:val="center"/>
          </w:tcPr>
          <w:p>
            <w:pPr>
              <w:spacing w:after="20" w:line="300" w:lineRule="auto"/>
              <w:rPr>
                <w:sz w:val="21"/>
                <w:szCs w:val="21"/>
              </w:rPr>
            </w:pPr>
            <w:r>
              <w:rPr>
                <w:rFonts w:ascii="宋体" w:hAnsi="宋体" w:eastAsia="宋体"/>
                <w:b w:val="0"/>
                <w:color w:val="1F2937"/>
                <w:sz w:val="21"/>
                <w:szCs w:val="21"/>
              </w:rPr>
              <w:t>《北京市未成年人保护条例》</w:t>
            </w:r>
          </w:p>
        </w:tc>
        <w:tc>
          <w:tcPr>
            <w:tcW w:w="5669" w:type="dxa"/>
            <w:vAlign w:val="center"/>
          </w:tcPr>
          <w:p>
            <w:pPr>
              <w:spacing w:after="20" w:line="300" w:lineRule="auto"/>
              <w:rPr>
                <w:sz w:val="21"/>
                <w:szCs w:val="21"/>
              </w:rPr>
            </w:pPr>
            <w:r>
              <w:rPr>
                <w:rFonts w:ascii="宋体" w:hAnsi="宋体" w:eastAsia="宋体"/>
                <w:b w:val="0"/>
                <w:color w:val="1F2937"/>
                <w:sz w:val="21"/>
                <w:szCs w:val="21"/>
              </w:rPr>
              <w:t>未成年人隐私权和个人信息的特殊、优先保护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9" w:type="dxa"/>
            <w:vAlign w:val="center"/>
          </w:tcPr>
          <w:p>
            <w:pPr>
              <w:spacing w:after="20" w:line="300" w:lineRule="auto"/>
              <w:rPr>
                <w:sz w:val="21"/>
                <w:szCs w:val="21"/>
              </w:rPr>
            </w:pPr>
            <w:r>
              <w:rPr>
                <w:rFonts w:ascii="宋体" w:hAnsi="宋体" w:eastAsia="宋体"/>
                <w:b w:val="0"/>
                <w:color w:val="1F2937"/>
                <w:sz w:val="21"/>
                <w:szCs w:val="21"/>
              </w:rPr>
              <w:t>《北京市保守国家秘密条例》</w:t>
            </w:r>
          </w:p>
        </w:tc>
        <w:tc>
          <w:tcPr>
            <w:tcW w:w="5669" w:type="dxa"/>
            <w:vAlign w:val="center"/>
          </w:tcPr>
          <w:p>
            <w:pPr>
              <w:spacing w:after="20" w:line="300" w:lineRule="auto"/>
              <w:rPr>
                <w:sz w:val="21"/>
                <w:szCs w:val="21"/>
              </w:rPr>
            </w:pPr>
            <w:r>
              <w:rPr>
                <w:rFonts w:ascii="宋体" w:hAnsi="宋体" w:eastAsia="宋体"/>
                <w:b w:val="0"/>
                <w:color w:val="1F2937"/>
                <w:sz w:val="21"/>
                <w:szCs w:val="21"/>
              </w:rPr>
              <w:t>定密边界、非涉密设备和公共网络限制、工作秘密保护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9" w:type="dxa"/>
            <w:vAlign w:val="center"/>
          </w:tcPr>
          <w:p>
            <w:pPr>
              <w:spacing w:after="20" w:line="300" w:lineRule="auto"/>
              <w:rPr>
                <w:sz w:val="21"/>
                <w:szCs w:val="21"/>
              </w:rPr>
            </w:pPr>
            <w:r>
              <w:rPr>
                <w:rFonts w:ascii="宋体" w:hAnsi="宋体" w:eastAsia="宋体"/>
                <w:b w:val="0"/>
                <w:color w:val="1F2937"/>
                <w:sz w:val="21"/>
                <w:szCs w:val="21"/>
              </w:rPr>
              <w:t>《北京市知识产权保护条例》</w:t>
            </w:r>
          </w:p>
        </w:tc>
        <w:tc>
          <w:tcPr>
            <w:tcW w:w="5669" w:type="dxa"/>
            <w:vAlign w:val="center"/>
          </w:tcPr>
          <w:p>
            <w:pPr>
              <w:spacing w:after="20" w:line="300" w:lineRule="auto"/>
              <w:rPr>
                <w:sz w:val="21"/>
                <w:szCs w:val="21"/>
              </w:rPr>
            </w:pPr>
            <w:r>
              <w:rPr>
                <w:rFonts w:ascii="宋体" w:hAnsi="宋体" w:eastAsia="宋体"/>
                <w:b w:val="0"/>
                <w:color w:val="1F2937"/>
                <w:sz w:val="21"/>
                <w:szCs w:val="21"/>
              </w:rPr>
              <w:t>特定主体履职过程中知悉商业秘密的保密义务</w:t>
            </w:r>
          </w:p>
        </w:tc>
      </w:tr>
    </w:tbl>
    <w:p>
      <w:pPr>
        <w:pStyle w:val="4"/>
        <w:spacing w:before="160" w:after="120" w:line="300" w:lineRule="auto"/>
      </w:pPr>
    </w:p>
    <w:p>
      <w:pPr>
        <w:spacing w:after="80" w:line="300" w:lineRule="auto"/>
        <w:ind w:left="454" w:hanging="312"/>
        <w:rPr>
          <w:color w:val="auto"/>
        </w:rPr>
      </w:pPr>
      <w:r>
        <w:rPr>
          <w:rFonts w:ascii="宋体" w:hAnsi="宋体" w:eastAsia="宋体"/>
          <w:b/>
          <w:color w:val="auto"/>
          <w:sz w:val="21"/>
        </w:rPr>
        <w:t xml:space="preserve">1. </w:t>
      </w:r>
      <w:r>
        <w:rPr>
          <w:rFonts w:ascii="宋体" w:hAnsi="宋体" w:eastAsia="宋体"/>
          <w:b w:val="0"/>
          <w:color w:val="auto"/>
          <w:sz w:val="21"/>
        </w:rPr>
        <w:t>原文与解释分离：原文摘录不由模型改写；项目解释和处理建议另列字段。</w:t>
      </w:r>
    </w:p>
    <w:p>
      <w:pPr>
        <w:spacing w:after="80" w:line="300" w:lineRule="auto"/>
        <w:ind w:left="454" w:hanging="312"/>
        <w:rPr>
          <w:color w:val="auto"/>
        </w:rPr>
      </w:pPr>
      <w:r>
        <w:rPr>
          <w:rFonts w:ascii="宋体" w:hAnsi="宋体" w:eastAsia="宋体"/>
          <w:b/>
          <w:color w:val="auto"/>
          <w:sz w:val="21"/>
        </w:rPr>
        <w:t xml:space="preserve">2. </w:t>
      </w:r>
      <w:r>
        <w:rPr>
          <w:rFonts w:ascii="宋体" w:hAnsi="宋体" w:eastAsia="宋体"/>
          <w:b w:val="0"/>
          <w:color w:val="auto"/>
          <w:sz w:val="21"/>
        </w:rPr>
        <w:t>规则性质分离：法律强制、推荐性标准、项目保守控制分别标识。</w:t>
      </w:r>
    </w:p>
    <w:p>
      <w:pPr>
        <w:spacing w:after="80" w:line="300" w:lineRule="auto"/>
        <w:ind w:left="454" w:hanging="312"/>
        <w:rPr>
          <w:color w:val="auto"/>
        </w:rPr>
      </w:pPr>
      <w:r>
        <w:rPr>
          <w:rFonts w:ascii="宋体" w:hAnsi="宋体" w:eastAsia="宋体"/>
          <w:b/>
          <w:color w:val="auto"/>
          <w:sz w:val="21"/>
        </w:rPr>
        <w:t xml:space="preserve">3. </w:t>
      </w:r>
      <w:r>
        <w:rPr>
          <w:rFonts w:ascii="宋体" w:hAnsi="宋体" w:eastAsia="宋体"/>
          <w:b w:val="0"/>
          <w:color w:val="auto"/>
          <w:sz w:val="21"/>
        </w:rPr>
        <w:t>适用对象分离：规则约束律师、律所、客户、法院/仲裁机构、数据处理者或外部接收方时，不得跨主体扩张。</w:t>
      </w:r>
    </w:p>
    <w:p>
      <w:pPr>
        <w:spacing w:after="80" w:line="300" w:lineRule="auto"/>
        <w:ind w:left="454" w:hanging="312"/>
        <w:rPr>
          <w:color w:val="auto"/>
        </w:rPr>
      </w:pPr>
      <w:r>
        <w:rPr>
          <w:rFonts w:ascii="宋体" w:hAnsi="宋体" w:eastAsia="宋体"/>
          <w:b/>
          <w:color w:val="auto"/>
          <w:sz w:val="21"/>
        </w:rPr>
        <w:t xml:space="preserve">4. </w:t>
      </w:r>
      <w:r>
        <w:rPr>
          <w:rFonts w:ascii="宋体" w:hAnsi="宋体" w:eastAsia="宋体"/>
          <w:b w:val="0"/>
          <w:color w:val="auto"/>
          <w:sz w:val="21"/>
        </w:rPr>
        <w:t>处理行为分离：本地处理、委托、向其他处理者提供、公开披露、跨境传输分别判断。</w:t>
      </w:r>
    </w:p>
    <w:p>
      <w:pPr>
        <w:spacing w:after="80" w:line="300" w:lineRule="auto"/>
        <w:ind w:left="454" w:hanging="312"/>
        <w:rPr>
          <w:color w:val="auto"/>
        </w:rPr>
      </w:pPr>
      <w:r>
        <w:rPr>
          <w:rFonts w:ascii="宋体" w:hAnsi="宋体" w:eastAsia="宋体"/>
          <w:b/>
          <w:color w:val="auto"/>
          <w:sz w:val="21"/>
        </w:rPr>
        <w:t xml:space="preserve">5. </w:t>
      </w:r>
      <w:r>
        <w:rPr>
          <w:rFonts w:ascii="宋体" w:hAnsi="宋体" w:eastAsia="宋体"/>
          <w:b w:val="0"/>
          <w:color w:val="auto"/>
          <w:sz w:val="21"/>
        </w:rPr>
        <w:t>版本信息留存：法源记录版本/修订信息和生效日期，法规更新时优先更新知识资产而非让模型凭记忆回答。</w:t>
      </w:r>
    </w:p>
    <w:p>
      <w:pPr>
        <w:spacing w:after="80" w:line="300" w:lineRule="auto"/>
        <w:ind w:left="454" w:hanging="312"/>
        <w:rPr>
          <w:rFonts w:ascii="宋体" w:hAnsi="宋体" w:eastAsia="宋体"/>
          <w:b w:val="0"/>
          <w:color w:val="auto"/>
          <w:sz w:val="21"/>
        </w:rPr>
      </w:pPr>
      <w:r>
        <w:rPr>
          <w:rFonts w:ascii="宋体" w:hAnsi="宋体" w:eastAsia="宋体"/>
          <w:b/>
          <w:color w:val="auto"/>
          <w:sz w:val="21"/>
        </w:rPr>
        <w:t xml:space="preserve">6. </w:t>
      </w:r>
      <w:r>
        <w:rPr>
          <w:rFonts w:ascii="宋体" w:hAnsi="宋体" w:eastAsia="宋体"/>
          <w:b w:val="0"/>
          <w:color w:val="auto"/>
          <w:sz w:val="21"/>
        </w:rPr>
        <w:t>人工复核阈值校准：复核只针对会改变合法性结论的决定性不确定性，避免人工审批沦为默认兜底。</w:t>
      </w:r>
    </w:p>
    <w:p>
      <w:pPr>
        <w:spacing w:after="80" w:line="300" w:lineRule="auto"/>
        <w:ind w:left="454" w:hanging="312"/>
        <w:rPr>
          <w:rFonts w:ascii="宋体" w:hAnsi="宋体" w:eastAsia="宋体"/>
          <w:b w:val="0"/>
          <w:color w:val="auto"/>
          <w:sz w:val="21"/>
        </w:rPr>
      </w:pPr>
    </w:p>
    <w:p>
      <w:pPr>
        <w:spacing w:after="80" w:line="300" w:lineRule="auto"/>
        <w:jc w:val="center"/>
        <w:rPr>
          <w:rFonts w:hint="default" w:ascii="宋体" w:hAnsi="宋体" w:eastAsia="宋体"/>
          <w:b/>
          <w:bCs/>
          <w:color w:val="auto"/>
          <w:sz w:val="28"/>
          <w:szCs w:val="32"/>
          <w:lang w:val="en-US" w:eastAsia="zh-CN"/>
        </w:rPr>
      </w:pPr>
      <w:r>
        <w:rPr>
          <w:rFonts w:hint="eastAsia"/>
          <w:b/>
          <w:bCs/>
          <w:color w:val="auto"/>
          <w:sz w:val="28"/>
          <w:szCs w:val="32"/>
          <w:lang w:val="en-US" w:eastAsia="zh-CN"/>
        </w:rPr>
        <w:t>第三章 专业法律判断机制</w:t>
      </w:r>
    </w:p>
    <w:p>
      <w:pPr>
        <w:spacing w:before="0" w:after="100" w:line="300" w:lineRule="auto"/>
        <w:ind w:firstLine="420"/>
      </w:pPr>
      <w:r>
        <w:rPr>
          <w:rFonts w:ascii="宋体" w:hAnsi="宋体" w:eastAsia="宋体"/>
          <w:b w:val="0"/>
          <w:sz w:val="21"/>
        </w:rPr>
        <w:t>本项目与一般自动打码工具的差异在于，系统不把法律判断简化为识别到某类信息→全部删除。劳动争议事实摘要往往必须保留主体关系、时间、金额、岗位、工资、解除原因、工伤/职业病结论和证据脉络。若过度脱敏，法律事实会被破坏；若完全保留，则可能扩大外部披露风险。系统因此以任务必要性为中心，在保留法律事实和控制外部处理之间做结构化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7"/>
        <w:gridCol w:w="2524"/>
        <w:gridCol w:w="5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37" w:type="dxa"/>
            <w:vAlign w:val="center"/>
          </w:tcPr>
          <w:p>
            <w:pPr>
              <w:spacing w:after="20" w:line="300" w:lineRule="auto"/>
              <w:rPr>
                <w:sz w:val="21"/>
                <w:szCs w:val="21"/>
              </w:rPr>
            </w:pPr>
            <w:r>
              <w:rPr>
                <w:rFonts w:ascii="宋体" w:hAnsi="宋体" w:eastAsia="宋体"/>
                <w:b/>
                <w:color w:val="1F2937"/>
                <w:sz w:val="21"/>
                <w:szCs w:val="21"/>
              </w:rPr>
              <w:t>步骤</w:t>
            </w:r>
          </w:p>
        </w:tc>
        <w:tc>
          <w:tcPr>
            <w:tcW w:w="2524" w:type="dxa"/>
            <w:vAlign w:val="center"/>
          </w:tcPr>
          <w:p>
            <w:pPr>
              <w:spacing w:after="20" w:line="300" w:lineRule="auto"/>
              <w:rPr>
                <w:sz w:val="21"/>
                <w:szCs w:val="21"/>
              </w:rPr>
            </w:pPr>
            <w:r>
              <w:rPr>
                <w:rFonts w:ascii="宋体" w:hAnsi="宋体" w:eastAsia="宋体"/>
                <w:b/>
                <w:color w:val="1F2937"/>
                <w:sz w:val="21"/>
                <w:szCs w:val="21"/>
              </w:rPr>
              <w:t>判断动作</w:t>
            </w:r>
          </w:p>
        </w:tc>
        <w:tc>
          <w:tcPr>
            <w:tcW w:w="5529" w:type="dxa"/>
            <w:vAlign w:val="center"/>
          </w:tcPr>
          <w:p>
            <w:pPr>
              <w:spacing w:after="20" w:line="300" w:lineRule="auto"/>
              <w:rPr>
                <w:sz w:val="21"/>
                <w:szCs w:val="21"/>
              </w:rPr>
            </w:pPr>
            <w:r>
              <w:rPr>
                <w:rFonts w:ascii="宋体" w:hAnsi="宋体" w:eastAsia="宋体"/>
                <w:b/>
                <w:color w:val="1F2937"/>
                <w:sz w:val="21"/>
                <w:szCs w:val="21"/>
              </w:rPr>
              <w:t>专业判断要点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7" w:type="dxa"/>
            <w:vAlign w:val="center"/>
          </w:tcPr>
          <w:p>
            <w:pPr>
              <w:spacing w:after="20" w:line="300" w:lineRule="auto"/>
              <w:rPr>
                <w:sz w:val="21"/>
                <w:szCs w:val="21"/>
              </w:rPr>
            </w:pPr>
            <w:r>
              <w:rPr>
                <w:rFonts w:ascii="宋体" w:hAnsi="宋体" w:eastAsia="宋体"/>
                <w:b w:val="0"/>
                <w:color w:val="1F2937"/>
                <w:sz w:val="21"/>
                <w:szCs w:val="21"/>
              </w:rPr>
              <w:t>第一步</w:t>
            </w:r>
          </w:p>
        </w:tc>
        <w:tc>
          <w:tcPr>
            <w:tcW w:w="2524" w:type="dxa"/>
            <w:vAlign w:val="center"/>
          </w:tcPr>
          <w:p>
            <w:pPr>
              <w:spacing w:after="20" w:line="300" w:lineRule="auto"/>
              <w:rPr>
                <w:sz w:val="21"/>
                <w:szCs w:val="21"/>
              </w:rPr>
            </w:pPr>
            <w:r>
              <w:rPr>
                <w:rFonts w:ascii="宋体" w:hAnsi="宋体" w:eastAsia="宋体"/>
                <w:b w:val="0"/>
                <w:color w:val="1F2937"/>
                <w:sz w:val="21"/>
                <w:szCs w:val="21"/>
              </w:rPr>
              <w:t>确定保护对象</w:t>
            </w:r>
          </w:p>
        </w:tc>
        <w:tc>
          <w:tcPr>
            <w:tcW w:w="5529" w:type="dxa"/>
            <w:vAlign w:val="center"/>
          </w:tcPr>
          <w:p>
            <w:pPr>
              <w:spacing w:after="20" w:line="300" w:lineRule="auto"/>
              <w:rPr>
                <w:sz w:val="21"/>
                <w:szCs w:val="21"/>
              </w:rPr>
            </w:pPr>
            <w:r>
              <w:rPr>
                <w:rFonts w:ascii="宋体" w:hAnsi="宋体" w:eastAsia="宋体"/>
                <w:b w:val="0"/>
                <w:color w:val="1F2937"/>
                <w:sz w:val="21"/>
                <w:szCs w:val="21"/>
              </w:rPr>
              <w:t>区分个人信息、敏感个人信息、隐私、商业秘密、国家秘密、工作秘密、程序保密材料等。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7" w:type="dxa"/>
            <w:vAlign w:val="center"/>
          </w:tcPr>
          <w:p>
            <w:pPr>
              <w:spacing w:after="20" w:line="300" w:lineRule="auto"/>
              <w:rPr>
                <w:sz w:val="21"/>
                <w:szCs w:val="21"/>
              </w:rPr>
            </w:pPr>
            <w:r>
              <w:rPr>
                <w:rFonts w:ascii="宋体" w:hAnsi="宋体" w:eastAsia="宋体"/>
                <w:b w:val="0"/>
                <w:color w:val="1F2937"/>
                <w:sz w:val="21"/>
                <w:szCs w:val="21"/>
              </w:rPr>
              <w:t>第二步</w:t>
            </w:r>
          </w:p>
        </w:tc>
        <w:tc>
          <w:tcPr>
            <w:tcW w:w="2524" w:type="dxa"/>
            <w:vAlign w:val="center"/>
          </w:tcPr>
          <w:p>
            <w:pPr>
              <w:spacing w:after="20" w:line="300" w:lineRule="auto"/>
              <w:rPr>
                <w:sz w:val="21"/>
                <w:szCs w:val="21"/>
              </w:rPr>
            </w:pPr>
            <w:r>
              <w:rPr>
                <w:rFonts w:ascii="宋体" w:hAnsi="宋体" w:eastAsia="宋体"/>
                <w:b w:val="0"/>
                <w:color w:val="1F2937"/>
                <w:sz w:val="21"/>
                <w:szCs w:val="21"/>
              </w:rPr>
              <w:t>确定处理行为</w:t>
            </w:r>
          </w:p>
        </w:tc>
        <w:tc>
          <w:tcPr>
            <w:tcW w:w="5529" w:type="dxa"/>
            <w:vAlign w:val="center"/>
          </w:tcPr>
          <w:p>
            <w:pPr>
              <w:spacing w:after="20" w:line="300" w:lineRule="auto"/>
              <w:rPr>
                <w:sz w:val="21"/>
                <w:szCs w:val="21"/>
              </w:rPr>
            </w:pPr>
            <w:r>
              <w:rPr>
                <w:rFonts w:ascii="宋体" w:hAnsi="宋体" w:eastAsia="宋体"/>
                <w:b w:val="0"/>
                <w:color w:val="1F2937"/>
                <w:sz w:val="21"/>
                <w:szCs w:val="21"/>
              </w:rPr>
              <w:t>识别本地处理、委托处理、向其他个人信息处理者提供、公开、跨境等不同法律行为。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7" w:type="dxa"/>
            <w:vAlign w:val="center"/>
          </w:tcPr>
          <w:p>
            <w:pPr>
              <w:spacing w:after="20" w:line="300" w:lineRule="auto"/>
              <w:rPr>
                <w:sz w:val="21"/>
                <w:szCs w:val="21"/>
              </w:rPr>
            </w:pPr>
            <w:r>
              <w:rPr>
                <w:rFonts w:ascii="宋体" w:hAnsi="宋体" w:eastAsia="宋体"/>
                <w:b w:val="0"/>
                <w:color w:val="1F2937"/>
                <w:sz w:val="21"/>
                <w:szCs w:val="21"/>
              </w:rPr>
              <w:t>第三步</w:t>
            </w:r>
          </w:p>
        </w:tc>
        <w:tc>
          <w:tcPr>
            <w:tcW w:w="2524" w:type="dxa"/>
            <w:vAlign w:val="center"/>
          </w:tcPr>
          <w:p>
            <w:pPr>
              <w:spacing w:after="20" w:line="300" w:lineRule="auto"/>
              <w:rPr>
                <w:sz w:val="21"/>
                <w:szCs w:val="21"/>
              </w:rPr>
            </w:pPr>
            <w:r>
              <w:rPr>
                <w:rFonts w:ascii="宋体" w:hAnsi="宋体" w:eastAsia="宋体"/>
                <w:b w:val="0"/>
                <w:color w:val="1F2937"/>
                <w:sz w:val="21"/>
                <w:szCs w:val="21"/>
              </w:rPr>
              <w:t>确定义务主体</w:t>
            </w:r>
          </w:p>
        </w:tc>
        <w:tc>
          <w:tcPr>
            <w:tcW w:w="5529" w:type="dxa"/>
            <w:vAlign w:val="center"/>
          </w:tcPr>
          <w:p>
            <w:pPr>
              <w:spacing w:after="20" w:line="300" w:lineRule="auto"/>
              <w:rPr>
                <w:sz w:val="21"/>
                <w:szCs w:val="21"/>
              </w:rPr>
            </w:pPr>
            <w:r>
              <w:rPr>
                <w:rFonts w:ascii="宋体" w:hAnsi="宋体" w:eastAsia="宋体"/>
                <w:b w:val="0"/>
                <w:color w:val="1F2937"/>
                <w:sz w:val="21"/>
                <w:szCs w:val="21"/>
              </w:rPr>
              <w:t>判断规则约束律师/律所、客户、用人单位、法院/仲裁机构、外部服务商还是其他主体。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7" w:type="dxa"/>
            <w:vAlign w:val="center"/>
          </w:tcPr>
          <w:p>
            <w:pPr>
              <w:spacing w:after="20" w:line="300" w:lineRule="auto"/>
              <w:rPr>
                <w:sz w:val="21"/>
                <w:szCs w:val="21"/>
              </w:rPr>
            </w:pPr>
            <w:r>
              <w:rPr>
                <w:rFonts w:ascii="宋体" w:hAnsi="宋体" w:eastAsia="宋体"/>
                <w:b w:val="0"/>
                <w:color w:val="1F2937"/>
                <w:sz w:val="21"/>
                <w:szCs w:val="21"/>
              </w:rPr>
              <w:t>第四步</w:t>
            </w:r>
          </w:p>
        </w:tc>
        <w:tc>
          <w:tcPr>
            <w:tcW w:w="2524" w:type="dxa"/>
            <w:vAlign w:val="center"/>
          </w:tcPr>
          <w:p>
            <w:pPr>
              <w:spacing w:after="20" w:line="300" w:lineRule="auto"/>
              <w:rPr>
                <w:sz w:val="21"/>
                <w:szCs w:val="21"/>
              </w:rPr>
            </w:pPr>
            <w:r>
              <w:rPr>
                <w:rFonts w:ascii="宋体" w:hAnsi="宋体" w:eastAsia="宋体"/>
                <w:b w:val="0"/>
                <w:color w:val="1F2937"/>
                <w:sz w:val="21"/>
                <w:szCs w:val="21"/>
              </w:rPr>
              <w:t>判断处分权限</w:t>
            </w:r>
          </w:p>
        </w:tc>
        <w:tc>
          <w:tcPr>
            <w:tcW w:w="5529" w:type="dxa"/>
            <w:vAlign w:val="center"/>
          </w:tcPr>
          <w:p>
            <w:pPr>
              <w:spacing w:after="20" w:line="300" w:lineRule="auto"/>
              <w:rPr>
                <w:sz w:val="21"/>
                <w:szCs w:val="21"/>
              </w:rPr>
            </w:pPr>
            <w:r>
              <w:rPr>
                <w:rFonts w:ascii="宋体" w:hAnsi="宋体" w:eastAsia="宋体"/>
                <w:b w:val="0"/>
                <w:color w:val="1F2937"/>
                <w:sz w:val="21"/>
                <w:szCs w:val="21"/>
              </w:rPr>
              <w:t>把查阅权、复制权、案件使用权、委托处理权、向第三方提供权分别判断。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7" w:type="dxa"/>
            <w:vAlign w:val="center"/>
          </w:tcPr>
          <w:p>
            <w:pPr>
              <w:spacing w:after="20" w:line="300" w:lineRule="auto"/>
              <w:rPr>
                <w:sz w:val="21"/>
                <w:szCs w:val="21"/>
              </w:rPr>
            </w:pPr>
            <w:r>
              <w:rPr>
                <w:rFonts w:ascii="宋体" w:hAnsi="宋体" w:eastAsia="宋体"/>
                <w:b w:val="0"/>
                <w:color w:val="1F2937"/>
                <w:sz w:val="21"/>
                <w:szCs w:val="21"/>
              </w:rPr>
              <w:t>第五步</w:t>
            </w:r>
          </w:p>
        </w:tc>
        <w:tc>
          <w:tcPr>
            <w:tcW w:w="2524" w:type="dxa"/>
            <w:vAlign w:val="center"/>
          </w:tcPr>
          <w:p>
            <w:pPr>
              <w:spacing w:after="20" w:line="300" w:lineRule="auto"/>
              <w:rPr>
                <w:sz w:val="21"/>
                <w:szCs w:val="21"/>
              </w:rPr>
            </w:pPr>
            <w:r>
              <w:rPr>
                <w:rFonts w:ascii="宋体" w:hAnsi="宋体" w:eastAsia="宋体"/>
                <w:b w:val="0"/>
                <w:color w:val="1F2937"/>
                <w:sz w:val="21"/>
                <w:szCs w:val="21"/>
              </w:rPr>
              <w:t>确定规范关系</w:t>
            </w:r>
          </w:p>
        </w:tc>
        <w:tc>
          <w:tcPr>
            <w:tcW w:w="5529" w:type="dxa"/>
            <w:vAlign w:val="center"/>
          </w:tcPr>
          <w:p>
            <w:pPr>
              <w:spacing w:after="20" w:line="300" w:lineRule="auto"/>
              <w:rPr>
                <w:sz w:val="21"/>
                <w:szCs w:val="21"/>
              </w:rPr>
            </w:pPr>
            <w:r>
              <w:rPr>
                <w:rFonts w:ascii="宋体" w:hAnsi="宋体" w:eastAsia="宋体"/>
                <w:b w:val="0"/>
                <w:color w:val="1F2937"/>
                <w:sz w:val="21"/>
                <w:szCs w:val="21"/>
              </w:rPr>
              <w:t>区分一般法与特别法、法律与司法解释/程序规则、法定义务与合同保密约定，以及北京地方规则的适用前提。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7" w:type="dxa"/>
            <w:vAlign w:val="center"/>
          </w:tcPr>
          <w:p>
            <w:pPr>
              <w:spacing w:after="20" w:line="300" w:lineRule="auto"/>
              <w:rPr>
                <w:sz w:val="21"/>
                <w:szCs w:val="21"/>
              </w:rPr>
            </w:pPr>
            <w:r>
              <w:rPr>
                <w:rFonts w:ascii="宋体" w:hAnsi="宋体" w:eastAsia="宋体"/>
                <w:b w:val="0"/>
                <w:color w:val="1F2937"/>
                <w:sz w:val="21"/>
                <w:szCs w:val="21"/>
              </w:rPr>
              <w:t>第六步</w:t>
            </w:r>
          </w:p>
        </w:tc>
        <w:tc>
          <w:tcPr>
            <w:tcW w:w="2524" w:type="dxa"/>
            <w:vAlign w:val="center"/>
          </w:tcPr>
          <w:p>
            <w:pPr>
              <w:spacing w:after="20" w:line="300" w:lineRule="auto"/>
              <w:rPr>
                <w:sz w:val="21"/>
                <w:szCs w:val="21"/>
              </w:rPr>
            </w:pPr>
            <w:r>
              <w:rPr>
                <w:rFonts w:ascii="宋体" w:hAnsi="宋体" w:eastAsia="宋体"/>
                <w:b w:val="0"/>
                <w:color w:val="1F2937"/>
                <w:sz w:val="21"/>
                <w:szCs w:val="21"/>
              </w:rPr>
              <w:t>尝试最小化协调</w:t>
            </w:r>
          </w:p>
        </w:tc>
        <w:tc>
          <w:tcPr>
            <w:tcW w:w="5529" w:type="dxa"/>
            <w:vAlign w:val="center"/>
          </w:tcPr>
          <w:p>
            <w:pPr>
              <w:spacing w:after="20" w:line="300" w:lineRule="auto"/>
              <w:rPr>
                <w:sz w:val="21"/>
                <w:szCs w:val="21"/>
              </w:rPr>
            </w:pPr>
            <w:r>
              <w:rPr>
                <w:rFonts w:ascii="宋体" w:hAnsi="宋体" w:eastAsia="宋体"/>
                <w:b w:val="0"/>
                <w:color w:val="1F2937"/>
                <w:sz w:val="21"/>
                <w:szCs w:val="21"/>
              </w:rPr>
              <w:t>优先删除无关信息、去除直接标识符、降低精度、裁剪附件；能同时满足规则的，不升级为禁止。</w:t>
            </w:r>
          </w:p>
        </w:tc>
      </w:tr>
    </w:tbl>
    <w:p>
      <w:pPr>
        <w:pStyle w:val="4"/>
        <w:spacing w:before="160" w:after="120" w:line="300" w:lineRule="auto"/>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6"/>
        <w:gridCol w:w="50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06" w:type="dxa"/>
            <w:vAlign w:val="center"/>
          </w:tcPr>
          <w:p>
            <w:pPr>
              <w:spacing w:after="20" w:line="300" w:lineRule="auto"/>
              <w:rPr>
                <w:sz w:val="21"/>
                <w:szCs w:val="21"/>
              </w:rPr>
            </w:pPr>
            <w:r>
              <w:rPr>
                <w:rFonts w:ascii="宋体" w:hAnsi="宋体" w:eastAsia="宋体"/>
                <w:b/>
                <w:color w:val="1F2937"/>
                <w:sz w:val="21"/>
                <w:szCs w:val="21"/>
              </w:rPr>
              <w:t>常见误区</w:t>
            </w:r>
          </w:p>
        </w:tc>
        <w:tc>
          <w:tcPr>
            <w:tcW w:w="5082" w:type="dxa"/>
            <w:vAlign w:val="center"/>
          </w:tcPr>
          <w:p>
            <w:pPr>
              <w:spacing w:after="20" w:line="300" w:lineRule="auto"/>
              <w:rPr>
                <w:sz w:val="21"/>
                <w:szCs w:val="21"/>
              </w:rPr>
            </w:pPr>
            <w:r>
              <w:rPr>
                <w:rFonts w:ascii="宋体" w:hAnsi="宋体" w:eastAsia="宋体"/>
                <w:b/>
                <w:color w:val="1F2937"/>
                <w:sz w:val="21"/>
                <w:szCs w:val="21"/>
              </w:rPr>
              <w:t>系统纠偏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敏感</w:t>
            </w:r>
            <w:r>
              <w:rPr>
                <w:rFonts w:hint="eastAsia"/>
                <w:b w:val="0"/>
                <w:color w:val="1F2937"/>
                <w:sz w:val="21"/>
                <w:szCs w:val="21"/>
                <w:lang w:eastAsia="zh-CN"/>
              </w:rPr>
              <w:t>=</w:t>
            </w:r>
            <w:r>
              <w:rPr>
                <w:rFonts w:ascii="宋体" w:hAnsi="宋体" w:eastAsia="宋体"/>
                <w:b w:val="0"/>
                <w:color w:val="1F2937"/>
                <w:sz w:val="21"/>
                <w:szCs w:val="21"/>
              </w:rPr>
              <w:t>禁止</w:t>
            </w:r>
          </w:p>
        </w:tc>
        <w:tc>
          <w:tcPr>
            <w:tcW w:w="5082" w:type="dxa"/>
            <w:vAlign w:val="center"/>
          </w:tcPr>
          <w:p>
            <w:pPr>
              <w:spacing w:after="20" w:line="300" w:lineRule="auto"/>
              <w:rPr>
                <w:sz w:val="21"/>
                <w:szCs w:val="21"/>
              </w:rPr>
            </w:pPr>
            <w:r>
              <w:rPr>
                <w:rFonts w:ascii="宋体" w:hAnsi="宋体" w:eastAsia="宋体"/>
                <w:b w:val="0"/>
                <w:color w:val="1F2937"/>
                <w:sz w:val="21"/>
                <w:szCs w:val="21"/>
              </w:rPr>
              <w:t>敏感只意味着更严格的必要性、保护措施或特别条件；禁止须有针对当前行为的具体限制。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有权查阅/复制</w:t>
            </w:r>
            <w:r>
              <w:rPr>
                <w:rFonts w:hint="eastAsia"/>
                <w:b w:val="0"/>
                <w:color w:val="1F2937"/>
                <w:sz w:val="21"/>
                <w:szCs w:val="21"/>
                <w:lang w:eastAsia="zh-CN"/>
              </w:rPr>
              <w:t>=</w:t>
            </w:r>
            <w:r>
              <w:rPr>
                <w:rFonts w:ascii="宋体" w:hAnsi="宋体" w:eastAsia="宋体"/>
                <w:b w:val="0"/>
                <w:color w:val="1F2937"/>
                <w:sz w:val="21"/>
                <w:szCs w:val="21"/>
              </w:rPr>
              <w:t>有权向第三方提供</w:t>
            </w:r>
          </w:p>
        </w:tc>
        <w:tc>
          <w:tcPr>
            <w:tcW w:w="5082" w:type="dxa"/>
            <w:vAlign w:val="center"/>
          </w:tcPr>
          <w:p>
            <w:pPr>
              <w:spacing w:after="20" w:line="300" w:lineRule="auto"/>
              <w:rPr>
                <w:sz w:val="21"/>
                <w:szCs w:val="21"/>
              </w:rPr>
            </w:pPr>
            <w:r>
              <w:rPr>
                <w:rFonts w:ascii="宋体" w:hAnsi="宋体" w:eastAsia="宋体"/>
                <w:b w:val="0"/>
                <w:color w:val="1F2937"/>
                <w:sz w:val="21"/>
                <w:szCs w:val="21"/>
              </w:rPr>
              <w:t>诉讼材料取得权与第三方处理权限不是同一法律权能。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去标识化</w:t>
            </w:r>
            <w:r>
              <w:rPr>
                <w:rFonts w:hint="eastAsia"/>
                <w:b w:val="0"/>
                <w:color w:val="1F2937"/>
                <w:sz w:val="21"/>
                <w:szCs w:val="21"/>
                <w:lang w:eastAsia="zh-CN"/>
              </w:rPr>
              <w:t>=</w:t>
            </w:r>
            <w:r>
              <w:rPr>
                <w:rFonts w:ascii="宋体" w:hAnsi="宋体" w:eastAsia="宋体"/>
                <w:b w:val="0"/>
                <w:color w:val="1F2937"/>
                <w:sz w:val="21"/>
                <w:szCs w:val="21"/>
              </w:rPr>
              <w:t>匿名化</w:t>
            </w:r>
          </w:p>
        </w:tc>
        <w:tc>
          <w:tcPr>
            <w:tcW w:w="5082" w:type="dxa"/>
            <w:vAlign w:val="center"/>
          </w:tcPr>
          <w:p>
            <w:pPr>
              <w:spacing w:after="20" w:line="300" w:lineRule="auto"/>
              <w:rPr>
                <w:sz w:val="21"/>
                <w:szCs w:val="21"/>
              </w:rPr>
            </w:pPr>
            <w:r>
              <w:rPr>
                <w:rFonts w:ascii="宋体" w:hAnsi="宋体" w:eastAsia="宋体"/>
                <w:b w:val="0"/>
                <w:color w:val="1F2937"/>
                <w:sz w:val="21"/>
                <w:szCs w:val="21"/>
              </w:rPr>
              <w:t>去标识化后仍可能通过准标识符组合重新识别；匿名化要求无法识别且不能复原。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不公开审理</w:t>
            </w:r>
            <w:r>
              <w:rPr>
                <w:rFonts w:hint="eastAsia"/>
                <w:b w:val="0"/>
                <w:color w:val="1F2937"/>
                <w:sz w:val="21"/>
                <w:szCs w:val="21"/>
                <w:lang w:eastAsia="zh-CN"/>
              </w:rPr>
              <w:t>=</w:t>
            </w:r>
            <w:r>
              <w:rPr>
                <w:rFonts w:ascii="宋体" w:hAnsi="宋体" w:eastAsia="宋体"/>
                <w:b w:val="0"/>
                <w:color w:val="1F2937"/>
                <w:sz w:val="21"/>
                <w:szCs w:val="21"/>
              </w:rPr>
              <w:t>不得外部处理</w:t>
            </w:r>
          </w:p>
        </w:tc>
        <w:tc>
          <w:tcPr>
            <w:tcW w:w="5082" w:type="dxa"/>
            <w:vAlign w:val="center"/>
          </w:tcPr>
          <w:p>
            <w:pPr>
              <w:spacing w:after="20" w:line="300" w:lineRule="auto"/>
              <w:rPr>
                <w:sz w:val="21"/>
                <w:szCs w:val="21"/>
              </w:rPr>
            </w:pPr>
            <w:r>
              <w:rPr>
                <w:rFonts w:ascii="宋体" w:hAnsi="宋体" w:eastAsia="宋体"/>
                <w:b w:val="0"/>
                <w:color w:val="1F2937"/>
                <w:sz w:val="21"/>
                <w:szCs w:val="21"/>
              </w:rPr>
              <w:t>不公开是程序规则；是否限制当前第三方要看具体保密措施。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商业秘密</w:t>
            </w:r>
            <w:r>
              <w:rPr>
                <w:rFonts w:hint="eastAsia"/>
                <w:b w:val="0"/>
                <w:color w:val="1F2937"/>
                <w:sz w:val="21"/>
                <w:szCs w:val="21"/>
                <w:lang w:eastAsia="zh-CN"/>
              </w:rPr>
              <w:t>=</w:t>
            </w:r>
            <w:r>
              <w:rPr>
                <w:rFonts w:ascii="宋体" w:hAnsi="宋体" w:eastAsia="宋体"/>
                <w:b w:val="0"/>
                <w:color w:val="1F2937"/>
                <w:sz w:val="21"/>
                <w:szCs w:val="21"/>
              </w:rPr>
              <w:t>任何第三方均不得接触</w:t>
            </w:r>
          </w:p>
        </w:tc>
        <w:tc>
          <w:tcPr>
            <w:tcW w:w="5082" w:type="dxa"/>
            <w:vAlign w:val="center"/>
          </w:tcPr>
          <w:p>
            <w:pPr>
              <w:spacing w:after="20" w:line="300" w:lineRule="auto"/>
              <w:rPr>
                <w:sz w:val="21"/>
                <w:szCs w:val="21"/>
              </w:rPr>
            </w:pPr>
            <w:r>
              <w:rPr>
                <w:rFonts w:ascii="宋体" w:hAnsi="宋体" w:eastAsia="宋体"/>
                <w:b w:val="0"/>
                <w:color w:val="1F2937"/>
                <w:sz w:val="21"/>
                <w:szCs w:val="21"/>
              </w:rPr>
              <w:t>应先满足商业秘密构成，再看保密义务是否覆盖当前受托/第三方处理。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境外品牌</w:t>
            </w:r>
            <w:r>
              <w:rPr>
                <w:rFonts w:hint="eastAsia"/>
                <w:b w:val="0"/>
                <w:color w:val="1F2937"/>
                <w:sz w:val="21"/>
                <w:szCs w:val="21"/>
                <w:lang w:eastAsia="zh-CN"/>
              </w:rPr>
              <w:t>=</w:t>
            </w:r>
            <w:r>
              <w:rPr>
                <w:rFonts w:ascii="宋体" w:hAnsi="宋体" w:eastAsia="宋体"/>
                <w:b w:val="0"/>
                <w:color w:val="1F2937"/>
                <w:sz w:val="21"/>
                <w:szCs w:val="21"/>
              </w:rPr>
              <w:t>数据已经出境</w:t>
            </w:r>
          </w:p>
        </w:tc>
        <w:tc>
          <w:tcPr>
            <w:tcW w:w="5082" w:type="dxa"/>
            <w:vAlign w:val="center"/>
          </w:tcPr>
          <w:p>
            <w:pPr>
              <w:spacing w:after="20" w:line="300" w:lineRule="auto"/>
              <w:rPr>
                <w:sz w:val="21"/>
                <w:szCs w:val="21"/>
              </w:rPr>
            </w:pPr>
            <w:r>
              <w:rPr>
                <w:rFonts w:ascii="宋体" w:hAnsi="宋体" w:eastAsia="宋体"/>
                <w:b w:val="0"/>
                <w:color w:val="1F2937"/>
                <w:sz w:val="21"/>
                <w:szCs w:val="21"/>
              </w:rPr>
              <w:t>应看实际传输、存储、境外访问和数据流向。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内部/涉政/重要</w:t>
            </w:r>
            <w:r>
              <w:rPr>
                <w:rFonts w:hint="eastAsia"/>
                <w:b w:val="0"/>
                <w:color w:val="1F2937"/>
                <w:sz w:val="21"/>
                <w:szCs w:val="21"/>
                <w:lang w:eastAsia="zh-CN"/>
              </w:rPr>
              <w:t>=</w:t>
            </w:r>
            <w:r>
              <w:rPr>
                <w:rFonts w:ascii="宋体" w:hAnsi="宋体" w:eastAsia="宋体"/>
                <w:b w:val="0"/>
                <w:color w:val="1F2937"/>
                <w:sz w:val="21"/>
                <w:szCs w:val="21"/>
              </w:rPr>
              <w:t>国家秘密</w:t>
            </w:r>
          </w:p>
        </w:tc>
        <w:tc>
          <w:tcPr>
            <w:tcW w:w="5082" w:type="dxa"/>
            <w:vAlign w:val="center"/>
          </w:tcPr>
          <w:p>
            <w:pPr>
              <w:spacing w:after="20" w:line="300" w:lineRule="auto"/>
              <w:rPr>
                <w:sz w:val="21"/>
                <w:szCs w:val="21"/>
              </w:rPr>
            </w:pPr>
            <w:r>
              <w:rPr>
                <w:rFonts w:ascii="宋体" w:hAnsi="宋体" w:eastAsia="宋体"/>
                <w:b w:val="0"/>
                <w:color w:val="1F2937"/>
                <w:sz w:val="21"/>
                <w:szCs w:val="21"/>
              </w:rPr>
              <w:t>国家秘密必须满足法定秘密属性和定密程序，不能由系统自行扩大。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Align w:val="center"/>
          </w:tcPr>
          <w:p>
            <w:pPr>
              <w:spacing w:after="20" w:line="300" w:lineRule="auto"/>
              <w:rPr>
                <w:sz w:val="21"/>
                <w:szCs w:val="21"/>
              </w:rPr>
            </w:pPr>
            <w:r>
              <w:rPr>
                <w:rFonts w:ascii="宋体" w:hAnsi="宋体" w:eastAsia="宋体"/>
                <w:b w:val="0"/>
                <w:color w:val="1F2937"/>
                <w:sz w:val="21"/>
                <w:szCs w:val="21"/>
              </w:rPr>
              <w:t>存在疑问</w:t>
            </w:r>
            <w:r>
              <w:rPr>
                <w:rFonts w:hint="eastAsia"/>
                <w:b w:val="0"/>
                <w:color w:val="1F2937"/>
                <w:sz w:val="21"/>
                <w:szCs w:val="21"/>
                <w:lang w:eastAsia="zh-CN"/>
              </w:rPr>
              <w:t>=</w:t>
            </w:r>
            <w:r>
              <w:rPr>
                <w:rFonts w:ascii="宋体" w:hAnsi="宋体" w:eastAsia="宋体"/>
                <w:b w:val="0"/>
                <w:color w:val="1F2937"/>
                <w:sz w:val="21"/>
                <w:szCs w:val="21"/>
              </w:rPr>
              <w:t>从严禁止</w:t>
            </w:r>
          </w:p>
        </w:tc>
        <w:tc>
          <w:tcPr>
            <w:tcW w:w="5082" w:type="dxa"/>
            <w:vAlign w:val="center"/>
          </w:tcPr>
          <w:p>
            <w:pPr>
              <w:spacing w:after="20" w:line="300" w:lineRule="auto"/>
              <w:rPr>
                <w:sz w:val="21"/>
                <w:szCs w:val="21"/>
              </w:rPr>
            </w:pPr>
            <w:r>
              <w:rPr>
                <w:rFonts w:ascii="宋体" w:hAnsi="宋体" w:eastAsia="宋体"/>
                <w:b w:val="0"/>
                <w:color w:val="1F2937"/>
                <w:sz w:val="21"/>
                <w:szCs w:val="21"/>
              </w:rPr>
              <w:t>决定性事实不明时应暂停并人工核实，不得把“未知”改写成“法律禁止”。</w:t>
            </w:r>
          </w:p>
        </w:tc>
      </w:tr>
    </w:tbl>
    <w:p>
      <w:pPr>
        <w:pStyle w:val="4"/>
        <w:spacing w:before="160" w:after="120" w:line="300" w:lineRule="auto"/>
      </w:pPr>
    </w:p>
    <w:p>
      <w:pPr>
        <w:spacing w:before="0" w:after="100" w:line="300" w:lineRule="auto"/>
        <w:ind w:firstLine="420"/>
      </w:pPr>
      <w:r>
        <w:rPr>
          <w:rFonts w:ascii="宋体" w:hAnsi="宋体" w:eastAsia="宋体"/>
          <w:b w:val="0"/>
          <w:sz w:val="21"/>
        </w:rPr>
        <w:t>个人信息映射资产将处理动作设计为“保留法律事实、剔除身份冗余”。例如：工资争议保留金额、月份、支付状态，但删除完整银行卡号；工伤争议保留诊断结论、伤残等级、关键日期，但删除与争议无关的病史和检查细节；考勤争议保留日期、时间和出勤结果，但尽量不发送指纹模板、完整人脸特征或连续轨迹。</w:t>
      </w:r>
    </w:p>
    <w:p>
      <w:pPr>
        <w:spacing w:before="0" w:after="100" w:line="300" w:lineRule="auto"/>
        <w:ind w:firstLine="420"/>
      </w:pPr>
      <w:r>
        <w:rPr>
          <w:rFonts w:ascii="宋体" w:hAnsi="宋体" w:eastAsia="宋体"/>
          <w:b w:val="0"/>
          <w:sz w:val="21"/>
        </w:rPr>
        <w:t>对直接标识符，系统优先使用角色化、掩码、删除；对准标识符，则结合组合识别风险决定是否降低精度。系统不以“字段是否敏感”作为唯一维度，而结合事实摘要用途判断保留粒度。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2"/>
        <w:gridCol w:w="6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42" w:type="dxa"/>
            <w:vAlign w:val="center"/>
          </w:tcPr>
          <w:p>
            <w:pPr>
              <w:spacing w:after="20" w:line="300" w:lineRule="auto"/>
              <w:rPr>
                <w:sz w:val="21"/>
                <w:szCs w:val="21"/>
              </w:rPr>
            </w:pPr>
            <w:r>
              <w:rPr>
                <w:rFonts w:ascii="宋体" w:hAnsi="宋体" w:eastAsia="宋体"/>
                <w:b/>
                <w:color w:val="1F2937"/>
                <w:sz w:val="21"/>
                <w:szCs w:val="21"/>
              </w:rPr>
              <w:t>层次</w:t>
            </w:r>
          </w:p>
        </w:tc>
        <w:tc>
          <w:tcPr>
            <w:tcW w:w="6946" w:type="dxa"/>
            <w:vAlign w:val="center"/>
          </w:tcPr>
          <w:p>
            <w:pPr>
              <w:spacing w:after="20" w:line="300" w:lineRule="auto"/>
              <w:rPr>
                <w:sz w:val="21"/>
                <w:szCs w:val="21"/>
              </w:rPr>
            </w:pPr>
            <w:r>
              <w:rPr>
                <w:rFonts w:ascii="宋体" w:hAnsi="宋体" w:eastAsia="宋体"/>
                <w:b/>
                <w:color w:val="1F2937"/>
                <w:sz w:val="21"/>
                <w:szCs w:val="21"/>
              </w:rPr>
              <w:t>判断内容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2" w:type="dxa"/>
            <w:vAlign w:val="center"/>
          </w:tcPr>
          <w:p>
            <w:pPr>
              <w:spacing w:after="20" w:line="300" w:lineRule="auto"/>
              <w:rPr>
                <w:sz w:val="21"/>
                <w:szCs w:val="21"/>
              </w:rPr>
            </w:pPr>
            <w:r>
              <w:rPr>
                <w:rFonts w:ascii="宋体" w:hAnsi="宋体" w:eastAsia="宋体"/>
                <w:b w:val="0"/>
                <w:color w:val="1F2937"/>
                <w:sz w:val="21"/>
                <w:szCs w:val="21"/>
              </w:rPr>
              <w:t>1. 客体构成</w:t>
            </w:r>
          </w:p>
        </w:tc>
        <w:tc>
          <w:tcPr>
            <w:tcW w:w="6946" w:type="dxa"/>
            <w:vAlign w:val="center"/>
          </w:tcPr>
          <w:p>
            <w:pPr>
              <w:spacing w:after="20" w:line="300" w:lineRule="auto"/>
              <w:rPr>
                <w:sz w:val="21"/>
                <w:szCs w:val="21"/>
              </w:rPr>
            </w:pPr>
            <w:r>
              <w:rPr>
                <w:rFonts w:ascii="宋体" w:hAnsi="宋体" w:eastAsia="宋体"/>
                <w:b w:val="0"/>
                <w:color w:val="1F2937"/>
                <w:sz w:val="21"/>
                <w:szCs w:val="21"/>
              </w:rPr>
              <w:t>是否非公知、具有商业价值并采取相应保密措施；客户名称、普通经营信息不当然构成商业秘密。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2" w:type="dxa"/>
            <w:vAlign w:val="center"/>
          </w:tcPr>
          <w:p>
            <w:pPr>
              <w:spacing w:after="20" w:line="300" w:lineRule="auto"/>
              <w:rPr>
                <w:sz w:val="21"/>
                <w:szCs w:val="21"/>
              </w:rPr>
            </w:pPr>
            <w:r>
              <w:rPr>
                <w:rFonts w:ascii="宋体" w:hAnsi="宋体" w:eastAsia="宋体"/>
                <w:b w:val="0"/>
                <w:color w:val="1F2937"/>
                <w:sz w:val="21"/>
                <w:szCs w:val="21"/>
              </w:rPr>
              <w:t>2. 保密义务</w:t>
            </w:r>
          </w:p>
        </w:tc>
        <w:tc>
          <w:tcPr>
            <w:tcW w:w="6946" w:type="dxa"/>
            <w:vAlign w:val="center"/>
          </w:tcPr>
          <w:p>
            <w:pPr>
              <w:spacing w:after="20" w:line="300" w:lineRule="auto"/>
              <w:rPr>
                <w:sz w:val="21"/>
                <w:szCs w:val="21"/>
              </w:rPr>
            </w:pPr>
            <w:r>
              <w:rPr>
                <w:rFonts w:ascii="宋体" w:hAnsi="宋体" w:eastAsia="宋体"/>
                <w:b w:val="0"/>
                <w:color w:val="1F2937"/>
                <w:sz w:val="21"/>
                <w:szCs w:val="21"/>
              </w:rPr>
              <w:t>是否存在法律规定、合同/NDA、权利人要求或法院保密措施。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2" w:type="dxa"/>
            <w:vAlign w:val="center"/>
          </w:tcPr>
          <w:p>
            <w:pPr>
              <w:spacing w:after="20" w:line="300" w:lineRule="auto"/>
              <w:rPr>
                <w:sz w:val="21"/>
                <w:szCs w:val="21"/>
              </w:rPr>
            </w:pPr>
            <w:r>
              <w:rPr>
                <w:rFonts w:ascii="宋体" w:hAnsi="宋体" w:eastAsia="宋体"/>
                <w:b w:val="0"/>
                <w:color w:val="1F2937"/>
                <w:sz w:val="21"/>
                <w:szCs w:val="21"/>
              </w:rPr>
              <w:t>3. 当前行为覆盖</w:t>
            </w:r>
          </w:p>
        </w:tc>
        <w:tc>
          <w:tcPr>
            <w:tcW w:w="6946" w:type="dxa"/>
            <w:vAlign w:val="center"/>
          </w:tcPr>
          <w:p>
            <w:pPr>
              <w:spacing w:after="20" w:line="300" w:lineRule="auto"/>
              <w:rPr>
                <w:sz w:val="21"/>
                <w:szCs w:val="21"/>
              </w:rPr>
            </w:pPr>
            <w:r>
              <w:rPr>
                <w:rFonts w:ascii="宋体" w:hAnsi="宋体" w:eastAsia="宋体"/>
                <w:b w:val="0"/>
                <w:color w:val="1F2937"/>
                <w:sz w:val="21"/>
                <w:szCs w:val="21"/>
              </w:rPr>
              <w:t>该义务是否真正限制向当前外部AI/技术服务商提供，是否允许必要的受托处理。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2" w:type="dxa"/>
            <w:vAlign w:val="center"/>
          </w:tcPr>
          <w:p>
            <w:pPr>
              <w:spacing w:after="20" w:line="300" w:lineRule="auto"/>
              <w:rPr>
                <w:sz w:val="21"/>
                <w:szCs w:val="21"/>
              </w:rPr>
            </w:pPr>
            <w:r>
              <w:rPr>
                <w:rFonts w:ascii="宋体" w:hAnsi="宋体" w:eastAsia="宋体"/>
                <w:b w:val="0"/>
                <w:color w:val="1F2937"/>
                <w:sz w:val="21"/>
                <w:szCs w:val="21"/>
              </w:rPr>
              <w:t>4. 授权与例外</w:t>
            </w:r>
          </w:p>
        </w:tc>
        <w:tc>
          <w:tcPr>
            <w:tcW w:w="6946" w:type="dxa"/>
            <w:vAlign w:val="center"/>
          </w:tcPr>
          <w:p>
            <w:pPr>
              <w:spacing w:after="20" w:line="300" w:lineRule="auto"/>
              <w:rPr>
                <w:sz w:val="21"/>
                <w:szCs w:val="21"/>
              </w:rPr>
            </w:pPr>
            <w:r>
              <w:rPr>
                <w:rFonts w:ascii="宋体" w:hAnsi="宋体" w:eastAsia="宋体"/>
                <w:b w:val="0"/>
                <w:color w:val="1F2937"/>
                <w:sz w:val="21"/>
                <w:szCs w:val="21"/>
              </w:rPr>
              <w:t>当前提供是否存在有权主体授权、法定例外或可通过最小化消除限制。</w:t>
            </w:r>
          </w:p>
        </w:tc>
      </w:tr>
    </w:tbl>
    <w:p>
      <w:pPr>
        <w:spacing w:after="40" w:line="300" w:lineRule="auto"/>
      </w:pPr>
    </w:p>
    <w:p>
      <w:pPr>
        <w:spacing w:before="0" w:after="100" w:line="300" w:lineRule="auto"/>
        <w:ind w:firstLine="420"/>
      </w:pPr>
      <w:r>
        <w:rPr>
          <w:rFonts w:ascii="宋体" w:hAnsi="宋体" w:eastAsia="宋体"/>
          <w:b w:val="0"/>
          <w:sz w:val="21"/>
        </w:rPr>
        <w:t>只有当商业秘密属性、有效保密义务/明确限制、当前第三方不在允许范围、且不存在合法授权或例外等关键条件成立时，系统才有充分依据认定当前外部提供受到直接限制。</w:t>
      </w:r>
    </w:p>
    <w:p>
      <w:pPr>
        <w:spacing w:before="0" w:after="100" w:line="300" w:lineRule="auto"/>
        <w:ind w:firstLine="420"/>
      </w:pPr>
      <w:r>
        <w:rPr>
          <w:rFonts w:ascii="宋体" w:hAnsi="宋体" w:eastAsia="宋体"/>
          <w:b w:val="0"/>
          <w:sz w:val="21"/>
        </w:rPr>
        <w:t>国家秘密属于系统中最典型的硬性阻断客体之一，但前提是材料已经依法确认具有国家秘密属性。对已确认涉密材料，普通互联网外部模型、非涉密信息系统或不符合国家保密要求的通信环境不能作为处理环境，姓名打码或一般加密也不能改变这一点。</w:t>
      </w:r>
    </w:p>
    <w:p>
      <w:pPr>
        <w:spacing w:before="0" w:after="100" w:line="300" w:lineRule="auto"/>
        <w:ind w:firstLine="420"/>
      </w:pPr>
      <w:r>
        <w:rPr>
          <w:rFonts w:ascii="宋体" w:hAnsi="宋体" w:eastAsia="宋体"/>
          <w:b w:val="0"/>
          <w:sz w:val="21"/>
        </w:rPr>
        <w:t>工作秘密则不同。其保护强度和流转规则需要结合材料来源机关、内部制度及具体对外提供限制判断，不能直接套用国家秘密的绝对阻断逻辑。北京地方保密规则还强调不得扩大范围定密，因此“内部”“涉政”“重要”等标签只能作为识别线索，不能由系统自动推定为国家秘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vAlign w:val="center"/>
          </w:tcPr>
          <w:p>
            <w:pPr>
              <w:spacing w:after="20" w:line="300" w:lineRule="auto"/>
              <w:rPr>
                <w:sz w:val="21"/>
                <w:szCs w:val="21"/>
              </w:rPr>
            </w:pPr>
            <w:r>
              <w:rPr>
                <w:rFonts w:ascii="宋体" w:hAnsi="宋体" w:eastAsia="宋体"/>
                <w:b/>
                <w:color w:val="1F2937"/>
                <w:sz w:val="21"/>
                <w:szCs w:val="21"/>
              </w:rPr>
              <w:t>状态</w:t>
            </w:r>
          </w:p>
        </w:tc>
        <w:tc>
          <w:tcPr>
            <w:tcW w:w="4252" w:type="dxa"/>
            <w:vAlign w:val="center"/>
          </w:tcPr>
          <w:p>
            <w:pPr>
              <w:spacing w:after="20" w:line="300" w:lineRule="auto"/>
              <w:rPr>
                <w:sz w:val="21"/>
                <w:szCs w:val="21"/>
              </w:rPr>
            </w:pPr>
            <w:r>
              <w:rPr>
                <w:rFonts w:ascii="宋体" w:hAnsi="宋体" w:eastAsia="宋体"/>
                <w:b/>
                <w:color w:val="1F2937"/>
                <w:sz w:val="21"/>
                <w:szCs w:val="21"/>
              </w:rPr>
              <w:t>成立条件</w:t>
            </w:r>
          </w:p>
        </w:tc>
        <w:tc>
          <w:tcPr>
            <w:tcW w:w="3798" w:type="dxa"/>
            <w:vAlign w:val="center"/>
          </w:tcPr>
          <w:p>
            <w:pPr>
              <w:spacing w:after="20" w:line="300" w:lineRule="auto"/>
              <w:rPr>
                <w:sz w:val="21"/>
                <w:szCs w:val="21"/>
              </w:rPr>
            </w:pPr>
            <w:r>
              <w:rPr>
                <w:rFonts w:ascii="宋体" w:hAnsi="宋体" w:eastAsia="宋体"/>
                <w:b/>
                <w:color w:val="1F2937"/>
                <w:sz w:val="21"/>
                <w:szCs w:val="21"/>
              </w:rPr>
              <w:t>系统动作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允许处理</w:t>
            </w:r>
          </w:p>
        </w:tc>
        <w:tc>
          <w:tcPr>
            <w:tcW w:w="4252" w:type="dxa"/>
            <w:vAlign w:val="center"/>
          </w:tcPr>
          <w:p>
            <w:pPr>
              <w:spacing w:after="20" w:line="300" w:lineRule="auto"/>
              <w:rPr>
                <w:sz w:val="21"/>
                <w:szCs w:val="21"/>
              </w:rPr>
            </w:pPr>
            <w:r>
              <w:rPr>
                <w:rFonts w:ascii="宋体" w:hAnsi="宋体" w:eastAsia="宋体"/>
                <w:b w:val="0"/>
                <w:color w:val="1F2937"/>
                <w:sz w:val="21"/>
                <w:szCs w:val="21"/>
              </w:rPr>
              <w:t>法律基础、权限、处理条件明确，且已经执行必要最小化</w:t>
            </w:r>
          </w:p>
        </w:tc>
        <w:tc>
          <w:tcPr>
            <w:tcW w:w="3798" w:type="dxa"/>
            <w:vAlign w:val="center"/>
          </w:tcPr>
          <w:p>
            <w:pPr>
              <w:spacing w:after="20" w:line="300" w:lineRule="auto"/>
              <w:rPr>
                <w:sz w:val="21"/>
                <w:szCs w:val="21"/>
              </w:rPr>
            </w:pPr>
            <w:r>
              <w:rPr>
                <w:rFonts w:ascii="宋体" w:hAnsi="宋体" w:eastAsia="宋体"/>
                <w:b w:val="0"/>
                <w:color w:val="1F2937"/>
                <w:sz w:val="21"/>
                <w:szCs w:val="21"/>
              </w:rPr>
              <w:t>按最小化后的材料进入外部处理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补充处理后允许</w:t>
            </w:r>
          </w:p>
        </w:tc>
        <w:tc>
          <w:tcPr>
            <w:tcW w:w="4252" w:type="dxa"/>
            <w:vAlign w:val="center"/>
          </w:tcPr>
          <w:p>
            <w:pPr>
              <w:spacing w:after="20" w:line="300" w:lineRule="auto"/>
              <w:rPr>
                <w:sz w:val="21"/>
                <w:szCs w:val="21"/>
              </w:rPr>
            </w:pPr>
            <w:r>
              <w:rPr>
                <w:rFonts w:ascii="宋体" w:hAnsi="宋体" w:eastAsia="宋体"/>
                <w:b w:val="0"/>
                <w:color w:val="1F2937"/>
                <w:sz w:val="21"/>
                <w:szCs w:val="21"/>
              </w:rPr>
              <w:t>原始材料存在可消除的问题</w:t>
            </w:r>
          </w:p>
        </w:tc>
        <w:tc>
          <w:tcPr>
            <w:tcW w:w="3798" w:type="dxa"/>
            <w:vAlign w:val="center"/>
          </w:tcPr>
          <w:p>
            <w:pPr>
              <w:spacing w:after="20" w:line="300" w:lineRule="auto"/>
              <w:rPr>
                <w:sz w:val="21"/>
                <w:szCs w:val="21"/>
              </w:rPr>
            </w:pPr>
            <w:r>
              <w:rPr>
                <w:rFonts w:ascii="宋体" w:hAnsi="宋体" w:eastAsia="宋体"/>
                <w:b w:val="0"/>
                <w:color w:val="1F2937"/>
                <w:sz w:val="21"/>
                <w:szCs w:val="21"/>
              </w:rPr>
              <w:t>先删除/角色化/泛化/裁剪，再重新校验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补充核实</w:t>
            </w:r>
          </w:p>
        </w:tc>
        <w:tc>
          <w:tcPr>
            <w:tcW w:w="4252" w:type="dxa"/>
            <w:vAlign w:val="center"/>
          </w:tcPr>
          <w:p>
            <w:pPr>
              <w:spacing w:after="20" w:line="300" w:lineRule="auto"/>
              <w:rPr>
                <w:sz w:val="21"/>
                <w:szCs w:val="21"/>
              </w:rPr>
            </w:pPr>
            <w:r>
              <w:rPr>
                <w:rFonts w:ascii="宋体" w:hAnsi="宋体" w:eastAsia="宋体"/>
                <w:b w:val="0"/>
                <w:color w:val="1F2937"/>
                <w:sz w:val="21"/>
                <w:szCs w:val="21"/>
              </w:rPr>
              <w:t>存在会改变结论的决定性法律或事实问题</w:t>
            </w:r>
          </w:p>
        </w:tc>
        <w:tc>
          <w:tcPr>
            <w:tcW w:w="3798" w:type="dxa"/>
            <w:vAlign w:val="center"/>
          </w:tcPr>
          <w:p>
            <w:pPr>
              <w:spacing w:after="20" w:line="300" w:lineRule="auto"/>
              <w:rPr>
                <w:sz w:val="21"/>
                <w:szCs w:val="21"/>
              </w:rPr>
            </w:pPr>
            <w:r>
              <w:rPr>
                <w:rFonts w:ascii="宋体" w:hAnsi="宋体" w:eastAsia="宋体"/>
                <w:b w:val="0"/>
                <w:color w:val="1F2937"/>
                <w:sz w:val="21"/>
                <w:szCs w:val="21"/>
              </w:rPr>
              <w:t>暂停当前外部处理，形成具体待核实问题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sz w:val="21"/>
                <w:szCs w:val="21"/>
              </w:rPr>
            </w:pPr>
            <w:r>
              <w:rPr>
                <w:rFonts w:ascii="宋体" w:hAnsi="宋体" w:eastAsia="宋体"/>
                <w:b w:val="0"/>
                <w:color w:val="1F2937"/>
                <w:sz w:val="21"/>
                <w:szCs w:val="21"/>
              </w:rPr>
              <w:t>禁止外部处理</w:t>
            </w:r>
          </w:p>
        </w:tc>
        <w:tc>
          <w:tcPr>
            <w:tcW w:w="4252" w:type="dxa"/>
            <w:vAlign w:val="center"/>
          </w:tcPr>
          <w:p>
            <w:pPr>
              <w:spacing w:after="20" w:line="300" w:lineRule="auto"/>
              <w:rPr>
                <w:sz w:val="21"/>
                <w:szCs w:val="21"/>
              </w:rPr>
            </w:pPr>
            <w:r>
              <w:rPr>
                <w:rFonts w:ascii="宋体" w:hAnsi="宋体" w:eastAsia="宋体"/>
                <w:b w:val="0"/>
                <w:color w:val="1F2937"/>
                <w:sz w:val="21"/>
                <w:szCs w:val="21"/>
              </w:rPr>
              <w:t>硬性禁止构成完整成立，且普通最小化不能消除限制</w:t>
            </w:r>
          </w:p>
        </w:tc>
        <w:tc>
          <w:tcPr>
            <w:tcW w:w="3798" w:type="dxa"/>
            <w:vAlign w:val="center"/>
          </w:tcPr>
          <w:p>
            <w:pPr>
              <w:spacing w:after="20" w:line="300" w:lineRule="auto"/>
              <w:rPr>
                <w:sz w:val="21"/>
                <w:szCs w:val="21"/>
              </w:rPr>
            </w:pPr>
            <w:r>
              <w:rPr>
                <w:rFonts w:ascii="宋体" w:hAnsi="宋体" w:eastAsia="宋体"/>
                <w:b w:val="0"/>
                <w:color w:val="1F2937"/>
                <w:sz w:val="21"/>
                <w:szCs w:val="21"/>
              </w:rPr>
              <w:t>阻止当前外部调用，记录具体法律依据和适用事实</w:t>
            </w:r>
          </w:p>
        </w:tc>
      </w:tr>
    </w:tbl>
    <w:p>
      <w:pPr>
        <w:spacing w:after="40" w:line="300" w:lineRule="auto"/>
      </w:pPr>
    </w:p>
    <w:p>
      <w:pPr>
        <w:pStyle w:val="4"/>
        <w:spacing w:before="160" w:after="120" w:line="300" w:lineRule="auto"/>
        <w:jc w:val="center"/>
        <w:rPr>
          <w:rFonts w:hint="eastAsia" w:ascii="宋体" w:hAnsi="宋体" w:eastAsia="宋体" w:cs="宋体"/>
          <w:sz w:val="28"/>
          <w:szCs w:val="28"/>
        </w:rPr>
      </w:pPr>
      <w:r>
        <w:rPr>
          <w:rFonts w:hint="eastAsia" w:ascii="宋体" w:hAnsi="宋体" w:eastAsia="宋体" w:cs="宋体"/>
          <w:sz w:val="28"/>
          <w:szCs w:val="28"/>
          <w:lang w:val="en-US" w:eastAsia="zh-CN"/>
        </w:rPr>
        <w:t xml:space="preserve">第四章 </w:t>
      </w:r>
      <w:r>
        <w:rPr>
          <w:rFonts w:hint="eastAsia" w:ascii="宋体" w:hAnsi="宋体" w:eastAsia="宋体" w:cs="宋体"/>
          <w:sz w:val="28"/>
          <w:szCs w:val="28"/>
        </w:rPr>
        <w:t>人工复核与责任边界</w:t>
      </w:r>
    </w:p>
    <w:p>
      <w:pPr>
        <w:spacing w:before="0" w:after="100" w:line="300" w:lineRule="auto"/>
        <w:ind w:firstLine="420"/>
      </w:pPr>
      <w:r>
        <w:rPr>
          <w:rFonts w:ascii="宋体" w:hAnsi="宋体" w:eastAsia="宋体"/>
          <w:b w:val="0"/>
          <w:sz w:val="21"/>
        </w:rPr>
        <w:t>人工复核只处理机器无法安全确定、且会实质改变是否允许外部处理结论的问题。这样设计有两个目的：一是避免把大量能够自动脱敏和自动判断的普通信息都推给律师，削弱系统价值；二是保证真正需要法律专业判断的问题能够呈现充分事实、法源和责任边界。</w:t>
      </w:r>
    </w:p>
    <w:p>
      <w:pPr>
        <w:spacing w:before="0" w:after="100" w:line="300" w:lineRule="auto"/>
        <w:ind w:firstLine="420"/>
      </w:pPr>
      <w:r>
        <w:rPr>
          <w:rFonts w:ascii="宋体" w:hAnsi="宋体" w:eastAsia="宋体"/>
          <w:b w:val="0"/>
          <w:sz w:val="21"/>
        </w:rPr>
        <w:t>系统进入人工复核前，应先完成能够规则化的识别、最小化和材料裁剪。律师看到的不是整份原始材料和一堆高风险标签，而是系统已经收敛后的具体法律问题。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3583"/>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77" w:type="dxa"/>
            <w:vAlign w:val="center"/>
          </w:tcPr>
          <w:p>
            <w:pPr>
              <w:spacing w:after="20" w:line="300" w:lineRule="auto"/>
              <w:rPr>
                <w:sz w:val="21"/>
                <w:szCs w:val="21"/>
              </w:rPr>
            </w:pPr>
            <w:r>
              <w:rPr>
                <w:rFonts w:ascii="宋体" w:hAnsi="宋体" w:eastAsia="宋体"/>
                <w:b/>
                <w:color w:val="1F2937"/>
                <w:sz w:val="21"/>
                <w:szCs w:val="21"/>
              </w:rPr>
              <w:t>复核触发</w:t>
            </w:r>
          </w:p>
        </w:tc>
        <w:tc>
          <w:tcPr>
            <w:tcW w:w="3583" w:type="dxa"/>
            <w:vAlign w:val="center"/>
          </w:tcPr>
          <w:p>
            <w:pPr>
              <w:spacing w:after="20" w:line="300" w:lineRule="auto"/>
              <w:rPr>
                <w:sz w:val="21"/>
                <w:szCs w:val="21"/>
              </w:rPr>
            </w:pPr>
            <w:r>
              <w:rPr>
                <w:rFonts w:ascii="宋体" w:hAnsi="宋体" w:eastAsia="宋体"/>
                <w:b/>
                <w:color w:val="1F2937"/>
                <w:sz w:val="21"/>
                <w:szCs w:val="21"/>
              </w:rPr>
              <w:t>为什么机器不能直接下结论</w:t>
            </w:r>
          </w:p>
        </w:tc>
        <w:tc>
          <w:tcPr>
            <w:tcW w:w="3230" w:type="dxa"/>
            <w:vAlign w:val="center"/>
          </w:tcPr>
          <w:p>
            <w:pPr>
              <w:spacing w:after="20" w:line="300" w:lineRule="auto"/>
              <w:rPr>
                <w:sz w:val="21"/>
                <w:szCs w:val="21"/>
              </w:rPr>
            </w:pPr>
            <w:r>
              <w:rPr>
                <w:rFonts w:ascii="宋体" w:hAnsi="宋体" w:eastAsia="宋体"/>
                <w:b/>
                <w:color w:val="1F2937"/>
                <w:sz w:val="21"/>
                <w:szCs w:val="21"/>
              </w:rPr>
              <w:t>律师需要核什么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特别法适用无法确认</w:t>
            </w:r>
          </w:p>
        </w:tc>
        <w:tc>
          <w:tcPr>
            <w:tcW w:w="3583" w:type="dxa"/>
            <w:vAlign w:val="center"/>
          </w:tcPr>
          <w:p>
            <w:pPr>
              <w:spacing w:after="20" w:line="300" w:lineRule="auto"/>
              <w:rPr>
                <w:sz w:val="21"/>
                <w:szCs w:val="21"/>
              </w:rPr>
            </w:pPr>
            <w:r>
              <w:rPr>
                <w:rFonts w:ascii="宋体" w:hAnsi="宋体" w:eastAsia="宋体"/>
                <w:b w:val="0"/>
                <w:color w:val="1F2937"/>
                <w:sz w:val="21"/>
                <w:szCs w:val="21"/>
              </w:rPr>
              <w:t>同一事实可能同时涉及个保法、传染病防治、未成年人、保密等规则</w:t>
            </w:r>
          </w:p>
        </w:tc>
        <w:tc>
          <w:tcPr>
            <w:tcW w:w="3230" w:type="dxa"/>
            <w:vAlign w:val="center"/>
          </w:tcPr>
          <w:p>
            <w:pPr>
              <w:spacing w:after="20" w:line="300" w:lineRule="auto"/>
              <w:rPr>
                <w:sz w:val="21"/>
                <w:szCs w:val="21"/>
              </w:rPr>
            </w:pPr>
            <w:r>
              <w:rPr>
                <w:rFonts w:ascii="宋体" w:hAnsi="宋体" w:eastAsia="宋体"/>
                <w:b w:val="0"/>
                <w:color w:val="1F2937"/>
                <w:sz w:val="21"/>
                <w:szCs w:val="21"/>
              </w:rPr>
              <w:t>核对法条、主体、行为和构成要件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处分权限不明确</w:t>
            </w:r>
          </w:p>
        </w:tc>
        <w:tc>
          <w:tcPr>
            <w:tcW w:w="3583" w:type="dxa"/>
            <w:vAlign w:val="center"/>
          </w:tcPr>
          <w:p>
            <w:pPr>
              <w:spacing w:after="20" w:line="300" w:lineRule="auto"/>
              <w:rPr>
                <w:sz w:val="21"/>
                <w:szCs w:val="21"/>
              </w:rPr>
            </w:pPr>
            <w:r>
              <w:rPr>
                <w:rFonts w:ascii="宋体" w:hAnsi="宋体" w:eastAsia="宋体"/>
                <w:b w:val="0"/>
                <w:color w:val="1F2937"/>
                <w:sz w:val="21"/>
                <w:szCs w:val="21"/>
              </w:rPr>
              <w:t>持有或查阅材料不等于可以向外部第三方提供</w:t>
            </w:r>
          </w:p>
        </w:tc>
        <w:tc>
          <w:tcPr>
            <w:tcW w:w="3230" w:type="dxa"/>
            <w:vAlign w:val="center"/>
          </w:tcPr>
          <w:p>
            <w:pPr>
              <w:spacing w:after="20" w:line="300" w:lineRule="auto"/>
              <w:rPr>
                <w:sz w:val="21"/>
                <w:szCs w:val="21"/>
              </w:rPr>
            </w:pPr>
            <w:r>
              <w:rPr>
                <w:rFonts w:ascii="宋体" w:hAnsi="宋体" w:eastAsia="宋体"/>
                <w:b w:val="0"/>
                <w:color w:val="1F2937"/>
                <w:sz w:val="21"/>
                <w:szCs w:val="21"/>
              </w:rPr>
              <w:t>核对授权人、授权范围、是否包含委托/提供、是否有相反限制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保密义务范围不明确</w:t>
            </w:r>
          </w:p>
        </w:tc>
        <w:tc>
          <w:tcPr>
            <w:tcW w:w="3583" w:type="dxa"/>
            <w:vAlign w:val="center"/>
          </w:tcPr>
          <w:p>
            <w:pPr>
              <w:spacing w:after="20" w:line="300" w:lineRule="auto"/>
              <w:rPr>
                <w:sz w:val="21"/>
                <w:szCs w:val="21"/>
              </w:rPr>
            </w:pPr>
            <w:r>
              <w:rPr>
                <w:rFonts w:ascii="宋体" w:hAnsi="宋体" w:eastAsia="宋体"/>
                <w:b w:val="0"/>
                <w:color w:val="1F2937"/>
                <w:sz w:val="21"/>
                <w:szCs w:val="21"/>
              </w:rPr>
              <w:t>NDA/合同可能只限制公开披露，也可能限制所有第三方处理</w:t>
            </w:r>
          </w:p>
        </w:tc>
        <w:tc>
          <w:tcPr>
            <w:tcW w:w="3230" w:type="dxa"/>
            <w:vAlign w:val="center"/>
          </w:tcPr>
          <w:p>
            <w:pPr>
              <w:spacing w:after="20" w:line="300" w:lineRule="auto"/>
              <w:rPr>
                <w:sz w:val="21"/>
                <w:szCs w:val="21"/>
              </w:rPr>
            </w:pPr>
            <w:r>
              <w:rPr>
                <w:rFonts w:ascii="宋体" w:hAnsi="宋体" w:eastAsia="宋体"/>
                <w:b w:val="0"/>
                <w:color w:val="1F2937"/>
                <w:sz w:val="21"/>
                <w:szCs w:val="21"/>
              </w:rPr>
              <w:t>核对第三方披露、委托/转委托、例外条款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司法/仲裁保密措施不明确</w:t>
            </w:r>
          </w:p>
        </w:tc>
        <w:tc>
          <w:tcPr>
            <w:tcW w:w="3583" w:type="dxa"/>
            <w:vAlign w:val="center"/>
          </w:tcPr>
          <w:p>
            <w:pPr>
              <w:spacing w:after="20" w:line="300" w:lineRule="auto"/>
              <w:rPr>
                <w:sz w:val="21"/>
                <w:szCs w:val="21"/>
              </w:rPr>
            </w:pPr>
            <w:r>
              <w:rPr>
                <w:rFonts w:ascii="宋体" w:hAnsi="宋体" w:eastAsia="宋体"/>
                <w:b w:val="0"/>
                <w:color w:val="1F2937"/>
                <w:sz w:val="21"/>
                <w:szCs w:val="21"/>
              </w:rPr>
              <w:t>仅有“不公开审理”等描述不足以判断</w:t>
            </w:r>
          </w:p>
        </w:tc>
        <w:tc>
          <w:tcPr>
            <w:tcW w:w="3230" w:type="dxa"/>
            <w:vAlign w:val="center"/>
          </w:tcPr>
          <w:p>
            <w:pPr>
              <w:spacing w:after="20" w:line="300" w:lineRule="auto"/>
              <w:rPr>
                <w:sz w:val="21"/>
                <w:szCs w:val="21"/>
              </w:rPr>
            </w:pPr>
            <w:r>
              <w:rPr>
                <w:rFonts w:ascii="宋体" w:hAnsi="宋体" w:eastAsia="宋体"/>
                <w:b w:val="0"/>
                <w:color w:val="1F2937"/>
                <w:sz w:val="21"/>
                <w:szCs w:val="21"/>
              </w:rPr>
              <w:t>核对保密令、承诺书、限制接触/复制/使用范围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外部服务商处理关系不明确</w:t>
            </w:r>
          </w:p>
        </w:tc>
        <w:tc>
          <w:tcPr>
            <w:tcW w:w="3583" w:type="dxa"/>
            <w:vAlign w:val="center"/>
          </w:tcPr>
          <w:p>
            <w:pPr>
              <w:spacing w:after="20" w:line="300" w:lineRule="auto"/>
              <w:rPr>
                <w:sz w:val="21"/>
                <w:szCs w:val="21"/>
              </w:rPr>
            </w:pPr>
            <w:r>
              <w:rPr>
                <w:rFonts w:ascii="宋体" w:hAnsi="宋体" w:eastAsia="宋体"/>
                <w:b w:val="0"/>
                <w:color w:val="1F2937"/>
                <w:sz w:val="21"/>
                <w:szCs w:val="21"/>
              </w:rPr>
              <w:t>委托处理与向其他处理者提供适用规则不同</w:t>
            </w:r>
          </w:p>
        </w:tc>
        <w:tc>
          <w:tcPr>
            <w:tcW w:w="3230" w:type="dxa"/>
            <w:vAlign w:val="center"/>
          </w:tcPr>
          <w:p>
            <w:pPr>
              <w:spacing w:after="20" w:line="300" w:lineRule="auto"/>
              <w:rPr>
                <w:sz w:val="21"/>
                <w:szCs w:val="21"/>
              </w:rPr>
            </w:pPr>
            <w:r>
              <w:rPr>
                <w:rFonts w:ascii="宋体" w:hAnsi="宋体" w:eastAsia="宋体"/>
                <w:b w:val="0"/>
                <w:color w:val="1F2937"/>
                <w:sz w:val="21"/>
                <w:szCs w:val="21"/>
              </w:rPr>
              <w:t>核对处理目的、保存、训练、人工访问、再委托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是否发生跨境无法确认</w:t>
            </w:r>
          </w:p>
        </w:tc>
        <w:tc>
          <w:tcPr>
            <w:tcW w:w="3583" w:type="dxa"/>
            <w:vAlign w:val="center"/>
          </w:tcPr>
          <w:p>
            <w:pPr>
              <w:spacing w:after="20" w:line="300" w:lineRule="auto"/>
              <w:rPr>
                <w:sz w:val="21"/>
                <w:szCs w:val="21"/>
              </w:rPr>
            </w:pPr>
            <w:r>
              <w:rPr>
                <w:rFonts w:ascii="宋体" w:hAnsi="宋体" w:eastAsia="宋体"/>
                <w:b w:val="0"/>
                <w:color w:val="1F2937"/>
                <w:sz w:val="21"/>
                <w:szCs w:val="21"/>
              </w:rPr>
              <w:t>境外公司或品牌不等于实际出境</w:t>
            </w:r>
          </w:p>
        </w:tc>
        <w:tc>
          <w:tcPr>
            <w:tcW w:w="3230" w:type="dxa"/>
            <w:vAlign w:val="center"/>
          </w:tcPr>
          <w:p>
            <w:pPr>
              <w:spacing w:after="20" w:line="300" w:lineRule="auto"/>
              <w:rPr>
                <w:sz w:val="21"/>
                <w:szCs w:val="21"/>
              </w:rPr>
            </w:pPr>
            <w:r>
              <w:rPr>
                <w:rFonts w:ascii="宋体" w:hAnsi="宋体" w:eastAsia="宋体"/>
                <w:b w:val="0"/>
                <w:color w:val="1F2937"/>
                <w:sz w:val="21"/>
                <w:szCs w:val="21"/>
              </w:rPr>
              <w:t>核对传输、存储、访问地点和适用跨境机制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规则之间存在真实冲突</w:t>
            </w:r>
          </w:p>
        </w:tc>
        <w:tc>
          <w:tcPr>
            <w:tcW w:w="3583" w:type="dxa"/>
            <w:vAlign w:val="center"/>
          </w:tcPr>
          <w:p>
            <w:pPr>
              <w:spacing w:after="20" w:line="300" w:lineRule="auto"/>
              <w:rPr>
                <w:sz w:val="21"/>
                <w:szCs w:val="21"/>
              </w:rPr>
            </w:pPr>
            <w:r>
              <w:rPr>
                <w:rFonts w:ascii="宋体" w:hAnsi="宋体" w:eastAsia="宋体"/>
                <w:b w:val="0"/>
                <w:color w:val="1F2937"/>
                <w:sz w:val="21"/>
                <w:szCs w:val="21"/>
              </w:rPr>
              <w:t>不同规则可能约束不同主体或行为</w:t>
            </w:r>
          </w:p>
        </w:tc>
        <w:tc>
          <w:tcPr>
            <w:tcW w:w="3230" w:type="dxa"/>
            <w:vAlign w:val="center"/>
          </w:tcPr>
          <w:p>
            <w:pPr>
              <w:spacing w:after="20" w:line="300" w:lineRule="auto"/>
              <w:rPr>
                <w:sz w:val="21"/>
                <w:szCs w:val="21"/>
              </w:rPr>
            </w:pPr>
            <w:r>
              <w:rPr>
                <w:rFonts w:ascii="宋体" w:hAnsi="宋体" w:eastAsia="宋体"/>
                <w:b w:val="0"/>
                <w:color w:val="1F2937"/>
                <w:sz w:val="21"/>
                <w:szCs w:val="21"/>
              </w:rPr>
              <w:t>核对规范层级、特别法关系及最小化能否协调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重识别风险无法确认</w:t>
            </w:r>
          </w:p>
        </w:tc>
        <w:tc>
          <w:tcPr>
            <w:tcW w:w="3583" w:type="dxa"/>
            <w:vAlign w:val="center"/>
          </w:tcPr>
          <w:p>
            <w:pPr>
              <w:spacing w:after="20" w:line="300" w:lineRule="auto"/>
              <w:rPr>
                <w:sz w:val="21"/>
                <w:szCs w:val="21"/>
              </w:rPr>
            </w:pPr>
            <w:r>
              <w:rPr>
                <w:rFonts w:ascii="宋体" w:hAnsi="宋体" w:eastAsia="宋体"/>
                <w:b w:val="0"/>
                <w:color w:val="1F2937"/>
                <w:sz w:val="21"/>
                <w:szCs w:val="21"/>
              </w:rPr>
              <w:t>删除姓名后仍可能由岗位、时间、金额等组合识别</w:t>
            </w:r>
          </w:p>
        </w:tc>
        <w:tc>
          <w:tcPr>
            <w:tcW w:w="3230" w:type="dxa"/>
            <w:vAlign w:val="center"/>
          </w:tcPr>
          <w:p>
            <w:pPr>
              <w:spacing w:after="20" w:line="300" w:lineRule="auto"/>
              <w:rPr>
                <w:sz w:val="21"/>
                <w:szCs w:val="21"/>
              </w:rPr>
            </w:pPr>
            <w:r>
              <w:rPr>
                <w:rFonts w:ascii="宋体" w:hAnsi="宋体" w:eastAsia="宋体"/>
                <w:b w:val="0"/>
                <w:color w:val="1F2937"/>
                <w:sz w:val="21"/>
                <w:szCs w:val="21"/>
              </w:rPr>
              <w:t>核对直接标识符、准标识符及组合风险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决定性事实缺失</w:t>
            </w:r>
          </w:p>
        </w:tc>
        <w:tc>
          <w:tcPr>
            <w:tcW w:w="3583" w:type="dxa"/>
            <w:vAlign w:val="center"/>
          </w:tcPr>
          <w:p>
            <w:pPr>
              <w:spacing w:after="20" w:line="300" w:lineRule="auto"/>
              <w:rPr>
                <w:sz w:val="21"/>
                <w:szCs w:val="21"/>
              </w:rPr>
            </w:pPr>
            <w:r>
              <w:rPr>
                <w:rFonts w:ascii="宋体" w:hAnsi="宋体" w:eastAsia="宋体"/>
                <w:b w:val="0"/>
                <w:color w:val="1F2937"/>
                <w:sz w:val="21"/>
                <w:szCs w:val="21"/>
              </w:rPr>
              <w:t>作出法律结论所需事实不在当前材料中</w:t>
            </w:r>
          </w:p>
        </w:tc>
        <w:tc>
          <w:tcPr>
            <w:tcW w:w="3230" w:type="dxa"/>
            <w:vAlign w:val="center"/>
          </w:tcPr>
          <w:p>
            <w:pPr>
              <w:spacing w:after="20" w:line="300" w:lineRule="auto"/>
              <w:rPr>
                <w:sz w:val="21"/>
                <w:szCs w:val="21"/>
              </w:rPr>
            </w:pPr>
            <w:r>
              <w:rPr>
                <w:rFonts w:ascii="宋体" w:hAnsi="宋体" w:eastAsia="宋体"/>
                <w:b w:val="0"/>
                <w:color w:val="1F2937"/>
                <w:sz w:val="21"/>
                <w:szCs w:val="21"/>
              </w:rPr>
              <w:t>明确需要补充什么事实后再判断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pPr>
              <w:spacing w:after="20" w:line="300" w:lineRule="auto"/>
              <w:rPr>
                <w:sz w:val="21"/>
                <w:szCs w:val="21"/>
              </w:rPr>
            </w:pPr>
            <w:r>
              <w:rPr>
                <w:rFonts w:ascii="宋体" w:hAnsi="宋体" w:eastAsia="宋体"/>
                <w:b w:val="0"/>
                <w:color w:val="1F2937"/>
                <w:sz w:val="21"/>
                <w:szCs w:val="21"/>
              </w:rPr>
              <w:t>涉密属性不明确</w:t>
            </w:r>
          </w:p>
        </w:tc>
        <w:tc>
          <w:tcPr>
            <w:tcW w:w="3583" w:type="dxa"/>
            <w:vAlign w:val="center"/>
          </w:tcPr>
          <w:p>
            <w:pPr>
              <w:spacing w:after="20" w:line="300" w:lineRule="auto"/>
              <w:rPr>
                <w:sz w:val="21"/>
                <w:szCs w:val="21"/>
              </w:rPr>
            </w:pPr>
            <w:r>
              <w:rPr>
                <w:rFonts w:ascii="宋体" w:hAnsi="宋体" w:eastAsia="宋体"/>
                <w:b w:val="0"/>
                <w:color w:val="1F2937"/>
                <w:sz w:val="21"/>
                <w:szCs w:val="21"/>
              </w:rPr>
              <w:t>“内部、重要、涉政”等标签不足以证明国家秘密</w:t>
            </w:r>
          </w:p>
        </w:tc>
        <w:tc>
          <w:tcPr>
            <w:tcW w:w="3230" w:type="dxa"/>
            <w:vAlign w:val="center"/>
          </w:tcPr>
          <w:p>
            <w:pPr>
              <w:spacing w:after="20" w:line="300" w:lineRule="auto"/>
              <w:rPr>
                <w:sz w:val="21"/>
                <w:szCs w:val="21"/>
              </w:rPr>
            </w:pPr>
            <w:r>
              <w:rPr>
                <w:rFonts w:ascii="宋体" w:hAnsi="宋体" w:eastAsia="宋体"/>
                <w:b w:val="0"/>
                <w:color w:val="1F2937"/>
                <w:sz w:val="21"/>
                <w:szCs w:val="21"/>
              </w:rPr>
              <w:t>核对定密依据、密级和处理环境</w:t>
            </w:r>
          </w:p>
        </w:tc>
      </w:tr>
    </w:tbl>
    <w:p>
      <w:pPr>
        <w:pStyle w:val="4"/>
        <w:spacing w:before="160" w:after="120" w:line="300" w:lineRule="auto"/>
      </w:pPr>
    </w:p>
    <w:p>
      <w:pPr>
        <w:spacing w:before="0" w:after="100" w:line="300" w:lineRule="auto"/>
        <w:ind w:firstLine="420"/>
      </w:pPr>
      <w:r>
        <w:rPr>
          <w:rFonts w:ascii="宋体" w:hAnsi="宋体" w:eastAsia="宋体"/>
          <w:b w:val="0"/>
          <w:sz w:val="21"/>
        </w:rPr>
        <w:t>人工审批首页只保留六块最关键信息，每块首页仅显示摘要，完整事实和法条通过二级详情页展开。这样既保证律师判断所需的信息完整，也避免页面形成“法律文本墙”。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0"/>
        <w:gridCol w:w="3230"/>
        <w:gridCol w:w="3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vAlign w:val="center"/>
          </w:tcPr>
          <w:p>
            <w:pPr>
              <w:spacing w:after="20" w:line="300" w:lineRule="auto"/>
              <w:rPr>
                <w:sz w:val="21"/>
                <w:szCs w:val="21"/>
              </w:rPr>
            </w:pPr>
            <w:r>
              <w:rPr>
                <w:rFonts w:ascii="宋体" w:hAnsi="宋体" w:eastAsia="宋体"/>
                <w:b/>
                <w:color w:val="1F2937"/>
                <w:sz w:val="21"/>
                <w:szCs w:val="21"/>
              </w:rPr>
              <w:t>区块</w:t>
            </w:r>
          </w:p>
        </w:tc>
        <w:tc>
          <w:tcPr>
            <w:tcW w:w="3231" w:type="dxa"/>
            <w:vAlign w:val="center"/>
          </w:tcPr>
          <w:p>
            <w:pPr>
              <w:spacing w:after="20" w:line="300" w:lineRule="auto"/>
              <w:rPr>
                <w:sz w:val="21"/>
                <w:szCs w:val="21"/>
              </w:rPr>
            </w:pPr>
            <w:r>
              <w:rPr>
                <w:rFonts w:ascii="宋体" w:hAnsi="宋体" w:eastAsia="宋体"/>
                <w:b/>
                <w:color w:val="1F2937"/>
                <w:sz w:val="21"/>
                <w:szCs w:val="21"/>
              </w:rPr>
              <w:t>首页展示</w:t>
            </w:r>
          </w:p>
        </w:tc>
        <w:tc>
          <w:tcPr>
            <w:tcW w:w="4592" w:type="dxa"/>
            <w:vAlign w:val="center"/>
          </w:tcPr>
          <w:p>
            <w:pPr>
              <w:spacing w:after="20" w:line="300" w:lineRule="auto"/>
              <w:rPr>
                <w:sz w:val="21"/>
                <w:szCs w:val="21"/>
              </w:rPr>
            </w:pPr>
            <w:r>
              <w:rPr>
                <w:rFonts w:ascii="宋体" w:hAnsi="宋体" w:eastAsia="宋体"/>
                <w:b/>
                <w:color w:val="1F2937"/>
                <w:sz w:val="21"/>
                <w:szCs w:val="21"/>
              </w:rPr>
              <w:t>详情页展示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20" w:line="300" w:lineRule="auto"/>
              <w:rPr>
                <w:sz w:val="21"/>
                <w:szCs w:val="21"/>
              </w:rPr>
            </w:pPr>
            <w:r>
              <w:rPr>
                <w:rFonts w:ascii="宋体" w:hAnsi="宋体" w:eastAsia="宋体"/>
                <w:b w:val="0"/>
                <w:color w:val="1F2937"/>
                <w:sz w:val="21"/>
                <w:szCs w:val="21"/>
              </w:rPr>
              <w:t>1. 为什么需要我看</w:t>
            </w:r>
          </w:p>
        </w:tc>
        <w:tc>
          <w:tcPr>
            <w:tcW w:w="3231" w:type="dxa"/>
            <w:vAlign w:val="center"/>
          </w:tcPr>
          <w:p>
            <w:pPr>
              <w:spacing w:after="20" w:line="300" w:lineRule="auto"/>
              <w:rPr>
                <w:sz w:val="21"/>
                <w:szCs w:val="21"/>
              </w:rPr>
            </w:pPr>
            <w:r>
              <w:rPr>
                <w:rFonts w:ascii="宋体" w:hAnsi="宋体" w:eastAsia="宋体"/>
                <w:b w:val="0"/>
                <w:color w:val="1F2937"/>
                <w:sz w:val="21"/>
                <w:szCs w:val="21"/>
              </w:rPr>
              <w:t>仅列1</w:t>
            </w:r>
            <w:r>
              <w:rPr>
                <w:rFonts w:hint="eastAsia"/>
                <w:b w:val="0"/>
                <w:color w:val="1F2937"/>
                <w:sz w:val="21"/>
                <w:szCs w:val="21"/>
                <w:lang w:eastAsia="zh-CN"/>
              </w:rPr>
              <w:t>-</w:t>
            </w:r>
            <w:r>
              <w:rPr>
                <w:rFonts w:ascii="宋体" w:hAnsi="宋体" w:eastAsia="宋体"/>
                <w:b w:val="0"/>
                <w:color w:val="1F2937"/>
                <w:sz w:val="21"/>
                <w:szCs w:val="21"/>
              </w:rPr>
              <w:t>2个核心待确认问题</w:t>
            </w:r>
          </w:p>
        </w:tc>
        <w:tc>
          <w:tcPr>
            <w:tcW w:w="4592" w:type="dxa"/>
            <w:vAlign w:val="center"/>
          </w:tcPr>
          <w:p>
            <w:pPr>
              <w:spacing w:after="20" w:line="300" w:lineRule="auto"/>
              <w:rPr>
                <w:sz w:val="21"/>
                <w:szCs w:val="21"/>
              </w:rPr>
            </w:pPr>
            <w:r>
              <w:rPr>
                <w:rFonts w:ascii="宋体" w:hAnsi="宋体" w:eastAsia="宋体"/>
                <w:b w:val="0"/>
                <w:color w:val="1F2937"/>
                <w:sz w:val="21"/>
                <w:szCs w:val="21"/>
              </w:rPr>
              <w:t>完整触发背景、为什么影响结论、系统已确认事实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20" w:line="300" w:lineRule="auto"/>
              <w:rPr>
                <w:sz w:val="21"/>
                <w:szCs w:val="21"/>
              </w:rPr>
            </w:pPr>
            <w:r>
              <w:rPr>
                <w:rFonts w:ascii="宋体" w:hAnsi="宋体" w:eastAsia="宋体"/>
                <w:b w:val="0"/>
                <w:color w:val="1F2937"/>
                <w:sz w:val="21"/>
                <w:szCs w:val="21"/>
              </w:rPr>
              <w:t>2. 关键材料片段</w:t>
            </w:r>
          </w:p>
        </w:tc>
        <w:tc>
          <w:tcPr>
            <w:tcW w:w="3231" w:type="dxa"/>
            <w:vAlign w:val="center"/>
          </w:tcPr>
          <w:p>
            <w:pPr>
              <w:spacing w:after="20" w:line="300" w:lineRule="auto"/>
              <w:rPr>
                <w:sz w:val="21"/>
                <w:szCs w:val="21"/>
              </w:rPr>
            </w:pPr>
            <w:r>
              <w:rPr>
                <w:rFonts w:ascii="宋体" w:hAnsi="宋体" w:eastAsia="宋体"/>
                <w:b w:val="0"/>
                <w:color w:val="1F2937"/>
                <w:sz w:val="21"/>
                <w:szCs w:val="21"/>
              </w:rPr>
              <w:t>仅显示完成判断所需的脱敏片段</w:t>
            </w:r>
          </w:p>
        </w:tc>
        <w:tc>
          <w:tcPr>
            <w:tcW w:w="4592" w:type="dxa"/>
            <w:vAlign w:val="center"/>
          </w:tcPr>
          <w:p>
            <w:pPr>
              <w:spacing w:after="20" w:line="300" w:lineRule="auto"/>
              <w:rPr>
                <w:sz w:val="21"/>
                <w:szCs w:val="21"/>
              </w:rPr>
            </w:pPr>
            <w:r>
              <w:rPr>
                <w:rFonts w:ascii="宋体" w:hAnsi="宋体" w:eastAsia="宋体"/>
                <w:b w:val="0"/>
                <w:color w:val="1F2937"/>
                <w:sz w:val="21"/>
                <w:szCs w:val="21"/>
              </w:rPr>
              <w:t>保留/隐藏字段、必要时二次确认查看完整上下文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20" w:line="300" w:lineRule="auto"/>
              <w:rPr>
                <w:sz w:val="21"/>
                <w:szCs w:val="21"/>
              </w:rPr>
            </w:pPr>
            <w:r>
              <w:rPr>
                <w:rFonts w:ascii="宋体" w:hAnsi="宋体" w:eastAsia="宋体"/>
                <w:b w:val="0"/>
                <w:color w:val="1F2937"/>
                <w:sz w:val="21"/>
                <w:szCs w:val="21"/>
              </w:rPr>
              <w:t>3. 系统已做处理</w:t>
            </w:r>
          </w:p>
        </w:tc>
        <w:tc>
          <w:tcPr>
            <w:tcW w:w="3231" w:type="dxa"/>
            <w:vAlign w:val="center"/>
          </w:tcPr>
          <w:p>
            <w:pPr>
              <w:spacing w:after="20" w:line="300" w:lineRule="auto"/>
              <w:rPr>
                <w:sz w:val="21"/>
                <w:szCs w:val="21"/>
              </w:rPr>
            </w:pPr>
            <w:r>
              <w:rPr>
                <w:rFonts w:ascii="宋体" w:hAnsi="宋体" w:eastAsia="宋体"/>
                <w:b w:val="0"/>
                <w:color w:val="1F2937"/>
                <w:sz w:val="21"/>
                <w:szCs w:val="21"/>
              </w:rPr>
              <w:t>标签展示姓名替换、证件号删除、地址泛化等</w:t>
            </w:r>
          </w:p>
        </w:tc>
        <w:tc>
          <w:tcPr>
            <w:tcW w:w="4592" w:type="dxa"/>
            <w:vAlign w:val="center"/>
          </w:tcPr>
          <w:p>
            <w:pPr>
              <w:spacing w:after="20" w:line="300" w:lineRule="auto"/>
              <w:rPr>
                <w:sz w:val="21"/>
                <w:szCs w:val="21"/>
              </w:rPr>
            </w:pPr>
            <w:r>
              <w:rPr>
                <w:rFonts w:ascii="宋体" w:hAnsi="宋体" w:eastAsia="宋体"/>
                <w:b w:val="0"/>
                <w:color w:val="1F2937"/>
                <w:sz w:val="21"/>
                <w:szCs w:val="21"/>
              </w:rPr>
              <w:t>完整脱敏清单、保留清单、处理日志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20" w:line="300" w:lineRule="auto"/>
              <w:rPr>
                <w:sz w:val="21"/>
                <w:szCs w:val="21"/>
              </w:rPr>
            </w:pPr>
            <w:r>
              <w:rPr>
                <w:rFonts w:ascii="宋体" w:hAnsi="宋体" w:eastAsia="宋体"/>
                <w:b w:val="0"/>
                <w:color w:val="1F2937"/>
                <w:sz w:val="21"/>
                <w:szCs w:val="21"/>
              </w:rPr>
              <w:t>4. 法律依据与风险提示</w:t>
            </w:r>
          </w:p>
        </w:tc>
        <w:tc>
          <w:tcPr>
            <w:tcW w:w="3231" w:type="dxa"/>
            <w:vAlign w:val="center"/>
          </w:tcPr>
          <w:p>
            <w:pPr>
              <w:spacing w:after="20" w:line="300" w:lineRule="auto"/>
              <w:rPr>
                <w:sz w:val="21"/>
                <w:szCs w:val="21"/>
              </w:rPr>
            </w:pPr>
            <w:r>
              <w:rPr>
                <w:rFonts w:ascii="宋体" w:hAnsi="宋体" w:eastAsia="宋体"/>
                <w:b w:val="0"/>
                <w:color w:val="1F2937"/>
                <w:sz w:val="21"/>
                <w:szCs w:val="21"/>
              </w:rPr>
              <w:t>首页仅显示2</w:t>
            </w:r>
            <w:r>
              <w:rPr>
                <w:rFonts w:hint="eastAsia"/>
                <w:b w:val="0"/>
                <w:color w:val="1F2937"/>
                <w:sz w:val="21"/>
                <w:szCs w:val="21"/>
                <w:lang w:eastAsia="zh-CN"/>
              </w:rPr>
              <w:t>-</w:t>
            </w:r>
            <w:r>
              <w:rPr>
                <w:rFonts w:ascii="宋体" w:hAnsi="宋体" w:eastAsia="宋体"/>
                <w:b w:val="0"/>
                <w:color w:val="1F2937"/>
                <w:sz w:val="21"/>
                <w:szCs w:val="21"/>
              </w:rPr>
              <w:t>3条最相关法源和短提示</w:t>
            </w:r>
          </w:p>
        </w:tc>
        <w:tc>
          <w:tcPr>
            <w:tcW w:w="4592" w:type="dxa"/>
            <w:vAlign w:val="center"/>
          </w:tcPr>
          <w:p>
            <w:pPr>
              <w:spacing w:after="20" w:line="300" w:lineRule="auto"/>
              <w:rPr>
                <w:sz w:val="21"/>
                <w:szCs w:val="21"/>
              </w:rPr>
            </w:pPr>
            <w:r>
              <w:rPr>
                <w:rFonts w:ascii="宋体" w:hAnsi="宋体" w:eastAsia="宋体"/>
                <w:b w:val="0"/>
                <w:color w:val="1F2937"/>
                <w:sz w:val="21"/>
                <w:szCs w:val="21"/>
              </w:rPr>
              <w:t>法源名称、条款、与工单关系、原文入口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20" w:line="300" w:lineRule="auto"/>
              <w:rPr>
                <w:sz w:val="21"/>
                <w:szCs w:val="21"/>
              </w:rPr>
            </w:pPr>
            <w:r>
              <w:rPr>
                <w:rFonts w:ascii="宋体" w:hAnsi="宋体" w:eastAsia="宋体"/>
                <w:b w:val="0"/>
                <w:color w:val="1F2937"/>
                <w:sz w:val="21"/>
                <w:szCs w:val="21"/>
              </w:rPr>
              <w:t>5. 拟进行的外部处理</w:t>
            </w:r>
          </w:p>
        </w:tc>
        <w:tc>
          <w:tcPr>
            <w:tcW w:w="3231" w:type="dxa"/>
            <w:vAlign w:val="center"/>
          </w:tcPr>
          <w:p>
            <w:pPr>
              <w:spacing w:after="20" w:line="300" w:lineRule="auto"/>
              <w:rPr>
                <w:sz w:val="21"/>
                <w:szCs w:val="21"/>
              </w:rPr>
            </w:pPr>
            <w:r>
              <w:rPr>
                <w:rFonts w:ascii="宋体" w:hAnsi="宋体" w:eastAsia="宋体"/>
                <w:b w:val="0"/>
                <w:color w:val="1F2937"/>
                <w:sz w:val="21"/>
                <w:szCs w:val="21"/>
              </w:rPr>
              <w:t>处理目的、发送内容、数据流向状态</w:t>
            </w:r>
          </w:p>
        </w:tc>
        <w:tc>
          <w:tcPr>
            <w:tcW w:w="4592" w:type="dxa"/>
            <w:vAlign w:val="center"/>
          </w:tcPr>
          <w:p>
            <w:pPr>
              <w:spacing w:after="20" w:line="300" w:lineRule="auto"/>
              <w:rPr>
                <w:sz w:val="21"/>
                <w:szCs w:val="21"/>
              </w:rPr>
            </w:pPr>
            <w:r>
              <w:rPr>
                <w:rFonts w:ascii="宋体" w:hAnsi="宋体" w:eastAsia="宋体"/>
                <w:b w:val="0"/>
                <w:color w:val="1F2937"/>
                <w:sz w:val="21"/>
                <w:szCs w:val="21"/>
              </w:rPr>
              <w:t>接收关系、保存、训练、人工访问、再委托、跨境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pPr>
              <w:spacing w:after="20" w:line="300" w:lineRule="auto"/>
              <w:rPr>
                <w:sz w:val="21"/>
                <w:szCs w:val="21"/>
              </w:rPr>
            </w:pPr>
            <w:r>
              <w:rPr>
                <w:rFonts w:ascii="宋体" w:hAnsi="宋体" w:eastAsia="宋体"/>
                <w:b w:val="0"/>
                <w:color w:val="1F2937"/>
                <w:sz w:val="21"/>
                <w:szCs w:val="21"/>
              </w:rPr>
              <w:t>6. 审批结果</w:t>
            </w:r>
          </w:p>
        </w:tc>
        <w:tc>
          <w:tcPr>
            <w:tcW w:w="3231" w:type="dxa"/>
            <w:vAlign w:val="center"/>
          </w:tcPr>
          <w:p>
            <w:pPr>
              <w:spacing w:after="20" w:line="300" w:lineRule="auto"/>
              <w:rPr>
                <w:sz w:val="21"/>
                <w:szCs w:val="21"/>
              </w:rPr>
            </w:pPr>
            <w:r>
              <w:rPr>
                <w:rFonts w:ascii="宋体" w:hAnsi="宋体" w:eastAsia="宋体"/>
                <w:b w:val="0"/>
                <w:color w:val="1F2937"/>
                <w:sz w:val="21"/>
                <w:szCs w:val="21"/>
              </w:rPr>
              <w:t>四个结论选项＋必填理由</w:t>
            </w:r>
          </w:p>
        </w:tc>
        <w:tc>
          <w:tcPr>
            <w:tcW w:w="4592" w:type="dxa"/>
            <w:vAlign w:val="center"/>
          </w:tcPr>
          <w:p>
            <w:pPr>
              <w:spacing w:after="20" w:line="300" w:lineRule="auto"/>
              <w:rPr>
                <w:sz w:val="21"/>
                <w:szCs w:val="21"/>
              </w:rPr>
            </w:pPr>
            <w:r>
              <w:rPr>
                <w:rFonts w:ascii="宋体" w:hAnsi="宋体" w:eastAsia="宋体"/>
                <w:b w:val="0"/>
                <w:color w:val="1F2937"/>
                <w:sz w:val="21"/>
                <w:szCs w:val="21"/>
              </w:rPr>
              <w:t>结论释义、确认勾选、提交和留痕</w:t>
            </w:r>
          </w:p>
        </w:tc>
      </w:tr>
    </w:tbl>
    <w:p>
      <w:pPr>
        <w:spacing w:after="40" w:line="300" w:lineRule="auto"/>
      </w:pPr>
    </w:p>
    <w:p>
      <w:pPr>
        <w:spacing w:after="60" w:line="300" w:lineRule="auto"/>
        <w:jc w:val="center"/>
      </w:pPr>
      <w:r>
        <w:drawing>
          <wp:inline distT="0" distB="0" distL="114300" distR="114300">
            <wp:extent cx="5623560" cy="4217670"/>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23560" cy="4217670"/>
                    </a:xfrm>
                    <a:prstGeom prst="rect">
                      <a:avLst/>
                    </a:prstGeom>
                  </pic:spPr>
                </pic:pic>
              </a:graphicData>
            </a:graphic>
          </wp:inline>
        </w:drawing>
      </w:r>
    </w:p>
    <w:p>
      <w:pPr>
        <w:spacing w:after="140" w:line="300" w:lineRule="auto"/>
        <w:jc w:val="center"/>
      </w:pPr>
      <w:r>
        <w:rPr>
          <w:rFonts w:ascii="宋体" w:hAnsi="宋体" w:eastAsia="宋体"/>
          <w:b w:val="0"/>
          <w:color w:val="667085"/>
          <w:sz w:val="18"/>
        </w:rPr>
        <w:t>图4-1 人工审批首页：六块信息压缩在同一工作台，详情按需展开</w:t>
      </w:r>
    </w:p>
    <w:p>
      <w:pPr>
        <w:spacing w:after="60" w:line="300" w:lineRule="auto"/>
        <w:jc w:val="center"/>
      </w:pPr>
      <w:r>
        <w:drawing>
          <wp:inline distT="0" distB="0" distL="114300" distR="114300">
            <wp:extent cx="54864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486400" cy="4114800"/>
                    </a:xfrm>
                    <a:prstGeom prst="rect">
                      <a:avLst/>
                    </a:prstGeom>
                  </pic:spPr>
                </pic:pic>
              </a:graphicData>
            </a:graphic>
          </wp:inline>
        </w:drawing>
      </w:r>
    </w:p>
    <w:p>
      <w:pPr>
        <w:spacing w:after="140" w:line="300" w:lineRule="auto"/>
        <w:jc w:val="center"/>
      </w:pPr>
      <w:r>
        <w:rPr>
          <w:rFonts w:ascii="宋体" w:hAnsi="宋体" w:eastAsia="宋体"/>
          <w:b w:val="0"/>
          <w:color w:val="667085"/>
          <w:sz w:val="18"/>
        </w:rPr>
        <w:t>图4-2 法律依据与风险提示详情页：只展示与当前工单最相关的法源和误区</w:t>
      </w:r>
    </w:p>
    <w:p>
      <w:pPr>
        <w:spacing w:before="0" w:after="100" w:line="300" w:lineRule="auto"/>
        <w:ind w:firstLine="420"/>
      </w:pPr>
      <w:r>
        <w:rPr>
          <w:rFonts w:ascii="宋体" w:hAnsi="宋体" w:eastAsia="宋体"/>
          <w:b w:val="0"/>
          <w:sz w:val="21"/>
        </w:rPr>
        <w:t>人工审批提供四类结果，不设置模糊的通过/驳回二选一。每类结果对应不同的后续动作，并要求审批理由留痕。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9"/>
        <w:gridCol w:w="4218"/>
        <w:gridCol w:w="34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9" w:type="dxa"/>
            <w:vAlign w:val="center"/>
          </w:tcPr>
          <w:p>
            <w:pPr>
              <w:spacing w:after="20" w:line="300" w:lineRule="auto"/>
              <w:rPr>
                <w:sz w:val="21"/>
                <w:szCs w:val="21"/>
              </w:rPr>
            </w:pPr>
            <w:r>
              <w:rPr>
                <w:rFonts w:ascii="宋体" w:hAnsi="宋体" w:eastAsia="宋体"/>
                <w:b/>
                <w:color w:val="1F2937"/>
                <w:sz w:val="21"/>
                <w:szCs w:val="21"/>
              </w:rPr>
              <w:t>审批结果</w:t>
            </w:r>
          </w:p>
        </w:tc>
        <w:tc>
          <w:tcPr>
            <w:tcW w:w="4218" w:type="dxa"/>
            <w:vAlign w:val="center"/>
          </w:tcPr>
          <w:p>
            <w:pPr>
              <w:spacing w:after="20" w:line="300" w:lineRule="auto"/>
              <w:rPr>
                <w:sz w:val="21"/>
                <w:szCs w:val="21"/>
              </w:rPr>
            </w:pPr>
            <w:r>
              <w:rPr>
                <w:rFonts w:ascii="宋体" w:hAnsi="宋体" w:eastAsia="宋体"/>
                <w:b/>
                <w:color w:val="1F2937"/>
                <w:sz w:val="21"/>
                <w:szCs w:val="21"/>
              </w:rPr>
              <w:t>适用状态</w:t>
            </w:r>
          </w:p>
        </w:tc>
        <w:tc>
          <w:tcPr>
            <w:tcW w:w="3493" w:type="dxa"/>
            <w:vAlign w:val="center"/>
          </w:tcPr>
          <w:p>
            <w:pPr>
              <w:spacing w:after="20" w:line="300" w:lineRule="auto"/>
              <w:rPr>
                <w:sz w:val="21"/>
                <w:szCs w:val="21"/>
              </w:rPr>
            </w:pPr>
            <w:r>
              <w:rPr>
                <w:rFonts w:ascii="宋体" w:hAnsi="宋体" w:eastAsia="宋体"/>
                <w:b/>
                <w:color w:val="1F2937"/>
                <w:sz w:val="21"/>
                <w:szCs w:val="21"/>
              </w:rPr>
              <w:t>最低留痕要求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9" w:type="dxa"/>
            <w:vAlign w:val="center"/>
          </w:tcPr>
          <w:p>
            <w:pPr>
              <w:spacing w:after="20" w:line="300" w:lineRule="auto"/>
              <w:rPr>
                <w:sz w:val="21"/>
                <w:szCs w:val="21"/>
              </w:rPr>
            </w:pPr>
            <w:r>
              <w:rPr>
                <w:rFonts w:ascii="宋体" w:hAnsi="宋体" w:eastAsia="宋体"/>
                <w:b w:val="0"/>
                <w:color w:val="1F2937"/>
                <w:sz w:val="21"/>
                <w:szCs w:val="21"/>
              </w:rPr>
              <w:t>允许处理</w:t>
            </w:r>
          </w:p>
        </w:tc>
        <w:tc>
          <w:tcPr>
            <w:tcW w:w="4218" w:type="dxa"/>
            <w:vAlign w:val="center"/>
          </w:tcPr>
          <w:p>
            <w:pPr>
              <w:spacing w:after="20" w:line="300" w:lineRule="auto"/>
              <w:rPr>
                <w:sz w:val="21"/>
                <w:szCs w:val="21"/>
              </w:rPr>
            </w:pPr>
            <w:r>
              <w:rPr>
                <w:rFonts w:ascii="宋体" w:hAnsi="宋体" w:eastAsia="宋体"/>
                <w:b w:val="0"/>
                <w:color w:val="1F2937"/>
                <w:sz w:val="21"/>
                <w:szCs w:val="21"/>
              </w:rPr>
              <w:t>当前法律基础、权限和处理条件明确</w:t>
            </w:r>
          </w:p>
        </w:tc>
        <w:tc>
          <w:tcPr>
            <w:tcW w:w="3493" w:type="dxa"/>
            <w:vAlign w:val="center"/>
          </w:tcPr>
          <w:p>
            <w:pPr>
              <w:spacing w:after="20" w:line="300" w:lineRule="auto"/>
              <w:rPr>
                <w:sz w:val="21"/>
                <w:szCs w:val="21"/>
              </w:rPr>
            </w:pPr>
            <w:r>
              <w:rPr>
                <w:rFonts w:ascii="宋体" w:hAnsi="宋体" w:eastAsia="宋体"/>
                <w:b w:val="0"/>
                <w:color w:val="1F2937"/>
                <w:sz w:val="21"/>
                <w:szCs w:val="21"/>
              </w:rPr>
              <w:t>记录主要判断依据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79" w:type="dxa"/>
            <w:vAlign w:val="center"/>
          </w:tcPr>
          <w:p>
            <w:pPr>
              <w:spacing w:after="20" w:line="300" w:lineRule="auto"/>
              <w:rPr>
                <w:sz w:val="21"/>
                <w:szCs w:val="21"/>
              </w:rPr>
            </w:pPr>
            <w:r>
              <w:rPr>
                <w:rFonts w:ascii="宋体" w:hAnsi="宋体" w:eastAsia="宋体"/>
                <w:b w:val="0"/>
                <w:color w:val="1F2937"/>
                <w:sz w:val="21"/>
                <w:szCs w:val="21"/>
              </w:rPr>
              <w:t>补充脱敏后允许</w:t>
            </w:r>
          </w:p>
        </w:tc>
        <w:tc>
          <w:tcPr>
            <w:tcW w:w="4218" w:type="dxa"/>
            <w:vAlign w:val="center"/>
          </w:tcPr>
          <w:p>
            <w:pPr>
              <w:spacing w:after="20" w:line="300" w:lineRule="auto"/>
              <w:rPr>
                <w:sz w:val="21"/>
                <w:szCs w:val="21"/>
              </w:rPr>
            </w:pPr>
            <w:r>
              <w:rPr>
                <w:rFonts w:ascii="宋体" w:hAnsi="宋体" w:eastAsia="宋体"/>
                <w:b w:val="0"/>
                <w:color w:val="1F2937"/>
                <w:sz w:val="21"/>
                <w:szCs w:val="21"/>
              </w:rPr>
              <w:t>增加删除、泛化、裁剪后即可消除问题</w:t>
            </w:r>
          </w:p>
        </w:tc>
        <w:tc>
          <w:tcPr>
            <w:tcW w:w="3493" w:type="dxa"/>
            <w:vAlign w:val="center"/>
          </w:tcPr>
          <w:p>
            <w:pPr>
              <w:spacing w:after="20" w:line="300" w:lineRule="auto"/>
              <w:rPr>
                <w:sz w:val="21"/>
                <w:szCs w:val="21"/>
              </w:rPr>
            </w:pPr>
            <w:r>
              <w:rPr>
                <w:rFonts w:ascii="宋体" w:hAnsi="宋体" w:eastAsia="宋体"/>
                <w:b w:val="0"/>
                <w:color w:val="1F2937"/>
                <w:sz w:val="21"/>
                <w:szCs w:val="21"/>
              </w:rPr>
              <w:t>明确需要追加的处理动作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9" w:type="dxa"/>
            <w:vAlign w:val="center"/>
          </w:tcPr>
          <w:p>
            <w:pPr>
              <w:spacing w:after="20" w:line="300" w:lineRule="auto"/>
              <w:rPr>
                <w:sz w:val="21"/>
                <w:szCs w:val="21"/>
              </w:rPr>
            </w:pPr>
            <w:r>
              <w:rPr>
                <w:rFonts w:ascii="宋体" w:hAnsi="宋体" w:eastAsia="宋体"/>
                <w:b w:val="0"/>
                <w:color w:val="1F2937"/>
                <w:sz w:val="21"/>
                <w:szCs w:val="21"/>
              </w:rPr>
              <w:t>补充核实</w:t>
            </w:r>
          </w:p>
        </w:tc>
        <w:tc>
          <w:tcPr>
            <w:tcW w:w="4218" w:type="dxa"/>
            <w:vAlign w:val="center"/>
          </w:tcPr>
          <w:p>
            <w:pPr>
              <w:spacing w:after="20" w:line="300" w:lineRule="auto"/>
              <w:rPr>
                <w:sz w:val="21"/>
                <w:szCs w:val="21"/>
              </w:rPr>
            </w:pPr>
            <w:r>
              <w:rPr>
                <w:rFonts w:ascii="宋体" w:hAnsi="宋体" w:eastAsia="宋体"/>
                <w:b w:val="0"/>
                <w:color w:val="1F2937"/>
                <w:sz w:val="21"/>
                <w:szCs w:val="21"/>
              </w:rPr>
              <w:t>现有事实、权限或处理关系不足</w:t>
            </w:r>
          </w:p>
        </w:tc>
        <w:tc>
          <w:tcPr>
            <w:tcW w:w="3493" w:type="dxa"/>
            <w:vAlign w:val="center"/>
          </w:tcPr>
          <w:p>
            <w:pPr>
              <w:spacing w:after="20" w:line="300" w:lineRule="auto"/>
              <w:rPr>
                <w:sz w:val="21"/>
                <w:szCs w:val="21"/>
              </w:rPr>
            </w:pPr>
            <w:r>
              <w:rPr>
                <w:rFonts w:ascii="宋体" w:hAnsi="宋体" w:eastAsia="宋体"/>
                <w:b w:val="0"/>
                <w:color w:val="1F2937"/>
                <w:sz w:val="21"/>
                <w:szCs w:val="21"/>
              </w:rPr>
              <w:t>列明待补充事实、文件或法律问题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9" w:type="dxa"/>
            <w:vAlign w:val="center"/>
          </w:tcPr>
          <w:p>
            <w:pPr>
              <w:spacing w:after="20" w:line="300" w:lineRule="auto"/>
              <w:rPr>
                <w:sz w:val="21"/>
                <w:szCs w:val="21"/>
              </w:rPr>
            </w:pPr>
            <w:r>
              <w:rPr>
                <w:rFonts w:ascii="宋体" w:hAnsi="宋体" w:eastAsia="宋体"/>
                <w:b w:val="0"/>
                <w:color w:val="1F2937"/>
                <w:sz w:val="21"/>
                <w:szCs w:val="21"/>
              </w:rPr>
              <w:t>禁止外部处理</w:t>
            </w:r>
          </w:p>
        </w:tc>
        <w:tc>
          <w:tcPr>
            <w:tcW w:w="4218" w:type="dxa"/>
            <w:vAlign w:val="center"/>
          </w:tcPr>
          <w:p>
            <w:pPr>
              <w:spacing w:after="20" w:line="300" w:lineRule="auto"/>
              <w:rPr>
                <w:sz w:val="21"/>
                <w:szCs w:val="21"/>
              </w:rPr>
            </w:pPr>
            <w:r>
              <w:rPr>
                <w:rFonts w:ascii="宋体" w:hAnsi="宋体" w:eastAsia="宋体"/>
                <w:b w:val="0"/>
                <w:color w:val="1F2937"/>
                <w:sz w:val="21"/>
                <w:szCs w:val="21"/>
              </w:rPr>
              <w:t>存在具体直接限制且普通最小化无法消除</w:t>
            </w:r>
          </w:p>
        </w:tc>
        <w:tc>
          <w:tcPr>
            <w:tcW w:w="3493" w:type="dxa"/>
            <w:vAlign w:val="center"/>
          </w:tcPr>
          <w:p>
            <w:pPr>
              <w:spacing w:after="20" w:line="300" w:lineRule="auto"/>
              <w:rPr>
                <w:sz w:val="21"/>
                <w:szCs w:val="21"/>
              </w:rPr>
            </w:pPr>
            <w:r>
              <w:rPr>
                <w:rFonts w:ascii="宋体" w:hAnsi="宋体" w:eastAsia="宋体"/>
                <w:b w:val="0"/>
                <w:color w:val="1F2937"/>
                <w:sz w:val="21"/>
                <w:szCs w:val="21"/>
              </w:rPr>
              <w:t>必须记录保护对象、具体法源/保密措施、适用事实及为什么脱敏不能解决</w:t>
            </w:r>
          </w:p>
        </w:tc>
      </w:tr>
    </w:tbl>
    <w:p>
      <w:pPr>
        <w:spacing w:after="40" w:line="300" w:lineRule="auto"/>
      </w:pPr>
    </w:p>
    <w:p>
      <w:pPr>
        <w:spacing w:after="60" w:line="300" w:lineRule="auto"/>
        <w:jc w:val="center"/>
      </w:pPr>
      <w:r>
        <w:drawing>
          <wp:inline distT="0" distB="0" distL="114300" distR="114300">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486400" cy="4114800"/>
                    </a:xfrm>
                    <a:prstGeom prst="rect">
                      <a:avLst/>
                    </a:prstGeom>
                  </pic:spPr>
                </pic:pic>
              </a:graphicData>
            </a:graphic>
          </wp:inline>
        </w:drawing>
      </w:r>
    </w:p>
    <w:p>
      <w:pPr>
        <w:spacing w:after="140" w:line="300" w:lineRule="auto"/>
        <w:jc w:val="center"/>
      </w:pPr>
      <w:r>
        <w:rPr>
          <w:rFonts w:ascii="宋体" w:hAnsi="宋体" w:eastAsia="宋体"/>
          <w:b w:val="0"/>
          <w:color w:val="667085"/>
          <w:sz w:val="18"/>
        </w:rPr>
        <w:t>图4-3 审批结果页：四类结论与强制审批理由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0"/>
        <w:gridCol w:w="7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70" w:type="dxa"/>
            <w:vAlign w:val="center"/>
          </w:tcPr>
          <w:p>
            <w:pPr>
              <w:spacing w:after="20" w:line="300" w:lineRule="auto"/>
              <w:rPr>
                <w:sz w:val="21"/>
                <w:szCs w:val="21"/>
              </w:rPr>
            </w:pPr>
            <w:r>
              <w:rPr>
                <w:rFonts w:ascii="宋体" w:hAnsi="宋体" w:eastAsia="宋体"/>
                <w:b/>
                <w:color w:val="1F2937"/>
                <w:sz w:val="21"/>
                <w:szCs w:val="21"/>
              </w:rPr>
              <w:t>记录项目</w:t>
            </w:r>
          </w:p>
        </w:tc>
        <w:tc>
          <w:tcPr>
            <w:tcW w:w="7518" w:type="dxa"/>
            <w:vAlign w:val="center"/>
          </w:tcPr>
          <w:p>
            <w:pPr>
              <w:spacing w:after="20" w:line="300" w:lineRule="auto"/>
              <w:rPr>
                <w:sz w:val="21"/>
                <w:szCs w:val="21"/>
              </w:rPr>
            </w:pPr>
            <w:r>
              <w:rPr>
                <w:rFonts w:ascii="宋体" w:hAnsi="宋体" w:eastAsia="宋体"/>
                <w:b/>
                <w:color w:val="1F2937"/>
                <w:sz w:val="21"/>
                <w:szCs w:val="21"/>
              </w:rPr>
              <w:t>最低要求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待核实事项</w:t>
            </w:r>
          </w:p>
        </w:tc>
        <w:tc>
          <w:tcPr>
            <w:tcW w:w="7518" w:type="dxa"/>
            <w:vAlign w:val="center"/>
          </w:tcPr>
          <w:p>
            <w:pPr>
              <w:spacing w:after="20" w:line="300" w:lineRule="auto"/>
              <w:rPr>
                <w:sz w:val="21"/>
                <w:szCs w:val="21"/>
              </w:rPr>
            </w:pPr>
            <w:r>
              <w:rPr>
                <w:rFonts w:ascii="宋体" w:hAnsi="宋体" w:eastAsia="宋体"/>
                <w:b w:val="0"/>
                <w:color w:val="1F2937"/>
                <w:sz w:val="21"/>
                <w:szCs w:val="21"/>
              </w:rPr>
              <w:t>必须是具体法律问题或事实问题，不得只写“风险较高”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法源</w:t>
            </w:r>
          </w:p>
        </w:tc>
        <w:tc>
          <w:tcPr>
            <w:tcW w:w="7518" w:type="dxa"/>
            <w:vAlign w:val="center"/>
          </w:tcPr>
          <w:p>
            <w:pPr>
              <w:spacing w:after="20" w:line="300" w:lineRule="auto"/>
              <w:rPr>
                <w:sz w:val="21"/>
                <w:szCs w:val="21"/>
              </w:rPr>
            </w:pPr>
            <w:r>
              <w:rPr>
                <w:rFonts w:ascii="宋体" w:hAnsi="宋体" w:eastAsia="宋体"/>
                <w:b w:val="0"/>
                <w:color w:val="1F2937"/>
                <w:sz w:val="21"/>
                <w:szCs w:val="21"/>
              </w:rPr>
              <w:t>法源名称、具体条款/位置、版本或检索日期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事实前提</w:t>
            </w:r>
          </w:p>
        </w:tc>
        <w:tc>
          <w:tcPr>
            <w:tcW w:w="7518" w:type="dxa"/>
            <w:vAlign w:val="center"/>
          </w:tcPr>
          <w:p>
            <w:pPr>
              <w:spacing w:after="20" w:line="300" w:lineRule="auto"/>
              <w:rPr>
                <w:sz w:val="21"/>
                <w:szCs w:val="21"/>
              </w:rPr>
            </w:pPr>
            <w:r>
              <w:rPr>
                <w:rFonts w:ascii="宋体" w:hAnsi="宋体" w:eastAsia="宋体"/>
                <w:b w:val="0"/>
                <w:color w:val="1F2937"/>
                <w:sz w:val="21"/>
                <w:szCs w:val="21"/>
              </w:rPr>
              <w:t>哪些事实已经确认、哪些尚未确认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权限判断</w:t>
            </w:r>
          </w:p>
        </w:tc>
        <w:tc>
          <w:tcPr>
            <w:tcW w:w="7518" w:type="dxa"/>
            <w:vAlign w:val="center"/>
          </w:tcPr>
          <w:p>
            <w:pPr>
              <w:spacing w:after="20" w:line="300" w:lineRule="auto"/>
              <w:rPr>
                <w:sz w:val="21"/>
                <w:szCs w:val="21"/>
              </w:rPr>
            </w:pPr>
            <w:r>
              <w:rPr>
                <w:rFonts w:ascii="宋体" w:hAnsi="宋体" w:eastAsia="宋体"/>
                <w:b w:val="0"/>
                <w:color w:val="1F2937"/>
                <w:sz w:val="21"/>
                <w:szCs w:val="21"/>
              </w:rPr>
              <w:t>谁有权处理、谁有权向第三方提供、授权范围是什么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外部处理条件</w:t>
            </w:r>
          </w:p>
        </w:tc>
        <w:tc>
          <w:tcPr>
            <w:tcW w:w="7518" w:type="dxa"/>
            <w:vAlign w:val="center"/>
          </w:tcPr>
          <w:p>
            <w:pPr>
              <w:spacing w:after="20" w:line="300" w:lineRule="auto"/>
              <w:rPr>
                <w:sz w:val="21"/>
                <w:szCs w:val="21"/>
              </w:rPr>
            </w:pPr>
            <w:r>
              <w:rPr>
                <w:rFonts w:ascii="宋体" w:hAnsi="宋体" w:eastAsia="宋体"/>
                <w:b w:val="0"/>
                <w:color w:val="1F2937"/>
                <w:sz w:val="21"/>
                <w:szCs w:val="21"/>
              </w:rPr>
              <w:t>服务商角色、保存、训练、人工访问、再委托和跨境情况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最小化措施</w:t>
            </w:r>
          </w:p>
        </w:tc>
        <w:tc>
          <w:tcPr>
            <w:tcW w:w="7518" w:type="dxa"/>
            <w:vAlign w:val="center"/>
          </w:tcPr>
          <w:p>
            <w:pPr>
              <w:spacing w:after="20" w:line="300" w:lineRule="auto"/>
              <w:rPr>
                <w:sz w:val="21"/>
                <w:szCs w:val="21"/>
              </w:rPr>
            </w:pPr>
            <w:r>
              <w:rPr>
                <w:rFonts w:ascii="宋体" w:hAnsi="宋体" w:eastAsia="宋体"/>
                <w:b w:val="0"/>
                <w:color w:val="1F2937"/>
                <w:sz w:val="21"/>
                <w:szCs w:val="21"/>
              </w:rPr>
              <w:t>已经删除或拟删除哪些非必要信息，是否足以消除限制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最终依据</w:t>
            </w:r>
          </w:p>
        </w:tc>
        <w:tc>
          <w:tcPr>
            <w:tcW w:w="7518" w:type="dxa"/>
            <w:vAlign w:val="center"/>
          </w:tcPr>
          <w:p>
            <w:pPr>
              <w:spacing w:after="20" w:line="300" w:lineRule="auto"/>
              <w:rPr>
                <w:sz w:val="21"/>
                <w:szCs w:val="21"/>
              </w:rPr>
            </w:pPr>
            <w:r>
              <w:rPr>
                <w:rFonts w:ascii="宋体" w:hAnsi="宋体" w:eastAsia="宋体"/>
                <w:b w:val="0"/>
                <w:color w:val="1F2937"/>
                <w:sz w:val="21"/>
                <w:szCs w:val="21"/>
              </w:rPr>
              <w:t>为什么允许、为什么禁止，或为什么仍需补充事实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0" w:type="dxa"/>
            <w:vAlign w:val="center"/>
          </w:tcPr>
          <w:p>
            <w:pPr>
              <w:spacing w:after="20" w:line="300" w:lineRule="auto"/>
              <w:rPr>
                <w:sz w:val="21"/>
                <w:szCs w:val="21"/>
              </w:rPr>
            </w:pPr>
            <w:r>
              <w:rPr>
                <w:rFonts w:ascii="宋体" w:hAnsi="宋体" w:eastAsia="宋体"/>
                <w:b w:val="0"/>
                <w:color w:val="1F2937"/>
                <w:sz w:val="21"/>
                <w:szCs w:val="21"/>
              </w:rPr>
              <w:t>适用边界</w:t>
            </w:r>
          </w:p>
        </w:tc>
        <w:tc>
          <w:tcPr>
            <w:tcW w:w="7518" w:type="dxa"/>
            <w:vAlign w:val="center"/>
          </w:tcPr>
          <w:p>
            <w:pPr>
              <w:spacing w:after="20" w:line="300" w:lineRule="auto"/>
              <w:rPr>
                <w:sz w:val="21"/>
                <w:szCs w:val="21"/>
              </w:rPr>
            </w:pPr>
            <w:r>
              <w:rPr>
                <w:rFonts w:ascii="宋体" w:hAnsi="宋体" w:eastAsia="宋体"/>
                <w:b w:val="0"/>
                <w:color w:val="1F2937"/>
                <w:sz w:val="21"/>
                <w:szCs w:val="21"/>
              </w:rPr>
              <w:t>结论仅适用于当前材料版本、处理目的、外部主体和数据流向</w:t>
            </w:r>
          </w:p>
        </w:tc>
      </w:tr>
    </w:tbl>
    <w:p>
      <w:pPr>
        <w:pStyle w:val="4"/>
        <w:spacing w:before="160" w:after="120" w:line="300" w:lineRule="auto"/>
      </w:pPr>
    </w:p>
    <w:p/>
    <w:p/>
    <w:p/>
    <w:p/>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tcPr>
          <w:p>
            <w:pPr>
              <w:spacing w:after="40" w:line="300" w:lineRule="auto"/>
            </w:pPr>
            <w:r>
              <w:rPr>
                <w:rFonts w:ascii="宋体" w:hAnsi="宋体" w:eastAsia="宋体"/>
                <w:b/>
                <w:color w:val="1F2937"/>
                <w:sz w:val="21"/>
              </w:rPr>
              <w:t>系统辅助范围：</w:t>
            </w:r>
            <w:r>
              <w:rPr>
                <w:rFonts w:ascii="宋体" w:hAnsi="宋体" w:eastAsia="宋体"/>
                <w:b w:val="0"/>
                <w:sz w:val="21"/>
              </w:rPr>
              <w:t>系统负责依据已配置规则识别潜在受保护信息、执行预设脱敏处理、提示待核实事项，并展示相关法源和风险提示。系统不会仅因材料具有敏感性而自动认定法律禁止，也不会在关键事实或法律适用尚不能确认时替代专业人员作出最终法律判断。</w:t>
            </w:r>
          </w:p>
        </w:tc>
      </w:tr>
    </w:tbl>
    <w:p>
      <w:pPr>
        <w:spacing w:after="20" w:line="300" w:lineRule="auto"/>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89" w:type="dxa"/>
            <w:tcBorders>
              <w:top w:val="single" w:color="auto" w:sz="4" w:space="0"/>
              <w:left w:val="single" w:color="auto" w:sz="4" w:space="0"/>
              <w:bottom w:val="single" w:color="auto" w:sz="4" w:space="0"/>
              <w:right w:val="single" w:color="auto" w:sz="4" w:space="0"/>
            </w:tcBorders>
          </w:tcPr>
          <w:p>
            <w:pPr>
              <w:spacing w:after="40" w:line="300" w:lineRule="auto"/>
            </w:pPr>
            <w:r>
              <w:rPr>
                <w:rFonts w:ascii="宋体" w:hAnsi="宋体" w:eastAsia="宋体"/>
                <w:b/>
                <w:color w:val="1F2937"/>
                <w:sz w:val="21"/>
              </w:rPr>
              <w:t>审批人员职责：</w:t>
            </w:r>
            <w:r>
              <w:rPr>
                <w:rFonts w:ascii="宋体" w:hAnsi="宋体" w:eastAsia="宋体"/>
                <w:b w:val="0"/>
                <w:sz w:val="21"/>
              </w:rPr>
              <w:t>审批人员负责对系统明确提示的待核实事项进行判断，包括材料性质、事实前提、处理权限、保密义务、特别法适用及其他需要专业判断的事项。审批人员无需重新逐项审查系统已经能够按确定规则自动完成的基础脱敏项目，但应确认系统展示的事实和问题足以支持本次审批结论。</w:t>
            </w:r>
          </w:p>
        </w:tc>
      </w:tr>
    </w:tbl>
    <w:p>
      <w:pPr>
        <w:spacing w:after="20" w:line="300" w:lineRule="auto"/>
      </w:pPr>
    </w:p>
    <w:p>
      <w:pPr>
        <w:spacing w:before="0" w:after="100" w:line="300" w:lineRule="auto"/>
        <w:ind w:firstLine="420"/>
      </w:pPr>
      <w:r>
        <w:rPr>
          <w:rFonts w:ascii="宋体" w:hAnsi="宋体" w:eastAsia="宋体"/>
          <w:b w:val="0"/>
          <w:sz w:val="21"/>
        </w:rPr>
        <w:t>页面可采用的确认文案：</w:t>
      </w:r>
    </w:p>
    <w:p>
      <w:pPr>
        <w:spacing w:after="140" w:line="300" w:lineRule="auto"/>
        <w:ind w:left="397" w:right="397"/>
        <w:rPr>
          <w:color w:val="auto"/>
        </w:rPr>
      </w:pPr>
      <w:r>
        <w:rPr>
          <w:rFonts w:ascii="宋体" w:hAnsi="宋体" w:eastAsia="宋体"/>
          <w:b w:val="0"/>
          <w:color w:val="auto"/>
          <w:sz w:val="21"/>
        </w:rPr>
        <w:t>“我已阅读风险提示，并基于当前可得事实和页面展示信息作出本次审批判断。系统负责识别与提示，最终审批结论由审批人员就待核实事项作出。本次结论仅适用于当前材料版本、处理目的和处理方式。”</w:t>
      </w:r>
    </w:p>
    <w:p>
      <w:pPr>
        <w:pStyle w:val="3"/>
        <w:spacing w:before="240" w:after="120" w:line="300" w:lineRule="auto"/>
        <w:jc w:val="cente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rPr>
          <w:rFonts w:hint="eastAsia" w:ascii="宋体" w:hAnsi="宋体" w:eastAsia="宋体" w:cs="宋体"/>
          <w:sz w:val="28"/>
          <w:szCs w:val="28"/>
        </w:rPr>
      </w:pPr>
    </w:p>
    <w:p>
      <w:pPr>
        <w:pStyle w:val="4"/>
        <w:spacing w:before="160" w:after="120" w:line="300" w:lineRule="auto"/>
        <w:jc w:val="center"/>
        <w:rPr>
          <w:rFonts w:hint="eastAsia" w:ascii="宋体" w:hAnsi="宋体" w:eastAsia="宋体" w:cs="宋体"/>
          <w:sz w:val="28"/>
          <w:szCs w:val="28"/>
        </w:rPr>
      </w:pPr>
      <w:r>
        <w:rPr>
          <w:rFonts w:hint="eastAsia" w:ascii="宋体" w:hAnsi="宋体" w:eastAsia="宋体" w:cs="宋体"/>
          <w:sz w:val="28"/>
          <w:szCs w:val="28"/>
        </w:rPr>
        <w:t>第五章  规则治理、追溯与更新</w:t>
      </w:r>
    </w:p>
    <w:p>
      <w:pPr>
        <w:spacing w:before="0" w:after="100" w:line="300" w:lineRule="auto"/>
        <w:ind w:firstLine="420"/>
      </w:pPr>
      <w:r>
        <w:rPr>
          <w:rFonts w:ascii="宋体" w:hAnsi="宋体" w:eastAsia="宋体"/>
          <w:b w:val="0"/>
          <w:sz w:val="21"/>
        </w:rPr>
        <w:t>系统的法律判断必须能够从结论反向追到规则和事实。任何自动处置或人工审批都应当形成最小证据链：材料片段</w:t>
      </w:r>
      <w:r>
        <w:rPr>
          <w:rFonts w:hint="eastAsia"/>
          <w:b w:val="0"/>
          <w:sz w:val="21"/>
          <w:lang w:eastAsia="zh-CN"/>
        </w:rPr>
        <w:t>→</w:t>
      </w:r>
      <w:r>
        <w:rPr>
          <w:rFonts w:ascii="宋体" w:hAnsi="宋体" w:eastAsia="宋体"/>
          <w:b w:val="0"/>
          <w:sz w:val="21"/>
        </w:rPr>
        <w:t>识别出的保护对象</w:t>
      </w:r>
      <w:r>
        <w:rPr>
          <w:rFonts w:hint="eastAsia"/>
          <w:b w:val="0"/>
          <w:sz w:val="21"/>
          <w:lang w:eastAsia="zh-CN"/>
        </w:rPr>
        <w:t>→</w:t>
      </w:r>
      <w:r>
        <w:rPr>
          <w:rFonts w:ascii="宋体" w:hAnsi="宋体" w:eastAsia="宋体"/>
          <w:b w:val="0"/>
          <w:sz w:val="21"/>
        </w:rPr>
        <w:t>任务必要性</w:t>
      </w:r>
      <w:r>
        <w:rPr>
          <w:rFonts w:hint="eastAsia"/>
          <w:b w:val="0"/>
          <w:sz w:val="21"/>
          <w:lang w:eastAsia="zh-CN"/>
        </w:rPr>
        <w:t>→</w:t>
      </w:r>
      <w:r>
        <w:rPr>
          <w:rFonts w:ascii="宋体" w:hAnsi="宋体" w:eastAsia="宋体"/>
          <w:b w:val="0"/>
          <w:sz w:val="21"/>
        </w:rPr>
        <w:t>适用规则及条款</w:t>
      </w:r>
      <w:r>
        <w:rPr>
          <w:rFonts w:hint="eastAsia"/>
          <w:b w:val="0"/>
          <w:sz w:val="21"/>
          <w:lang w:eastAsia="zh-CN"/>
        </w:rPr>
        <w:t>→</w:t>
      </w:r>
      <w:r>
        <w:rPr>
          <w:rFonts w:ascii="宋体" w:hAnsi="宋体" w:eastAsia="宋体"/>
          <w:b w:val="0"/>
          <w:sz w:val="21"/>
        </w:rPr>
        <w:t>已执行的最小化措施</w:t>
      </w:r>
      <w:r>
        <w:rPr>
          <w:rFonts w:hint="eastAsia"/>
          <w:b w:val="0"/>
          <w:sz w:val="21"/>
          <w:lang w:eastAsia="zh-CN"/>
        </w:rPr>
        <w:t>→</w:t>
      </w:r>
      <w:r>
        <w:rPr>
          <w:rFonts w:ascii="宋体" w:hAnsi="宋体" w:eastAsia="宋体"/>
          <w:b w:val="0"/>
          <w:sz w:val="21"/>
        </w:rPr>
        <w:t>外部处理条件</w:t>
      </w:r>
      <w:r>
        <w:rPr>
          <w:rFonts w:hint="eastAsia"/>
          <w:b w:val="0"/>
          <w:sz w:val="21"/>
          <w:lang w:eastAsia="zh-CN"/>
        </w:rPr>
        <w:t>→</w:t>
      </w:r>
      <w:r>
        <w:rPr>
          <w:rFonts w:ascii="宋体" w:hAnsi="宋体" w:eastAsia="宋体"/>
          <w:b w:val="0"/>
          <w:sz w:val="21"/>
        </w:rPr>
        <w:t>最终状态/审批结论。</w:t>
      </w:r>
    </w:p>
    <w:p>
      <w:pPr>
        <w:spacing w:before="0" w:after="100" w:line="300" w:lineRule="auto"/>
        <w:ind w:firstLine="420"/>
      </w:pPr>
      <w:r>
        <w:rPr>
          <w:rFonts w:ascii="宋体" w:hAnsi="宋体" w:eastAsia="宋体"/>
          <w:b w:val="0"/>
          <w:sz w:val="21"/>
        </w:rPr>
        <w:t>法源展示原则上应提供“查看原文”入口，使审批人员能够从系统概括回到规范原文。系统提示语只用于解释这条规则为什么与当前工单有关，不能替代法条本身。</w:t>
      </w:r>
    </w:p>
    <w:p>
      <w:pPr>
        <w:spacing w:after="80" w:line="300" w:lineRule="auto"/>
        <w:ind w:left="454" w:hanging="312"/>
        <w:rPr>
          <w:color w:val="auto"/>
        </w:rPr>
      </w:pPr>
      <w:r>
        <w:rPr>
          <w:rFonts w:ascii="宋体" w:hAnsi="宋体" w:eastAsia="宋体"/>
          <w:b/>
          <w:color w:val="auto"/>
          <w:sz w:val="21"/>
        </w:rPr>
        <w:t xml:space="preserve">1. </w:t>
      </w:r>
      <w:r>
        <w:rPr>
          <w:rFonts w:ascii="宋体" w:hAnsi="宋体" w:eastAsia="宋体"/>
          <w:b w:val="0"/>
          <w:color w:val="auto"/>
          <w:sz w:val="21"/>
        </w:rPr>
        <w:t>法规变更监测：法源目录以版本/修订信息和生效日期为更新锚点。</w:t>
      </w:r>
    </w:p>
    <w:p>
      <w:pPr>
        <w:spacing w:after="80" w:line="300" w:lineRule="auto"/>
        <w:ind w:left="454" w:hanging="312"/>
        <w:rPr>
          <w:color w:val="auto"/>
        </w:rPr>
      </w:pPr>
      <w:r>
        <w:rPr>
          <w:rFonts w:ascii="宋体" w:hAnsi="宋体" w:eastAsia="宋体"/>
          <w:b/>
          <w:color w:val="auto"/>
          <w:sz w:val="21"/>
        </w:rPr>
        <w:t xml:space="preserve">2. </w:t>
      </w:r>
      <w:r>
        <w:rPr>
          <w:rFonts w:ascii="宋体" w:hAnsi="宋体" w:eastAsia="宋体"/>
          <w:b w:val="0"/>
          <w:color w:val="auto"/>
          <w:sz w:val="21"/>
        </w:rPr>
        <w:t>规则影响分析：变更后识别受影响的信息类型、处理方式和人工复核触发条件。</w:t>
      </w:r>
    </w:p>
    <w:p>
      <w:pPr>
        <w:spacing w:after="80" w:line="300" w:lineRule="auto"/>
        <w:ind w:left="454" w:hanging="312"/>
        <w:rPr>
          <w:color w:val="auto"/>
        </w:rPr>
      </w:pPr>
      <w:r>
        <w:rPr>
          <w:rFonts w:ascii="宋体" w:hAnsi="宋体" w:eastAsia="宋体"/>
          <w:b/>
          <w:color w:val="auto"/>
          <w:sz w:val="21"/>
        </w:rPr>
        <w:t xml:space="preserve">3. </w:t>
      </w:r>
      <w:r>
        <w:rPr>
          <w:rFonts w:ascii="宋体" w:hAnsi="宋体" w:eastAsia="宋体"/>
          <w:b w:val="0"/>
          <w:color w:val="auto"/>
          <w:sz w:val="21"/>
        </w:rPr>
        <w:t>原文核验：更新时先核对官方文本，再修改解释和系统动作；不得根据二手解读直接覆盖原文。</w:t>
      </w:r>
    </w:p>
    <w:p>
      <w:pPr>
        <w:spacing w:after="80" w:line="300" w:lineRule="auto"/>
        <w:ind w:left="454" w:hanging="312"/>
        <w:rPr>
          <w:color w:val="auto"/>
        </w:rPr>
      </w:pPr>
      <w:r>
        <w:rPr>
          <w:rFonts w:ascii="宋体" w:hAnsi="宋体" w:eastAsia="宋体"/>
          <w:b/>
          <w:color w:val="auto"/>
          <w:sz w:val="21"/>
        </w:rPr>
        <w:t xml:space="preserve">4. </w:t>
      </w:r>
      <w:r>
        <w:rPr>
          <w:rFonts w:ascii="宋体" w:hAnsi="宋体" w:eastAsia="宋体"/>
          <w:b w:val="0"/>
          <w:color w:val="auto"/>
          <w:sz w:val="21"/>
        </w:rPr>
        <w:t>回归测试：对国家秘密、商业秘密、医疗健康、未成年人、跨境、诉讼保密等典型场景重新运行测试。</w:t>
      </w:r>
    </w:p>
    <w:p>
      <w:pPr>
        <w:spacing w:after="80" w:line="300" w:lineRule="auto"/>
        <w:ind w:left="454" w:hanging="312"/>
        <w:rPr>
          <w:color w:val="auto"/>
        </w:rPr>
      </w:pPr>
      <w:r>
        <w:rPr>
          <w:rFonts w:ascii="宋体" w:hAnsi="宋体" w:eastAsia="宋体"/>
          <w:b/>
          <w:color w:val="auto"/>
          <w:sz w:val="21"/>
        </w:rPr>
        <w:t xml:space="preserve">5. </w:t>
      </w:r>
      <w:r>
        <w:rPr>
          <w:rFonts w:ascii="宋体" w:hAnsi="宋体" w:eastAsia="宋体"/>
          <w:b w:val="0"/>
          <w:color w:val="auto"/>
          <w:sz w:val="21"/>
        </w:rPr>
        <w:t>版本留痕：审批记录保留当时适用的规则版本，避免事后法规变化导致无法复盘。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37"/>
        <w:gridCol w:w="6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37" w:type="dxa"/>
            <w:vAlign w:val="center"/>
          </w:tcPr>
          <w:p>
            <w:pPr>
              <w:spacing w:after="20" w:line="300" w:lineRule="auto"/>
              <w:rPr>
                <w:sz w:val="21"/>
                <w:szCs w:val="21"/>
              </w:rPr>
            </w:pPr>
            <w:r>
              <w:rPr>
                <w:rFonts w:ascii="宋体" w:hAnsi="宋体" w:eastAsia="宋体"/>
                <w:b/>
                <w:color w:val="1F2937"/>
                <w:sz w:val="21"/>
                <w:szCs w:val="21"/>
              </w:rPr>
              <w:t>验证维度</w:t>
            </w:r>
          </w:p>
        </w:tc>
        <w:tc>
          <w:tcPr>
            <w:tcW w:w="6351" w:type="dxa"/>
            <w:vAlign w:val="center"/>
          </w:tcPr>
          <w:p>
            <w:pPr>
              <w:spacing w:after="20" w:line="300" w:lineRule="auto"/>
              <w:rPr>
                <w:sz w:val="21"/>
                <w:szCs w:val="21"/>
              </w:rPr>
            </w:pPr>
            <w:r>
              <w:rPr>
                <w:rFonts w:ascii="宋体" w:hAnsi="宋体" w:eastAsia="宋体"/>
                <w:b/>
                <w:color w:val="1F2937"/>
                <w:sz w:val="21"/>
                <w:szCs w:val="21"/>
              </w:rPr>
              <w:t>验收标准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7" w:type="dxa"/>
            <w:vAlign w:val="center"/>
          </w:tcPr>
          <w:p>
            <w:pPr>
              <w:spacing w:after="20" w:line="300" w:lineRule="auto"/>
              <w:rPr>
                <w:sz w:val="21"/>
                <w:szCs w:val="21"/>
              </w:rPr>
            </w:pPr>
            <w:r>
              <w:rPr>
                <w:rFonts w:ascii="宋体" w:hAnsi="宋体" w:eastAsia="宋体"/>
                <w:b w:val="0"/>
                <w:color w:val="1F2937"/>
                <w:sz w:val="21"/>
                <w:szCs w:val="21"/>
              </w:rPr>
              <w:t>法源一致性测试</w:t>
            </w:r>
          </w:p>
        </w:tc>
        <w:tc>
          <w:tcPr>
            <w:tcW w:w="6351" w:type="dxa"/>
            <w:vAlign w:val="center"/>
          </w:tcPr>
          <w:p>
            <w:pPr>
              <w:spacing w:after="20" w:line="300" w:lineRule="auto"/>
              <w:rPr>
                <w:sz w:val="21"/>
                <w:szCs w:val="21"/>
              </w:rPr>
            </w:pPr>
            <w:r>
              <w:rPr>
                <w:rFonts w:ascii="宋体" w:hAnsi="宋体" w:eastAsia="宋体"/>
                <w:b w:val="0"/>
                <w:color w:val="1F2937"/>
                <w:sz w:val="21"/>
                <w:szCs w:val="21"/>
              </w:rPr>
              <w:t>系统展示的法源名称、条款、版本与法源目录一致；原文不被项目解释污染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7" w:type="dxa"/>
            <w:vAlign w:val="center"/>
          </w:tcPr>
          <w:p>
            <w:pPr>
              <w:spacing w:after="20" w:line="300" w:lineRule="auto"/>
              <w:rPr>
                <w:sz w:val="21"/>
                <w:szCs w:val="21"/>
              </w:rPr>
            </w:pPr>
            <w:r>
              <w:rPr>
                <w:rFonts w:ascii="宋体" w:hAnsi="宋体" w:eastAsia="宋体"/>
                <w:b w:val="0"/>
                <w:color w:val="1F2937"/>
                <w:sz w:val="21"/>
                <w:szCs w:val="21"/>
              </w:rPr>
              <w:t>信息分类测试</w:t>
            </w:r>
          </w:p>
        </w:tc>
        <w:tc>
          <w:tcPr>
            <w:tcW w:w="6351" w:type="dxa"/>
            <w:vAlign w:val="center"/>
          </w:tcPr>
          <w:p>
            <w:pPr>
              <w:spacing w:after="20" w:line="300" w:lineRule="auto"/>
              <w:rPr>
                <w:sz w:val="21"/>
                <w:szCs w:val="21"/>
              </w:rPr>
            </w:pPr>
            <w:r>
              <w:rPr>
                <w:rFonts w:ascii="宋体" w:hAnsi="宋体" w:eastAsia="宋体"/>
                <w:b w:val="0"/>
                <w:color w:val="1F2937"/>
                <w:sz w:val="21"/>
                <w:szCs w:val="21"/>
              </w:rPr>
              <w:t>同一字段在不同载体/上下文中能识别直接标识符、准标识符和敏感个人信息差异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7" w:type="dxa"/>
            <w:vAlign w:val="center"/>
          </w:tcPr>
          <w:p>
            <w:pPr>
              <w:spacing w:after="20" w:line="300" w:lineRule="auto"/>
              <w:rPr>
                <w:sz w:val="21"/>
                <w:szCs w:val="21"/>
              </w:rPr>
            </w:pPr>
            <w:r>
              <w:rPr>
                <w:rFonts w:ascii="宋体" w:hAnsi="宋体" w:eastAsia="宋体"/>
                <w:b w:val="0"/>
                <w:color w:val="1F2937"/>
                <w:sz w:val="21"/>
                <w:szCs w:val="21"/>
              </w:rPr>
              <w:t>最小化测试</w:t>
            </w:r>
          </w:p>
        </w:tc>
        <w:tc>
          <w:tcPr>
            <w:tcW w:w="6351" w:type="dxa"/>
            <w:vAlign w:val="center"/>
          </w:tcPr>
          <w:p>
            <w:pPr>
              <w:spacing w:after="20" w:line="300" w:lineRule="auto"/>
              <w:rPr>
                <w:sz w:val="21"/>
                <w:szCs w:val="21"/>
              </w:rPr>
            </w:pPr>
            <w:r>
              <w:rPr>
                <w:rFonts w:ascii="宋体" w:hAnsi="宋体" w:eastAsia="宋体"/>
                <w:b w:val="0"/>
                <w:color w:val="1F2937"/>
                <w:sz w:val="21"/>
                <w:szCs w:val="21"/>
              </w:rPr>
              <w:t>删除直接标识符后仍检查组合重识别风险；核心事实不因过度脱敏被破坏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7" w:type="dxa"/>
            <w:vAlign w:val="center"/>
          </w:tcPr>
          <w:p>
            <w:pPr>
              <w:spacing w:after="20" w:line="300" w:lineRule="auto"/>
              <w:rPr>
                <w:sz w:val="21"/>
                <w:szCs w:val="21"/>
              </w:rPr>
            </w:pPr>
            <w:r>
              <w:rPr>
                <w:rFonts w:ascii="宋体" w:hAnsi="宋体" w:eastAsia="宋体"/>
                <w:b w:val="0"/>
                <w:color w:val="1F2937"/>
                <w:sz w:val="21"/>
                <w:szCs w:val="21"/>
              </w:rPr>
              <w:t>硬性禁止测试</w:t>
            </w:r>
          </w:p>
        </w:tc>
        <w:tc>
          <w:tcPr>
            <w:tcW w:w="6351" w:type="dxa"/>
            <w:vAlign w:val="center"/>
          </w:tcPr>
          <w:p>
            <w:pPr>
              <w:spacing w:after="20" w:line="300" w:lineRule="auto"/>
              <w:rPr>
                <w:sz w:val="21"/>
                <w:szCs w:val="21"/>
              </w:rPr>
            </w:pPr>
            <w:r>
              <w:rPr>
                <w:rFonts w:ascii="宋体" w:hAnsi="宋体" w:eastAsia="宋体"/>
                <w:b w:val="0"/>
                <w:color w:val="1F2937"/>
                <w:sz w:val="21"/>
                <w:szCs w:val="21"/>
              </w:rPr>
              <w:t>只有四要件完整成立时阻断；任一决定性事实不明则转人工复核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7" w:type="dxa"/>
            <w:vAlign w:val="center"/>
          </w:tcPr>
          <w:p>
            <w:pPr>
              <w:spacing w:after="20" w:line="300" w:lineRule="auto"/>
              <w:rPr>
                <w:sz w:val="21"/>
                <w:szCs w:val="21"/>
              </w:rPr>
            </w:pPr>
            <w:r>
              <w:rPr>
                <w:rFonts w:ascii="宋体" w:hAnsi="宋体" w:eastAsia="宋体"/>
                <w:b w:val="0"/>
                <w:color w:val="1F2937"/>
                <w:sz w:val="21"/>
                <w:szCs w:val="21"/>
              </w:rPr>
              <w:t>人工复核阈值测试</w:t>
            </w:r>
          </w:p>
        </w:tc>
        <w:tc>
          <w:tcPr>
            <w:tcW w:w="6351" w:type="dxa"/>
            <w:vAlign w:val="center"/>
          </w:tcPr>
          <w:p>
            <w:pPr>
              <w:spacing w:after="20" w:line="300" w:lineRule="auto"/>
              <w:rPr>
                <w:sz w:val="21"/>
                <w:szCs w:val="21"/>
              </w:rPr>
            </w:pPr>
            <w:r>
              <w:rPr>
                <w:rFonts w:ascii="宋体" w:hAnsi="宋体" w:eastAsia="宋体"/>
                <w:b w:val="0"/>
                <w:color w:val="1F2937"/>
                <w:sz w:val="21"/>
                <w:szCs w:val="21"/>
              </w:rPr>
              <w:t>普通敏感信息不应大量触发人工审批；只有影响合法性结论的不确定事项触发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7" w:type="dxa"/>
            <w:vAlign w:val="center"/>
          </w:tcPr>
          <w:p>
            <w:pPr>
              <w:spacing w:after="20" w:line="300" w:lineRule="auto"/>
              <w:rPr>
                <w:sz w:val="21"/>
                <w:szCs w:val="21"/>
              </w:rPr>
            </w:pPr>
            <w:r>
              <w:rPr>
                <w:rFonts w:ascii="宋体" w:hAnsi="宋体" w:eastAsia="宋体"/>
                <w:b w:val="0"/>
                <w:color w:val="1F2937"/>
                <w:sz w:val="21"/>
                <w:szCs w:val="21"/>
              </w:rPr>
              <w:t>冲突处理测试</w:t>
            </w:r>
          </w:p>
        </w:tc>
        <w:tc>
          <w:tcPr>
            <w:tcW w:w="6351" w:type="dxa"/>
            <w:vAlign w:val="center"/>
          </w:tcPr>
          <w:p>
            <w:pPr>
              <w:spacing w:after="20" w:line="300" w:lineRule="auto"/>
              <w:rPr>
                <w:sz w:val="21"/>
                <w:szCs w:val="21"/>
              </w:rPr>
            </w:pPr>
            <w:r>
              <w:rPr>
                <w:rFonts w:ascii="宋体" w:hAnsi="宋体" w:eastAsia="宋体"/>
                <w:b w:val="0"/>
                <w:color w:val="1F2937"/>
                <w:sz w:val="21"/>
                <w:szCs w:val="21"/>
              </w:rPr>
              <w:t>不采用机械“从严”原则；优先判断主体、行为、权限及最小化能否协调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7" w:type="dxa"/>
            <w:vAlign w:val="center"/>
          </w:tcPr>
          <w:p>
            <w:pPr>
              <w:spacing w:after="20" w:line="300" w:lineRule="auto"/>
              <w:rPr>
                <w:sz w:val="21"/>
                <w:szCs w:val="21"/>
              </w:rPr>
            </w:pPr>
            <w:r>
              <w:rPr>
                <w:rFonts w:ascii="宋体" w:hAnsi="宋体" w:eastAsia="宋体"/>
                <w:b w:val="0"/>
                <w:color w:val="1F2937"/>
                <w:sz w:val="21"/>
                <w:szCs w:val="21"/>
              </w:rPr>
              <w:t>审计测试</w:t>
            </w:r>
          </w:p>
        </w:tc>
        <w:tc>
          <w:tcPr>
            <w:tcW w:w="6351" w:type="dxa"/>
            <w:vAlign w:val="center"/>
          </w:tcPr>
          <w:p>
            <w:pPr>
              <w:spacing w:after="20" w:line="300" w:lineRule="auto"/>
              <w:rPr>
                <w:sz w:val="21"/>
                <w:szCs w:val="21"/>
              </w:rPr>
            </w:pPr>
            <w:r>
              <w:rPr>
                <w:rFonts w:ascii="宋体" w:hAnsi="宋体" w:eastAsia="宋体"/>
                <w:b w:val="0"/>
                <w:color w:val="1F2937"/>
                <w:sz w:val="21"/>
                <w:szCs w:val="21"/>
              </w:rPr>
              <w:t>每次审批能够复原当时材料版本、法源、事实、最小化措施和结论</w:t>
            </w:r>
          </w:p>
        </w:tc>
      </w:tr>
    </w:tbl>
    <w:p>
      <w:pPr>
        <w:pStyle w:val="4"/>
        <w:spacing w:before="160" w:after="120" w:line="300" w:lineRule="auto"/>
      </w:pPr>
    </w:p>
    <w:p>
      <w:pPr>
        <w:spacing w:before="0" w:after="100" w:line="300" w:lineRule="auto"/>
        <w:ind w:firstLine="420"/>
      </w:pPr>
      <w:r>
        <w:rPr>
          <w:rFonts w:ascii="宋体" w:hAnsi="宋体" w:eastAsia="宋体"/>
          <w:b w:val="0"/>
          <w:sz w:val="21"/>
        </w:rPr>
        <w:t>本模块的价值不在于法规数量多，而在于将法律专业判断转化为系统可执行的控制点。法源目录解决依据可追溯问题；两张映射表解决诉讼材料字段如何处理的问题；硬性禁止和冲突规则解决系统不能凭标签下结论的问题；人工审批机制解决机器无法可靠判断的边界问题。四类资产结合后，形成规则先行、最小化处理、专业判断兜底、全过程留痕的闭环。</w:t>
      </w:r>
    </w:p>
    <w:p>
      <w:pPr>
        <w:spacing w:before="0" w:after="100" w:line="300" w:lineRule="auto"/>
        <w:ind w:firstLine="420"/>
        <w:rPr>
          <w:rFonts w:ascii="宋体" w:hAnsi="宋体" w:eastAsia="宋体"/>
          <w:b w:val="0"/>
          <w:sz w:val="21"/>
        </w:rPr>
      </w:pPr>
      <w:r>
        <w:rPr>
          <w:rFonts w:ascii="宋体" w:hAnsi="宋体" w:eastAsia="宋体"/>
          <w:b w:val="0"/>
          <w:sz w:val="21"/>
        </w:rPr>
        <w:t>这一法律模块能够直接回应智能法律系统最容易被质疑的三个问题：第一，模型的法律依据从哪里来；第二，系统如何避免“法律幻觉”和过度阻断；第三，机器和律师的责任如何分工。其核心不是把律师移出流程，而是把律师的时间集中到真正需要专业判断的少数节点。</w:t>
      </w:r>
    </w:p>
    <w:p>
      <w:pPr>
        <w:spacing w:before="0" w:after="100" w:line="300" w:lineRule="auto"/>
        <w:ind w:firstLine="420"/>
        <w:rPr>
          <w:rFonts w:ascii="宋体" w:hAnsi="宋体" w:eastAsia="宋体"/>
          <w:b w:val="0"/>
          <w:sz w:val="21"/>
        </w:rPr>
      </w:pPr>
    </w:p>
    <w:p>
      <w:pPr>
        <w:spacing w:before="0" w:after="100" w:line="300" w:lineRule="auto"/>
        <w:rPr>
          <w:rFonts w:ascii="宋体" w:hAnsi="宋体" w:eastAsia="宋体"/>
          <w:b w:val="0"/>
          <w:sz w:val="21"/>
        </w:rPr>
      </w:pPr>
    </w:p>
    <w:p>
      <w:pPr>
        <w:pStyle w:val="3"/>
        <w:spacing w:before="240" w:after="120" w:line="300" w:lineRule="auto"/>
        <w:jc w:val="center"/>
        <w:rPr>
          <w:rFonts w:hint="eastAsia" w:ascii="宋体" w:hAnsi="宋体" w:eastAsia="宋体" w:cs="宋体"/>
          <w:sz w:val="28"/>
          <w:szCs w:val="24"/>
        </w:rPr>
      </w:pPr>
      <w:r>
        <w:rPr>
          <w:rFonts w:hint="eastAsia" w:ascii="宋体" w:hAnsi="宋体" w:eastAsia="宋体" w:cs="宋体"/>
          <w:sz w:val="28"/>
          <w:szCs w:val="24"/>
        </w:rPr>
        <w:t>附录 A  个人信息处理映射摘要</w:t>
      </w:r>
    </w:p>
    <w:p>
      <w:pPr>
        <w:spacing w:before="0" w:after="100" w:line="300" w:lineRule="auto"/>
        <w:ind w:firstLine="420"/>
      </w:pPr>
      <w:r>
        <w:rPr>
          <w:rFonts w:ascii="宋体" w:hAnsi="宋体" w:eastAsia="宋体"/>
          <w:b w:val="0"/>
          <w:sz w:val="21"/>
        </w:rPr>
        <w:t>以下表格根据《个人信息-个保法-处理方式对应表》整理，保留系统说明书所需的“信息类型</w:t>
      </w:r>
      <w:r>
        <w:rPr>
          <w:rFonts w:hint="eastAsia"/>
          <w:b w:val="0"/>
          <w:sz w:val="21"/>
          <w:lang w:eastAsia="zh-CN"/>
        </w:rPr>
        <w:t>-</w:t>
      </w:r>
      <w:r>
        <w:rPr>
          <w:rFonts w:ascii="宋体" w:hAnsi="宋体" w:eastAsia="宋体"/>
          <w:b w:val="0"/>
          <w:sz w:val="21"/>
        </w:rPr>
        <w:t>常见载体</w:t>
      </w:r>
      <w:r>
        <w:rPr>
          <w:rFonts w:hint="eastAsia"/>
          <w:b w:val="0"/>
          <w:sz w:val="21"/>
          <w:lang w:eastAsia="zh-CN"/>
        </w:rPr>
        <w:t>-</w:t>
      </w:r>
      <w:r>
        <w:rPr>
          <w:rFonts w:ascii="宋体" w:hAnsi="宋体" w:eastAsia="宋体"/>
          <w:b w:val="0"/>
          <w:sz w:val="21"/>
        </w:rPr>
        <w:t>默认处理</w:t>
      </w:r>
      <w:r>
        <w:rPr>
          <w:rFonts w:hint="eastAsia"/>
          <w:b w:val="0"/>
          <w:sz w:val="21"/>
          <w:lang w:eastAsia="zh-CN"/>
        </w:rPr>
        <w:t>-</w:t>
      </w:r>
      <w:r>
        <w:rPr>
          <w:rFonts w:ascii="宋体" w:hAnsi="宋体" w:eastAsia="宋体"/>
          <w:b w:val="0"/>
          <w:sz w:val="21"/>
        </w:rPr>
        <w:t>人工复核触发”四项。完整法条原文、对应条款和规则性质以结构化映射表为准。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422"/>
        <w:gridCol w:w="2422"/>
        <w:gridCol w:w="2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信息类型</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常见载体/位置</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默认处理</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人工复核触发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姓名</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劳动合同、仲裁申请书、起诉状、答辩状、证据目录、工资表、聊天记录、证人信息</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法律要求：不得非法提供；项目处理：任务不需要直接身份时优先替换为“劳动者/员工/证人”等角色标识。</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否；规则明确时自动处理；仅当必须保留真实姓名才能完成任务且必要性无法确认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身份证件号码</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身份证复印件、身份材料、授权委托书、仲裁/诉讼主体材料</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项目处理：通常不发送完整身份证号；采用删除、部分掩码或不可逆角色化处理。</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否；不需要真实证件号时自动脱敏；确需核对主体身份且是否有必要外传无法确认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住址</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劳动合同、入职登记、送达材料、身份证明、仲裁/诉讼文书</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项目处理：删除无关门牌号；必要时保留到城市/区县层级。</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否；案件争议本身就是居住地/送达地且需要精确地址时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手机号</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劳动合同、联系人、微信/短信、送达材料、证据截图</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项目处理：通常删除或掩码，如138****1234；仅保留识别同一联系人的必要部分。</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否；手机号本身是争议事实且完整号码确属必要时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电子邮箱</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劳动合同、offer、通知、邮件往来、证据截图</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项目处理：删除或部分掩码邮箱账号。</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否；邮件地址本身是争议事实且确需核对时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出生日期/年龄</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入职登记、身份证明、劳动合同、退休/年龄争议材料</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项目处理：能用年龄/年龄区间证明争议的，优先转换为年龄或区间。</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否；年龄是否达到法定门槛且精确生日可能影响结论时保留必要精度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银行账号/银行卡号</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工资流水、工资发放记录、经济补偿金支付凭证</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项目处理：通常删除完整账号，只保留末4位或支付事实；必要时保留脱敏后的账户标识。</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否；条件明确时不因敏感标签自动复核；处理基础、必要性或严格保护措施无法确认时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工资/奖金金额</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工资表、银行流水、工资条、个税记录、奖金记录</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法律允许范围内最小化保留金额、月份、支付状态；删除完整账户信息。</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否；工资金额是否属于争议核心事实不清时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社保账号/缴费记录</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社保缴费记录、社保查询截图、劳动争议证据</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项目处理：保留案件相关期间和缴费事实；删除完整社保账号。</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否；完整账号是否确有必要且合法基础不清时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医疗健康信息</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病历、诊断证明、病假条、住院记录、工伤医疗资料、职业病资料</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项目处理：只保留与争议有关的诊断结论、日期、伤情/停工留薪期等必要事实；删除无关病史、检查细节和直接身份信息。</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否；法律条件明确且可最小化时；具体健康信息是否为争议必要事实、是否存在额外用途/保密限制不清时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工伤认定/劳动能力鉴定结果</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工伤认定决定书、劳动能力鉴定结论、工伤待遇材料</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项目处理：保留认定结论、等级、日期等必要字段；原始病历/检查资料另行最小化。</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否；是否必须处理原始医疗附件不明确时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生育/孕产健康信息</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怀孕证明、产检、产假申请、生育医疗材料</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项目处理：保留是否怀孕、关键日期、是否符合产假事实等必要内容；删除详细检查记录。</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否；具体医疗资料是否必要、处理基础或用途限制不清时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指纹/人脸等生物识别信息</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考勤系统截图、打卡日志、门禁记录</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项目处理：优先删除原始生物识别模板，仅保留日期、时间、考勤结果等非生物特征证据。</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否；若原始生物识别数据确为争议核心且无法用结果替代时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行踪轨迹/精确定位</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打卡定位、出差轨迹、车辆GPS、手机定位截图</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项目处理：保留与争议时间/地点直接相关的必要记录；删除连续轨迹和无关位置数据。</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否；是否需要精确轨迹才能证明案件事实不明确时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宗教信仰/特定身份信息</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员工档案、福利申请、争议陈述等</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项目处理：非案件必要信息直接删除；确属案件必要且法律条件明确时最小化处理。</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否；非必要时直接删除；是否确属案件必要且处理基础明确时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不满14周岁未成年人信息</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劳动者子女资料、家庭成员信息、抚养/赔偿材料</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项目处理：无关儿童信息删除；确需处理时最小化，并核实第31条要求。</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是；年龄、监护授权、处理基础或必要性无法确认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家庭成员信息</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婚姻、子女、父母、配偶、紧急联系人等</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项目处理：无关家庭成员信息直接删除；确需证明扶养/亲属关系时只保留关系类型和必要事实。</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否；第三方家庭成员信息是否确属案件必要事实不清时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聊天账号/微信号/社交账号</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微信聊天、企业微信、钉钉、短信、邮件截图</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项目处理：保留与争议相关的对话内容；隐藏无关账号、头像、朋友圈和第三方信息。</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否；聊天内容包含第三方敏感信息或私密信息且是否必要不清时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考勤/打卡时间</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考勤表、打卡记录、加班记录、门禁记录</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项目处理：保留日期、时间、考勤结果；删除原始生物识别、无关定位等附带数据。</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否；是否需要连续完整考勤记录取决于具体争议事实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绩效考核/奖惩记录</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绩效表、KPI、奖金评定、纪律处分、警告/通报</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项目处理：仅保留争议期间、争议指标、结论和必要证据；删除无关员工评价信息。</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否；包含大量无关员工信息或第三方评价时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录音/录像及其中的人声、肖像</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谈话录音、会议录像、监控、庭审/仲裁录音</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项目处理：优先提取与争议相关的文字事实；无关人员声像信息不进入外部载荷。</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否；原始媒体是否必须外发、是否含大量第三方信息不清时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银行流水中的交易对手/其他账户</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工资流水、报销、转账记录</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项目处理：裁剪到争议期间和相关交易；隐藏无关交易、完整账户号和第三方信息。</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否；无法自动区分案件相关交易与无关交易时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税号/个税申报信息</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个税记录、收入证明、税务截图</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项目处理：保留与争议期间相关的收入/申报事实，删除无关识别号码。</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否；税务数据是否为核心证据及需保留精确字段不明确时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证人信息/第三方联系人</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证人身份证明、联系方式、证人证言、联系人信息</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项目处理：证言内容可保留；姓名、手机号、住址等优先脱敏或角色化。</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否；证人身份本身是否为争议核心且必须真实呈现时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离职/解除原因中的健康或家庭情况</w:t>
            </w:r>
          </w:p>
        </w:tc>
        <w:tc>
          <w:tcPr>
            <w:tcW w:w="283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解除通知、离职申请、谈话记录</w:t>
            </w:r>
          </w:p>
        </w:tc>
        <w:tc>
          <w:tcPr>
            <w:tcW w:w="317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项目处理：保留法律争议所需的解除原因；删除无关私生活、健康细节。</w:t>
            </w:r>
          </w:p>
        </w:tc>
        <w:tc>
          <w:tcPr>
            <w:tcW w:w="238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否；解除原因与健康/家庭信息的关联是否必要不清时</w:t>
            </w:r>
          </w:p>
        </w:tc>
      </w:tr>
    </w:tbl>
    <w:p>
      <w:pPr>
        <w:spacing w:after="40" w:line="300" w:lineRule="auto"/>
      </w:pPr>
    </w:p>
    <w:p>
      <w:pPr>
        <w:pStyle w:val="3"/>
        <w:spacing w:before="240" w:after="120" w:line="300" w:lineRule="auto"/>
        <w:jc w:val="center"/>
        <w:rPr>
          <w:rFonts w:hint="eastAsia" w:ascii="宋体" w:hAnsi="宋体" w:eastAsia="宋体" w:cs="宋体"/>
          <w:sz w:val="28"/>
          <w:szCs w:val="28"/>
        </w:rPr>
      </w:pPr>
    </w:p>
    <w:p>
      <w:pPr>
        <w:pStyle w:val="3"/>
        <w:spacing w:before="240" w:after="120" w:line="300" w:lineRule="auto"/>
        <w:jc w:val="center"/>
        <w:rPr>
          <w:rFonts w:hint="eastAsia" w:ascii="宋体" w:hAnsi="宋体" w:eastAsia="宋体" w:cs="宋体"/>
          <w:sz w:val="28"/>
          <w:szCs w:val="28"/>
        </w:rPr>
      </w:pPr>
    </w:p>
    <w:p>
      <w:pPr>
        <w:pStyle w:val="3"/>
        <w:spacing w:before="240" w:after="120" w:line="300" w:lineRule="auto"/>
        <w:jc w:val="center"/>
        <w:rPr>
          <w:rFonts w:hint="eastAsia" w:ascii="宋体" w:hAnsi="宋体" w:eastAsia="宋体" w:cs="宋体"/>
          <w:sz w:val="28"/>
          <w:szCs w:val="28"/>
        </w:rPr>
      </w:pPr>
    </w:p>
    <w:p>
      <w:pPr>
        <w:pStyle w:val="3"/>
        <w:spacing w:before="240" w:after="120" w:line="300" w:lineRule="auto"/>
        <w:jc w:val="center"/>
        <w:rPr>
          <w:rFonts w:hint="eastAsia" w:ascii="宋体" w:hAnsi="宋体" w:eastAsia="宋体" w:cs="宋体"/>
          <w:sz w:val="28"/>
          <w:szCs w:val="28"/>
        </w:rPr>
      </w:pPr>
    </w:p>
    <w:p>
      <w:pPr>
        <w:pStyle w:val="3"/>
        <w:spacing w:before="240" w:after="120" w:line="300" w:lineRule="auto"/>
        <w:jc w:val="center"/>
        <w:rPr>
          <w:rFonts w:hint="eastAsia" w:ascii="宋体" w:hAnsi="宋体" w:eastAsia="宋体" w:cs="宋体"/>
          <w:sz w:val="28"/>
          <w:szCs w:val="28"/>
        </w:rPr>
      </w:pPr>
    </w:p>
    <w:p>
      <w:pPr>
        <w:pStyle w:val="3"/>
        <w:spacing w:before="240" w:after="120" w:line="300" w:lineRule="auto"/>
        <w:jc w:val="both"/>
        <w:rPr>
          <w:rFonts w:hint="eastAsia" w:ascii="宋体" w:hAnsi="宋体" w:eastAsia="宋体" w:cs="宋体"/>
          <w:sz w:val="28"/>
          <w:szCs w:val="28"/>
        </w:rPr>
      </w:pPr>
    </w:p>
    <w:p>
      <w:pPr>
        <w:pStyle w:val="3"/>
        <w:spacing w:before="240" w:after="120" w:line="300" w:lineRule="auto"/>
        <w:jc w:val="both"/>
        <w:rPr>
          <w:rFonts w:hint="eastAsia" w:ascii="宋体" w:hAnsi="宋体" w:eastAsia="宋体" w:cs="宋体"/>
          <w:sz w:val="28"/>
          <w:szCs w:val="28"/>
          <w:lang w:eastAsia="zh-CN"/>
        </w:rPr>
      </w:pPr>
      <w:r>
        <w:rPr>
          <w:rFonts w:hint="eastAsia" w:ascii="宋体" w:hAnsi="宋体" w:eastAsia="宋体" w:cs="宋体"/>
          <w:sz w:val="28"/>
          <w:szCs w:val="28"/>
          <w:lang w:val="en-US" w:eastAsia="zh-CN"/>
        </w:rPr>
        <w:t xml:space="preserve"> </w:t>
      </w:r>
    </w:p>
    <w:p>
      <w:pPr>
        <w:spacing w:before="0" w:after="100" w:line="300" w:lineRule="auto"/>
        <w:ind w:firstLine="420"/>
        <w:rPr>
          <w:rFonts w:ascii="宋体" w:hAnsi="宋体" w:eastAsia="宋体"/>
          <w:b w:val="0"/>
          <w:sz w:val="21"/>
        </w:rPr>
      </w:pPr>
    </w:p>
    <w:p>
      <w:pPr>
        <w:spacing w:before="0" w:after="100" w:line="300" w:lineRule="auto"/>
        <w:ind w:firstLine="420"/>
        <w:rPr>
          <w:rFonts w:ascii="宋体" w:hAnsi="宋体" w:eastAsia="宋体"/>
          <w:b w:val="0"/>
          <w:sz w:val="21"/>
        </w:rPr>
      </w:pPr>
    </w:p>
    <w:p>
      <w:pPr>
        <w:spacing w:before="0" w:after="100" w:line="300" w:lineRule="auto"/>
        <w:jc w:val="center"/>
        <w:rPr>
          <w:rFonts w:ascii="宋体" w:hAnsi="宋体" w:eastAsia="宋体"/>
          <w:b/>
          <w:bCs/>
          <w:sz w:val="28"/>
          <w:szCs w:val="28"/>
        </w:rPr>
      </w:pPr>
      <w:r>
        <w:rPr>
          <w:rFonts w:hint="eastAsia" w:ascii="宋体" w:hAnsi="宋体" w:eastAsia="宋体"/>
          <w:b/>
          <w:bCs/>
          <w:sz w:val="28"/>
          <w:szCs w:val="28"/>
        </w:rPr>
        <w:t>附录 B  其他敏感客体处理映射摘要</w:t>
      </w:r>
    </w:p>
    <w:p>
      <w:pPr>
        <w:spacing w:before="0" w:after="100" w:line="300" w:lineRule="auto"/>
        <w:ind w:firstLine="420" w:firstLineChars="200"/>
      </w:pPr>
      <w:r>
        <w:rPr>
          <w:rFonts w:ascii="宋体" w:hAnsi="宋体" w:eastAsia="宋体"/>
          <w:b w:val="0"/>
          <w:sz w:val="21"/>
        </w:rPr>
        <w:t>以下表格根据《其他敏感客体-相应法条-处理方式对照表》整理。该资产用于避免把所有特殊材料都误归为个人信息，从而能够按商业秘密、程序保密、征信、涉密、电子证据等不同法律关系分别判断。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422"/>
        <w:gridCol w:w="2422"/>
        <w:gridCol w:w="2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敏感客体</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常见载体/位置</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默认处理</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人工复核触发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企业商业秘密</w:t>
            </w:r>
            <w:r>
              <w:rPr>
                <w:rFonts w:hint="eastAsia" w:ascii="宋体" w:hAnsi="宋体" w:eastAsia="宋体" w:cs="宋体"/>
                <w:b w:val="0"/>
                <w:color w:val="1F2937"/>
                <w:sz w:val="15"/>
                <w:lang w:eastAsia="zh-CN"/>
              </w:rPr>
              <w:t>-</w:t>
            </w:r>
            <w:r>
              <w:rPr>
                <w:rFonts w:hint="eastAsia" w:ascii="宋体" w:hAnsi="宋体" w:eastAsia="宋体" w:cs="宋体"/>
                <w:b w:val="0"/>
                <w:color w:val="1F2937"/>
                <w:sz w:val="15"/>
              </w:rPr>
              <w:t>技术信息</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劳动合同附件、岗位说明、技术方案、工艺文件、源代码/程序文档、技术图纸、研发资料、测试数据等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原则上仅提取解决争议所必需的技术事实；能以概括性事实替代原文的，不发送原始技术资料、源代码、完整图纸；存在明确第三方披露限制时暂停外传。</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是；商业秘密属性、保密义务、外部接收方权限或案件使用范围不明确时；①仅标注机密/保密但是否构成商业秘密不明；</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②保密协议是否允许向外部AI提供不明；</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③诉讼代理权限不等于第三方提供权限；</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④对方商业秘密而非本方商业秘密时处分权限不明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企业商业秘密</w:t>
            </w:r>
            <w:r>
              <w:rPr>
                <w:rFonts w:hint="eastAsia" w:ascii="宋体" w:hAnsi="宋体" w:eastAsia="宋体" w:cs="宋体"/>
                <w:b w:val="0"/>
                <w:color w:val="1F2937"/>
                <w:sz w:val="15"/>
                <w:lang w:eastAsia="zh-CN"/>
              </w:rPr>
              <w:t>-</w:t>
            </w:r>
            <w:r>
              <w:rPr>
                <w:rFonts w:hint="eastAsia" w:ascii="宋体" w:hAnsi="宋体" w:eastAsia="宋体" w:cs="宋体"/>
                <w:b w:val="0"/>
                <w:color w:val="1F2937"/>
                <w:sz w:val="15"/>
              </w:rPr>
              <w:t>经营信息</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客户名单、供应商名单、报价体系、成本结构、销售策略、采购价格、经营计划、业务数据、客户交易习惯等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优先提取争议事实，不发送完整客户库、报价库、经营数据库；必要时仅保留与竞业限制、保密义务、业务归属直接相关的最小片段。</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是；是否达到商业秘密构成要件或是否受保密义务约束不明确时；①是否非公开；</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②是否具有商业价值；</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③是否采取相应保密措施；</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④当前AI是否属于允许接触范围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商业秘密载体及保密措施材料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保密协议、竞业限制协议、员工手册、信息安全制度、涉密标识、权限记录、加密/封存记录、离职交接记录等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对外披露材料时，应当优先提交能够证明已采取保密措施及其覆盖范围的相关事实，不得发送完整保密附件以及涉密的技术、经营信息；若确需对具体涉密条款开展分析，应当事先核实第三方的信息披露权限，确认有权限后方可提供对应内容。</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是；保密条款具体内容及其对外部第三方的约束范围不明确时；①NDA是否禁止第三方处理；</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②合同是否允许委托/转委托；</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③材料是否含真正商业秘密内容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未公开财务经营资料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成本核算、内部预算、毛利率、报价底价、薪酬预算、经营预测、资金安排、财务报表草稿等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只提取和工资支付、经营困难、劳动关系解除原因等争议焦点直接相关的数字、结论性信息提交给AI；完整财务底稿、预算表这类非必要原始财务资料，不要输入到外部AI系统中，避免内部财务信息泄露。</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否；构成商业秘密的决定性事实不明时转人工复核；资料是否非公开、是否有保密措施、是否确有必要使用完整数据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招投标及采购保密资料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招标文件内部版本、投标报价、评标资料、采购底价、供应商评价、谈判记录等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删除与劳动争议无关的采购/招投标内容；确需用于证明岗位、业务范围等事实时，仅保留必要结论或片段。</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是；是否属于商业秘密或受合同保密条款约束不明确时；①招投标材料来源；</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②是否仍处于保密期；</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③第三方提供权限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医疗病历、病案资料（作为特殊证据客体）</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工伤认定材料、职业病诊断资料、住院病历、门急诊病历、检查报告、影像资料、手术记录、病程记录、病案首页等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优先提取诊断结论、伤情或职业病结论、时间节点以及和争议事实直接相关的必要内容；完整病历、影像原始文件以及无关的病程记录，原则上不得输入外部AI系统，防范医疗隐私信息外泄。</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是；病历取得权限、用途、是否可向外部第三方提供不明确时；①是否依法取得；</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②是否仅限案件必要范围；</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③是否包含无关医疗信息；</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④外部服务商角色及合同是否满足要求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医疗鉴定/职业病鉴定原始材料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职业病诊断证明、鉴定结论、鉴定申请材料、检验数据、医学影像、专家意见、鉴定底稿等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优先使用鉴定结论及争议相关事实；完整检验原始数据、影像及鉴定底稿仅在确有必要时处理。</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是；是否必须处理完整原始材料、材料来源及外部使用权限不明确时；①是否仅需结论即可完成任务；</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②是否包含大量无关医疗资料；</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③鉴定机构/医疗机构是否存在特殊保密要求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个人征信报告/信用信息</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劳动者或相关主体征信报告、失信信息、信用查询记录、信用异议材料等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除非信用信息直接构成争议事实，否则原则上删除；确有必要时只保留与争议直接相关的结论或必要字段，不上传完整征信报告。</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是；征信信息的取得来源、使用目的、第三方提供权限不明确时；①是否为依法取得的征信信息；</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②当前使用目的是否与约定用途一致；</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③是否允许向第三方提供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企业征信/企业信用报告</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企业信用报告、企业征信查询结果、企业失信记录、信用评价材料等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仅处理与劳动争议中的企业主体资格、履约能力等直接相关内容；完整企业征信报告非必要不外传。</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否；来源、使用权限或包含个人/商业秘密信息时转复核；①是否混入个人信用信息；</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②是否包含商业秘密；</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③报告是否存在使用限制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国家秘密材料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涉密公文、涉密证据、涉密调查材料、涉密内部文件、涉密电子数据等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确认属于国家秘密的，不得进入普通外部AI调用输入载荷；对于密级、信息属性不明确时暂停并人工核实。</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是；密级、涉密属性或当前系统是否属于符合要求的涉密系统不明确时；①是否依法确定为国家秘密；</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②密级；</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③处理系统及通信方式是否符合保密要求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工作秘密及机关内部敏感材料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机关单位内部工作文件、内部调查材料、未公开行政管理资料等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不得向外部AI提交完整内部文件；确需使用时，仅提取与劳动争议直接相关、已公开或取得授权的事实信息；当制度依据存疑时，应当暂停AI处理，开展人工复核。</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是；是否属于工作秘密及允许的流转范围不明确时；①材料来源机关；</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②是否有工作秘密标识；</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③内部流转/对外提供规则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法院/仲裁机构采取保密措施的诉讼材料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法院责令保密的证据、保密承诺书、限制阅览材料、非公开质证材料、仲裁保密材料等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优先提取不受保密措施限制的事实；对明确受法院/仲裁机构保密措施约束的材料，暂停外传并核实授权范围。</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是；保密裁定/承诺的具体范围及外部提供权限不明确时；①法院/仲裁机构是否作出具体保密措施；</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②保密范围；</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③是否允许第三方技术服务商接触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第三方保密协议及合同保密条款</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用工合同附件、客户合同、供应商合同、技术合作协议、离职协议、竞业限制协议等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仅提取与案件判断直接相关的保密义务相关内容；若涉及具体秘密信息，应当先行核实合同是否允许委托、转委托或交由第三方开展技术处理。</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是；第三方提供、转委托、云服务/AI服务是否被合同允许不明确时；①合同保密条款；</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②允许披露对象；</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③法律/合同例外；</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④外部AI是否属于授权接收方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电子数据原始载体及取证镜像</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电脑镜像、手机镜像、服务器日志、邮件归档、聊天记录原始包、电子证据存储介质等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原则上禁止将完整镜像直接上传外部AI；先在本地抽取与劳动争议事实相关的文本/事件，再对必要内容进行处理。</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是；是否必须处理原始载体、取证范围或完整性要求不明确时；①原始证据是否需要保全；</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②是否可使用复制件/提取文本；</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③是否含商业秘密、国家秘密或其他受保护信息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未公开调查、审计及内部合规材料</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内部调查报告、审计底稿、合规调查记录、员工违规调查、纪检/监察相关内部材料等</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优先抽取调查结论和与劳动争议直接相关的事实；完整底稿、内部访谈记录及无关调查内容原则上不外传。</w:t>
            </w:r>
          </w:p>
        </w:tc>
        <w:tc>
          <w:tcPr>
            <w:tcW w:w="2422"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是；材料性质、来源和保密依据不明确时；①是否包含商业秘密/国家秘密；②是否存在内部制度或合同保密义务；③</w:t>
            </w:r>
            <w:r>
              <w:rPr>
                <w:rFonts w:hint="eastAsia" w:ascii="宋体" w:hAnsi="宋体" w:eastAsia="宋体" w:cs="宋体"/>
                <w:b w:val="0"/>
                <w:color w:val="1F2937"/>
                <w:sz w:val="15"/>
              </w:rPr>
              <w:br w:type="textWrapping"/>
            </w:r>
            <w:r>
              <w:rPr>
                <w:rFonts w:hint="eastAsia" w:ascii="宋体" w:hAnsi="宋体" w:eastAsia="宋体" w:cs="宋体"/>
                <w:b w:val="0"/>
                <w:color w:val="1F2937"/>
                <w:sz w:val="15"/>
              </w:rPr>
              <w:t>是否确有必要处理完整材料</w:t>
            </w:r>
            <w:r>
              <w:rPr>
                <w:rFonts w:hint="eastAsia" w:ascii="宋体" w:hAnsi="宋体" w:eastAsia="宋体" w:cs="宋体"/>
                <w:b w:val="0"/>
                <w:color w:val="1F2937"/>
                <w:sz w:val="15"/>
              </w:rPr>
              <w:br w:type="textWrapping"/>
            </w:r>
          </w:p>
        </w:tc>
      </w:tr>
    </w:tbl>
    <w:p>
      <w:pPr>
        <w:pStyle w:val="3"/>
        <w:spacing w:before="240" w:after="120" w:line="300" w:lineRule="auto"/>
        <w:jc w:val="center"/>
        <w:rPr>
          <w:rFonts w:hint="eastAsia" w:ascii="宋体" w:hAnsi="宋体" w:eastAsia="宋体" w:cs="宋体"/>
          <w:sz w:val="28"/>
          <w:szCs w:val="24"/>
        </w:rPr>
      </w:pPr>
      <w:r>
        <w:rPr>
          <w:rFonts w:hint="eastAsia" w:ascii="宋体" w:hAnsi="宋体" w:eastAsia="宋体" w:cs="宋体"/>
          <w:sz w:val="28"/>
          <w:szCs w:val="24"/>
        </w:rPr>
        <w:t>附录 C  核心法源资产清单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422"/>
        <w:gridCol w:w="2422"/>
        <w:gridCol w:w="2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层级</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法源/规则名称</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条目数</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color w:val="1F2937"/>
                <w:sz w:val="15"/>
              </w:rPr>
              <w:t>主要作用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《中华人民共和国个人信息保护法》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24</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个人信息定义、合法基础、委托/提供、敏感信息、跨境、影响评估、去标识化/匿名化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《中华人民共和国民法典》</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5</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隐私权、私密信息和个人信息民事权利边界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《中华人民共和国律师法》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律师执业保密义务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《中华人民共和国反不正当竞争法》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商业秘密构成与禁止性行为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《中华人民共和国劳动争议调解仲裁法》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仲裁卷宗、查阅复制、不公开及保密边界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部门规章</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《劳动人事争议仲裁办案规则》</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3</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仲裁卷宗、查阅复制、不公开及保密边界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《中华人民共和国劳动合同法》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2</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与劳动争议材料外部处理相关的补充规则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《中华人民共和国职业病防治法》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职业健康档案与劳动争议健康资料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《中华人民共和国传染病防治法》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2</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传染病防治信息目的限制与隐私保护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《中华人民共和国数据安全法》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5</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数据分类分级与重要数据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《中华人民共和国保守国家秘密法》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2</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国家秘密的传递、存储和处理限制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行政法规</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《网络数据安全管理条例》</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7</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网络数据安全、委托/提供、重要数据识别与评估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法律</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《中华人民共和国未成年人保护法》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未成年人个人信息网络处理特别要求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司法解释</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《最高人民法院关于适用〈中华人民共和国民事诉讼法〉的解释》</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与劳动争议材料外部处理相关的补充规则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司法解释</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《最高人民法院关于审理侵犯商业秘密民事案件适用法律若干问题的规定》</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3</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商业秘密保密措施、义务及诉讼保密措施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部门规章</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《就业服务与就业管理规定》</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与劳动争议材料外部处理相关的补充规则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部门规章</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《促进和规范数据跨境流动规定》</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5</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实际数据出境路径、评估/标准合同/认证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部门规章</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《数据出境安全评估办法》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2</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实际数据出境路径、评估/标准合同/认证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部门规章</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《个人信息出境认证办法》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2</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实际数据出境路径、评估/标准合同/认证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部门规章</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《个人信息出境标准合同办法》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3</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实际数据出境路径、评估/标准合同/认证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国家标准</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GB/T 37964</w:t>
            </w:r>
            <w:r>
              <w:rPr>
                <w:rFonts w:hint="eastAsia" w:ascii="宋体" w:hAnsi="宋体" w:eastAsia="宋体" w:cs="宋体"/>
                <w:b w:val="0"/>
                <w:color w:val="1F2937"/>
                <w:sz w:val="15"/>
                <w:lang w:eastAsia="zh-CN"/>
              </w:rPr>
              <w:t>-</w:t>
            </w:r>
            <w:r>
              <w:rPr>
                <w:rFonts w:hint="eastAsia" w:ascii="宋体" w:hAnsi="宋体" w:eastAsia="宋体" w:cs="宋体"/>
                <w:b w:val="0"/>
                <w:color w:val="1F2937"/>
                <w:sz w:val="15"/>
              </w:rPr>
              <w:t>2019《信息安全技术 个人信息去标识化指南》</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10</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直接标识符、准标识符与去标识化流程参考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国家标准</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GB/T 42460</w:t>
            </w:r>
            <w:r>
              <w:rPr>
                <w:rFonts w:hint="eastAsia" w:ascii="宋体" w:hAnsi="宋体" w:eastAsia="宋体" w:cs="宋体"/>
                <w:b w:val="0"/>
                <w:color w:val="1F2937"/>
                <w:sz w:val="15"/>
                <w:lang w:eastAsia="zh-CN"/>
              </w:rPr>
              <w:t>-</w:t>
            </w:r>
            <w:r>
              <w:rPr>
                <w:rFonts w:hint="eastAsia" w:ascii="宋体" w:hAnsi="宋体" w:eastAsia="宋体" w:cs="宋体"/>
                <w:b w:val="0"/>
                <w:color w:val="1F2937"/>
                <w:sz w:val="15"/>
              </w:rPr>
              <w:t>2023《信息安全技术 个人信息去标识化效果评估指南》</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5</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去标识化效果及重识别风险评估参考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国家标准</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GB/T 45574</w:t>
            </w:r>
            <w:r>
              <w:rPr>
                <w:rFonts w:hint="eastAsia" w:ascii="宋体" w:hAnsi="宋体" w:eastAsia="宋体" w:cs="宋体"/>
                <w:b w:val="0"/>
                <w:color w:val="1F2937"/>
                <w:sz w:val="15"/>
                <w:lang w:eastAsia="zh-CN"/>
              </w:rPr>
              <w:t>-</w:t>
            </w:r>
            <w:r>
              <w:rPr>
                <w:rFonts w:hint="eastAsia" w:ascii="宋体" w:hAnsi="宋体" w:eastAsia="宋体" w:cs="宋体"/>
                <w:b w:val="0"/>
                <w:color w:val="1F2937"/>
                <w:sz w:val="15"/>
              </w:rPr>
              <w:t>2025《数据安全技术 敏感个人信息处理安全要求》</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7</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敏感个人信息安全处理参考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地方性法规</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《北京市数字经济促进条例》</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3</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北京数据处理、个人信息合法使用与去标识化安全评估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地方政府规章</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《北京市促进人力资源市场发展办法》</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北京招聘/求职个人信息特别规则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地方性法规</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《北京市突发公共卫生事件应急条例》</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北京应急场景个人信息防泄露/防滥用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地方性法规</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《北京市精神卫生条例》</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精神疾病患者隐私与病情资料特别保护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地方性法规</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《北京市未成年人保护条例》</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北京未成年人隐私与个人信息特殊保护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地方性法规</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《北京市保守国家秘密条例》</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4</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北京定密边界、公共网络/非涉密设备限制和工作秘密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地方性法规</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《北京市知识产权保护条例》</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北京商业秘密保密义务的特定主体规则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项目自定规则</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项目规则：劳动争议诉讼材料中的直接身份识别信息原则上先自动脱敏</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项目内部风险控制，不冒充法律强制规范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项目自定规则</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项目规则：敏感个人信息在能够完成任务的情况下优先最小化而非默认人工复核</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项目内部风险控制，不冒充法律强制规范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项目自定规则</w:t>
            </w:r>
          </w:p>
        </w:tc>
        <w:tc>
          <w:tcPr>
            <w:tcW w:w="351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项目规则：法律依据不确定时暂停外部调用</w:t>
            </w:r>
          </w:p>
        </w:tc>
        <w:tc>
          <w:tcPr>
            <w:tcW w:w="907"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1</w:t>
            </w:r>
          </w:p>
        </w:tc>
        <w:tc>
          <w:tcPr>
            <w:tcW w:w="3685" w:type="dxa"/>
            <w:vAlign w:val="center"/>
          </w:tcPr>
          <w:p>
            <w:pPr>
              <w:spacing w:after="20" w:line="300" w:lineRule="auto"/>
              <w:rPr>
                <w:rFonts w:hint="eastAsia" w:ascii="宋体" w:hAnsi="宋体" w:eastAsia="宋体" w:cs="宋体"/>
              </w:rPr>
            </w:pPr>
            <w:r>
              <w:rPr>
                <w:rFonts w:hint="eastAsia" w:ascii="宋体" w:hAnsi="宋体" w:eastAsia="宋体" w:cs="宋体"/>
                <w:b w:val="0"/>
                <w:color w:val="1F2937"/>
                <w:sz w:val="15"/>
              </w:rPr>
              <w:t>项目内部风险控制，不冒充法律强制规范</w:t>
            </w:r>
          </w:p>
        </w:tc>
      </w:tr>
    </w:tbl>
    <w:p>
      <w:pPr>
        <w:spacing w:after="40" w:line="300" w:lineRule="auto"/>
      </w:pPr>
    </w:p>
    <w:p>
      <w:pPr>
        <w:pStyle w:val="3"/>
        <w:spacing w:before="240" w:after="120" w:line="300" w:lineRule="auto"/>
      </w:pPr>
    </w:p>
    <w:p/>
    <w:p/>
    <w:p/>
    <w:p/>
    <w:p/>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4"/>
        <w:gridCol w:w="4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vAlign w:val="center"/>
          </w:tcPr>
          <w:p>
            <w:pPr>
              <w:spacing w:after="20" w:line="300" w:lineRule="auto"/>
              <w:rPr>
                <w:sz w:val="21"/>
                <w:szCs w:val="21"/>
              </w:rPr>
            </w:pPr>
            <w:r>
              <w:rPr>
                <w:rFonts w:ascii="宋体" w:hAnsi="宋体" w:eastAsia="宋体"/>
                <w:b/>
                <w:color w:val="1F2937"/>
                <w:sz w:val="21"/>
                <w:szCs w:val="21"/>
              </w:rPr>
              <w:t>材料</w:t>
            </w:r>
          </w:p>
        </w:tc>
        <w:tc>
          <w:tcPr>
            <w:tcW w:w="4844" w:type="dxa"/>
            <w:vAlign w:val="center"/>
          </w:tcPr>
          <w:p>
            <w:pPr>
              <w:spacing w:after="20" w:line="300" w:lineRule="auto"/>
              <w:rPr>
                <w:sz w:val="21"/>
                <w:szCs w:val="21"/>
              </w:rPr>
            </w:pPr>
            <w:r>
              <w:rPr>
                <w:rFonts w:ascii="宋体" w:hAnsi="宋体" w:eastAsia="宋体"/>
                <w:b/>
                <w:color w:val="1F2937"/>
                <w:sz w:val="21"/>
                <w:szCs w:val="21"/>
              </w:rPr>
              <w:t>在本说明书中的用途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pPr>
              <w:spacing w:after="20" w:line="300" w:lineRule="auto"/>
              <w:rPr>
                <w:sz w:val="21"/>
                <w:szCs w:val="21"/>
              </w:rPr>
            </w:pPr>
            <w:r>
              <w:rPr>
                <w:rFonts w:ascii="宋体" w:hAnsi="宋体" w:eastAsia="宋体"/>
                <w:b w:val="0"/>
                <w:color w:val="1F2937"/>
                <w:sz w:val="21"/>
                <w:szCs w:val="21"/>
              </w:rPr>
              <w:t>《总法源目录》</w:t>
            </w:r>
          </w:p>
        </w:tc>
        <w:tc>
          <w:tcPr>
            <w:tcW w:w="4844" w:type="dxa"/>
            <w:vAlign w:val="center"/>
          </w:tcPr>
          <w:p>
            <w:pPr>
              <w:spacing w:after="20" w:line="300" w:lineRule="auto"/>
              <w:rPr>
                <w:sz w:val="21"/>
                <w:szCs w:val="21"/>
              </w:rPr>
            </w:pPr>
            <w:r>
              <w:rPr>
                <w:rFonts w:ascii="宋体" w:hAnsi="宋体" w:eastAsia="宋体"/>
                <w:b w:val="0"/>
                <w:color w:val="1F2937"/>
                <w:sz w:val="21"/>
                <w:szCs w:val="21"/>
              </w:rPr>
              <w:t>法源目录、规则性质、适用范围、触发条件、后果、版本信息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pPr>
              <w:spacing w:after="20" w:line="300" w:lineRule="auto"/>
              <w:rPr>
                <w:sz w:val="21"/>
                <w:szCs w:val="21"/>
              </w:rPr>
            </w:pPr>
            <w:r>
              <w:rPr>
                <w:rFonts w:ascii="宋体" w:hAnsi="宋体" w:eastAsia="宋体"/>
                <w:b w:val="0"/>
                <w:color w:val="1F2937"/>
                <w:sz w:val="21"/>
                <w:szCs w:val="21"/>
              </w:rPr>
              <w:t>《个人信息-个保法-处理方式对应表》</w:t>
            </w:r>
          </w:p>
        </w:tc>
        <w:tc>
          <w:tcPr>
            <w:tcW w:w="4844" w:type="dxa"/>
            <w:vAlign w:val="center"/>
          </w:tcPr>
          <w:p>
            <w:pPr>
              <w:spacing w:after="20" w:line="300" w:lineRule="auto"/>
              <w:rPr>
                <w:sz w:val="21"/>
                <w:szCs w:val="21"/>
              </w:rPr>
            </w:pPr>
            <w:r>
              <w:rPr>
                <w:rFonts w:ascii="宋体" w:hAnsi="宋体" w:eastAsia="宋体"/>
                <w:b w:val="0"/>
                <w:color w:val="1F2937"/>
                <w:sz w:val="21"/>
                <w:szCs w:val="21"/>
              </w:rPr>
              <w:t>25类劳动争议个人信息的处理映射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pPr>
              <w:spacing w:after="20" w:line="300" w:lineRule="auto"/>
              <w:rPr>
                <w:sz w:val="21"/>
                <w:szCs w:val="21"/>
              </w:rPr>
            </w:pPr>
            <w:r>
              <w:rPr>
                <w:rFonts w:ascii="宋体" w:hAnsi="宋体" w:eastAsia="宋体"/>
                <w:b w:val="0"/>
                <w:color w:val="1F2937"/>
                <w:sz w:val="21"/>
                <w:szCs w:val="21"/>
              </w:rPr>
              <w:t>《其他敏感客体-相应法条-处理方式对照表》</w:t>
            </w:r>
          </w:p>
        </w:tc>
        <w:tc>
          <w:tcPr>
            <w:tcW w:w="4844" w:type="dxa"/>
            <w:vAlign w:val="center"/>
          </w:tcPr>
          <w:p>
            <w:pPr>
              <w:spacing w:after="20" w:line="300" w:lineRule="auto"/>
              <w:rPr>
                <w:sz w:val="21"/>
                <w:szCs w:val="21"/>
              </w:rPr>
            </w:pPr>
            <w:r>
              <w:rPr>
                <w:rFonts w:ascii="宋体" w:hAnsi="宋体" w:eastAsia="宋体"/>
                <w:b w:val="0"/>
                <w:color w:val="1F2937"/>
                <w:sz w:val="21"/>
                <w:szCs w:val="21"/>
              </w:rPr>
              <w:t>15类其他敏感客体的法律处理映射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pPr>
              <w:spacing w:after="20" w:line="300" w:lineRule="auto"/>
              <w:rPr>
                <w:sz w:val="21"/>
                <w:szCs w:val="21"/>
              </w:rPr>
            </w:pPr>
            <w:r>
              <w:rPr>
                <w:rFonts w:ascii="宋体" w:hAnsi="宋体" w:eastAsia="宋体"/>
                <w:b w:val="0"/>
                <w:color w:val="1F2937"/>
                <w:sz w:val="21"/>
                <w:szCs w:val="21"/>
              </w:rPr>
              <w:t>《硬性禁止、人工复核情形及冲突处理回答》</w:t>
            </w:r>
          </w:p>
        </w:tc>
        <w:tc>
          <w:tcPr>
            <w:tcW w:w="4844" w:type="dxa"/>
            <w:vAlign w:val="center"/>
          </w:tcPr>
          <w:p>
            <w:pPr>
              <w:spacing w:after="20" w:line="300" w:lineRule="auto"/>
              <w:rPr>
                <w:sz w:val="21"/>
                <w:szCs w:val="21"/>
              </w:rPr>
            </w:pPr>
            <w:r>
              <w:rPr>
                <w:rFonts w:ascii="宋体" w:hAnsi="宋体" w:eastAsia="宋体"/>
                <w:b w:val="0"/>
                <w:color w:val="1F2937"/>
                <w:sz w:val="21"/>
                <w:szCs w:val="21"/>
              </w:rPr>
              <w:t>硬性禁止、人工复核门槛、规则冲突、系统回复模板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pPr>
              <w:spacing w:after="20" w:line="300" w:lineRule="auto"/>
              <w:rPr>
                <w:sz w:val="21"/>
                <w:szCs w:val="21"/>
              </w:rPr>
            </w:pPr>
            <w:r>
              <w:rPr>
                <w:rFonts w:ascii="宋体" w:hAnsi="宋体" w:eastAsia="宋体"/>
                <w:b w:val="0"/>
                <w:color w:val="1F2937"/>
                <w:sz w:val="21"/>
                <w:szCs w:val="21"/>
              </w:rPr>
              <w:t>《人工审批页面说明</w:t>
            </w:r>
            <w:r>
              <w:rPr>
                <w:rFonts w:hint="eastAsia"/>
                <w:b w:val="0"/>
                <w:color w:val="1F2937"/>
                <w:sz w:val="21"/>
                <w:szCs w:val="21"/>
                <w:lang w:val="en-US" w:eastAsia="zh-CN"/>
              </w:rPr>
              <w:t>/人工复核指引</w:t>
            </w:r>
            <w:r>
              <w:rPr>
                <w:rFonts w:ascii="宋体" w:hAnsi="宋体" w:eastAsia="宋体"/>
                <w:b w:val="0"/>
                <w:color w:val="1F2937"/>
                <w:sz w:val="21"/>
                <w:szCs w:val="21"/>
              </w:rPr>
              <w:t>》</w:t>
            </w:r>
          </w:p>
        </w:tc>
        <w:tc>
          <w:tcPr>
            <w:tcW w:w="4844" w:type="dxa"/>
            <w:vAlign w:val="center"/>
          </w:tcPr>
          <w:p>
            <w:pPr>
              <w:spacing w:after="20" w:line="300" w:lineRule="auto"/>
              <w:rPr>
                <w:sz w:val="21"/>
                <w:szCs w:val="21"/>
              </w:rPr>
            </w:pPr>
            <w:r>
              <w:rPr>
                <w:rFonts w:ascii="宋体" w:hAnsi="宋体" w:eastAsia="宋体"/>
                <w:b w:val="0"/>
                <w:color w:val="1F2937"/>
                <w:sz w:val="21"/>
                <w:szCs w:val="21"/>
              </w:rPr>
              <w:t>人工审批六块页面、风险提示、责任边界和审批留痕</w:t>
            </w:r>
          </w:p>
        </w:tc>
      </w:tr>
    </w:tbl>
    <w:p>
      <w:pPr>
        <w:spacing w:after="40" w:line="300" w:lineRule="auto"/>
      </w:pPr>
    </w:p>
    <w:p>
      <w:pPr>
        <w:spacing w:before="0" w:after="0" w:line="300" w:lineRule="auto"/>
      </w:pPr>
    </w:p>
    <w:sectPr>
      <w:headerReference r:id="rId7" w:type="first"/>
      <w:footerReference r:id="rId10" w:type="first"/>
      <w:headerReference r:id="rId5" w:type="default"/>
      <w:footerReference r:id="rId8" w:type="default"/>
      <w:headerReference r:id="rId6" w:type="even"/>
      <w:footerReference r:id="rId9" w:type="even"/>
      <w:pgSz w:w="12240" w:h="15840"/>
      <w:pgMar w:top="1191" w:right="1219" w:bottom="1134" w:left="133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楷体_GB2312">
    <w:panose1 w:val="02010609030101010101"/>
    <w:charset w:val="86"/>
    <w:family w:val="auto"/>
    <w:pitch w:val="default"/>
    <w:sig w:usb0="00000001" w:usb1="080E0000" w:usb2="00000000" w:usb3="00000000" w:csb0="00040000" w:csb1="00000000"/>
  </w:font>
  <w:font w:name="Yu Gothic">
    <w:panose1 w:val="020B0400000000000000"/>
    <w:charset w:val="80"/>
    <w:family w:val="auto"/>
    <w:pitch w:val="default"/>
    <w:sig w:usb0="E00002FF" w:usb1="2AC7FDFF" w:usb2="00000016" w:usb3="00000000" w:csb0="2002009F" w:csb1="00000000"/>
  </w:font>
  <w:font w:name="楷体">
    <w:panose1 w:val="02010609060101010101"/>
    <w:charset w:val="86"/>
    <w:family w:val="auto"/>
    <w:pitch w:val="default"/>
    <w:sig w:usb0="800002BF" w:usb1="38CF7CFA" w:usb2="00000016" w:usb3="00000000" w:csb0="00040001" w:csb1="00000000"/>
  </w:font>
  <w:font w:name="Microsoft JhengHei UI Light">
    <w:panose1 w:val="020B0304030504040204"/>
    <w:charset w:val="88"/>
    <w:family w:val="auto"/>
    <w:pitch w:val="default"/>
    <w:sig w:usb0="8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line="300" w:lineRule="auto"/>
      <w:jc w:val="center"/>
      <w:rPr>
        <w:color w:val="auto"/>
      </w:rPr>
    </w:pPr>
    <w:r>
      <w:rPr>
        <w:color w:val="auto"/>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spacing w:line="300" w:lineRule="auto"/>
                            <w:jc w:val="center"/>
                          </w:pPr>
                          <w:r>
                            <w:rPr>
                              <w:color w:val="98A2B3"/>
                              <w:sz w:val="18"/>
                            </w:rPr>
                            <w:fldChar w:fldCharType="begin"/>
                          </w:r>
                          <w:r>
                            <w:rPr>
                              <w:color w:val="98A2B3"/>
                              <w:sz w:val="18"/>
                            </w:rPr>
                            <w:instrText xml:space="preserve"> PAGE </w:instrText>
                          </w:r>
                          <w:r>
                            <w:rPr>
                              <w:color w:val="98A2B3"/>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pPr>
                      <w:pStyle w:val="24"/>
                      <w:spacing w:line="300" w:lineRule="auto"/>
                      <w:jc w:val="center"/>
                    </w:pPr>
                    <w:r>
                      <w:rPr>
                        <w:color w:val="98A2B3"/>
                        <w:sz w:val="18"/>
                      </w:rPr>
                      <w:fldChar w:fldCharType="begin"/>
                    </w:r>
                    <w:r>
                      <w:rPr>
                        <w:color w:val="98A2B3"/>
                        <w:sz w:val="18"/>
                      </w:rPr>
                      <w:instrText xml:space="preserve"> PAGE </w:instrText>
                    </w:r>
                    <w:r>
                      <w:rPr>
                        <w:color w:val="98A2B3"/>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line="30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line="30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line="300" w:lineRule="auto"/>
      <w:jc w:val="right"/>
    </w:pPr>
    <w:r>
      <w:rPr>
        <w:rFonts w:ascii="宋体" w:hAnsi="宋体" w:eastAsia="宋体"/>
        <w:b w:val="0"/>
        <w:color w:val="98A2B3"/>
        <w:sz w:val="18"/>
      </w:rPr>
      <w:t>案隐盾｜系统说明书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line="30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line="30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DF64D5"/>
    <w:rsid w:val="32A22405"/>
    <w:rsid w:val="3E446E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2937"/>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2937"/>
      <w:sz w:val="27"/>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6BDE"/>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anualTitle"/>
    <w:qFormat/>
    <w:uiPriority w:val="0"/>
    <w:pPr>
      <w:spacing w:after="200" w:line="276" w:lineRule="auto"/>
    </w:pPr>
    <w:rPr>
      <w:rFonts w:ascii="黑体" w:hAnsi="黑体" w:eastAsia="黑体" w:cstheme="minorBidi"/>
      <w:b/>
      <w:color w:val="1F2937"/>
      <w:sz w:val="46"/>
      <w:szCs w:val="22"/>
      <w:lang w:val="en-US" w:eastAsia="en-US" w:bidi="ar-SA"/>
    </w:rPr>
  </w:style>
  <w:style w:type="paragraph" w:customStyle="1" w:styleId="165">
    <w:name w:val="ManualSubtitle"/>
    <w:qFormat/>
    <w:uiPriority w:val="0"/>
    <w:pPr>
      <w:spacing w:after="200" w:line="276" w:lineRule="auto"/>
    </w:pPr>
    <w:rPr>
      <w:rFonts w:ascii="宋体" w:hAnsi="宋体" w:eastAsia="宋体" w:cstheme="minorBidi"/>
      <w:color w:val="667085"/>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11</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竞赛提交稿</dc:description>
  <cp:lastModifiedBy>管弦乐</cp:lastModifiedBy>
  <dcterms:modified xsi:type="dcterms:W3CDTF">2026-09-17T12:35:46Z</dcterms:modified>
  <dc:subject>劳动争议诉讼材料外部大模型处理的法律规则与人工复核机制</dc:subject>
  <dc:title>案隐盾系统说明书——法律规则、知识资产、专业判断与人工复核部分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2EBF0A88FA4B4EFF9215975B88A8FFC2</vt:lpwstr>
  </property>
</Properties>
</file>