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_GB2312" w:hAnsi="楷体_GB2312" w:eastAsia="楷体_GB2312" w:cs="楷体_GB2312"/>
          <w:b/>
          <w:bCs/>
          <w:sz w:val="36"/>
          <w:szCs w:val="44"/>
        </w:rPr>
      </w:pPr>
      <w:bookmarkStart w:id="0" w:name="_GoBack"/>
      <w:bookmarkEnd w:id="0"/>
      <w:r>
        <w:rPr>
          <w:rFonts w:hint="eastAsia" w:ascii="楷体_GB2312" w:hAnsi="楷体_GB2312" w:eastAsia="楷体_GB2312" w:cs="楷体_GB2312"/>
          <w:b/>
          <w:bCs/>
          <w:sz w:val="36"/>
          <w:szCs w:val="44"/>
        </w:rPr>
        <w:t>人工审批页面说明</w:t>
      </w:r>
    </w:p>
    <w:p>
      <w:pPr>
        <w:rPr>
          <w:b/>
          <w:bCs/>
          <w:sz w:val="28"/>
          <w:szCs w:val="36"/>
        </w:rPr>
      </w:pPr>
      <w:r>
        <w:rPr>
          <w:rFonts w:hint="eastAsia"/>
          <w:b/>
          <w:bCs/>
          <w:sz w:val="28"/>
          <w:szCs w:val="36"/>
          <w:lang w:val="en-US" w:eastAsia="zh-CN"/>
        </w:rPr>
        <w:t>一、</w:t>
      </w:r>
      <w:r>
        <w:rPr>
          <w:b/>
          <w:bCs/>
          <w:sz w:val="28"/>
          <w:szCs w:val="36"/>
        </w:rPr>
        <w:t>概述</w:t>
      </w:r>
    </w:p>
    <w:p>
      <w:r>
        <w:t>在系统将案件材料交由外部模型处理前，如果遇到事实条件、数据访问权限、数据流转路径、特殊法条、保密义务无法依靠自动化规则完成判定，并且这种不确定性会直接决定材料能否对外提交</w:t>
      </w:r>
      <w:r>
        <w:rPr>
          <w:rFonts w:hint="eastAsia" w:ascii="宋体" w:hAnsi="宋体" w:eastAsia="宋体" w:cs="宋体"/>
        </w:rPr>
        <w:t>，就会触发人工审批流程，交由法律工作者完成专业研判。本套页面包含1张审批首页与</w:t>
      </w:r>
      <w:r>
        <w:rPr>
          <w:rFonts w:hint="eastAsia" w:ascii="宋体" w:hAnsi="宋体" w:eastAsia="宋体" w:cs="宋体"/>
          <w:lang w:val="en-US" w:eastAsia="zh-CN"/>
        </w:rPr>
        <w:t>6</w:t>
      </w:r>
      <w:r>
        <w:rPr>
          <w:rFonts w:hint="eastAsia" w:ascii="宋体" w:hAnsi="宋体" w:eastAsia="宋体" w:cs="宋体"/>
        </w:rPr>
        <w:t>张二</w:t>
      </w:r>
      <w:r>
        <w:t xml:space="preserve">级详情页，既可以作为产品设计的参考依据，也能够纳入系统说明书作为附件。 </w:t>
      </w:r>
    </w:p>
    <w:p>
      <w:pPr>
        <w:rPr>
          <w:b/>
          <w:bCs/>
          <w:sz w:val="28"/>
          <w:szCs w:val="36"/>
        </w:rPr>
      </w:pPr>
      <w:r>
        <w:rPr>
          <w:rFonts w:hint="eastAsia"/>
          <w:b/>
          <w:bCs/>
          <w:sz w:val="28"/>
          <w:szCs w:val="36"/>
          <w:lang w:val="en-US" w:eastAsia="zh-CN"/>
        </w:rPr>
        <w:t>二、</w:t>
      </w:r>
      <w:r>
        <w:rPr>
          <w:b/>
          <w:bCs/>
          <w:sz w:val="28"/>
          <w:szCs w:val="36"/>
        </w:rPr>
        <w:t>审批首页设计</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21"/>
          <w:szCs w:val="21"/>
        </w:rPr>
      </w:pPr>
      <w:r>
        <w:drawing>
          <wp:inline distT="0" distB="0" distL="114300" distR="114300">
            <wp:extent cx="5268595" cy="3951605"/>
            <wp:effectExtent l="0" t="0" r="8255" b="1270"/>
            <wp:docPr id="2" name="图片 2" descr="ChatGPT Image 2026年9月17日 18_07_48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9月17日 18_07_48 (1)"/>
                    <pic:cNvPicPr>
                      <a:picLocks noChangeAspect="1"/>
                    </pic:cNvPicPr>
                  </pic:nvPicPr>
                  <pic:blipFill>
                    <a:blip r:embed="rId4"/>
                    <a:stretch>
                      <a:fillRect/>
                    </a:stretch>
                  </pic:blipFill>
                  <pic:spPr>
                    <a:xfrm>
                      <a:off x="0" y="0"/>
                      <a:ext cx="5268595" cy="3951605"/>
                    </a:xfrm>
                    <a:prstGeom prst="rect">
                      <a:avLst/>
                    </a:prstGeom>
                  </pic:spPr>
                </pic:pic>
              </a:graphicData>
            </a:graphic>
          </wp:inline>
        </w:drawing>
      </w:r>
      <w:r>
        <w:rPr>
          <w:rFonts w:ascii="宋体" w:hAnsi="宋体" w:eastAsia="宋体" w:cs="宋体"/>
          <w:color w:val="000000"/>
          <w:kern w:val="0"/>
          <w:sz w:val="21"/>
          <w:szCs w:val="21"/>
          <w:bdr w:val="none" w:color="auto" w:sz="0" w:space="0"/>
          <w:lang w:val="en-US" w:eastAsia="zh-CN" w:bidi="ar"/>
        </w:rPr>
        <w:t>审批首页是法律人员打开工单后的第一个工作台，一共划分六个功能区块。每个区块只展示精简摘要，配套</w:t>
      </w:r>
      <w:r>
        <w:rPr>
          <w:rFonts w:hint="eastAsia" w:ascii="宋体" w:hAnsi="宋体" w:eastAsia="宋体" w:cs="宋体"/>
          <w:color w:val="000000"/>
          <w:kern w:val="0"/>
          <w:sz w:val="21"/>
          <w:szCs w:val="21"/>
          <w:bdr w:val="none" w:color="auto" w:sz="0" w:space="0"/>
          <w:lang w:val="en-US" w:eastAsia="zh-CN" w:bidi="ar"/>
        </w:rPr>
        <w:t>“</w:t>
      </w:r>
      <w:r>
        <w:rPr>
          <w:rFonts w:ascii="宋体" w:hAnsi="宋体" w:eastAsia="宋体" w:cs="宋体"/>
          <w:color w:val="000000"/>
          <w:kern w:val="0"/>
          <w:sz w:val="21"/>
          <w:szCs w:val="21"/>
          <w:bdr w:val="none" w:color="auto" w:sz="0" w:space="0"/>
          <w:lang w:val="en-US" w:eastAsia="zh-CN" w:bidi="ar"/>
        </w:rPr>
        <w:t>查看详情</w:t>
      </w:r>
      <w:r>
        <w:rPr>
          <w:rFonts w:hint="eastAsia" w:ascii="宋体" w:hAnsi="宋体" w:eastAsia="宋体" w:cs="宋体"/>
          <w:color w:val="000000"/>
          <w:kern w:val="0"/>
          <w:sz w:val="21"/>
          <w:szCs w:val="21"/>
          <w:bdr w:val="none" w:color="auto" w:sz="0" w:space="0"/>
          <w:lang w:val="en-US" w:eastAsia="zh-CN" w:bidi="ar"/>
        </w:rPr>
        <w:t>”</w:t>
      </w:r>
      <w:r>
        <w:rPr>
          <w:rFonts w:ascii="宋体" w:hAnsi="宋体" w:eastAsia="宋体" w:cs="宋体"/>
          <w:color w:val="000000"/>
          <w:kern w:val="0"/>
          <w:sz w:val="21"/>
          <w:szCs w:val="21"/>
          <w:bdr w:val="none" w:color="auto" w:sz="0" w:space="0"/>
          <w:lang w:val="en-US" w:eastAsia="zh-CN" w:bidi="ar"/>
        </w:rPr>
        <w:t>按钮，点击即可跳转至对应二级详情页面查看完整内容。</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21"/>
          <w:szCs w:val="21"/>
        </w:rPr>
      </w:pPr>
      <w:r>
        <w:rPr>
          <w:rStyle w:val="5"/>
          <w:rFonts w:ascii="宋体" w:hAnsi="宋体" w:eastAsia="宋体" w:cs="宋体"/>
          <w:color w:val="000000"/>
          <w:kern w:val="0"/>
          <w:sz w:val="21"/>
          <w:szCs w:val="21"/>
          <w:bdr w:val="none" w:color="auto" w:sz="0" w:space="0"/>
          <w:lang w:val="en-US" w:eastAsia="zh-CN" w:bidi="ar"/>
        </w:rPr>
        <w:t>审批触发原因区块</w:t>
      </w:r>
      <w:r>
        <w:rPr>
          <w:rFonts w:ascii="宋体" w:hAnsi="宋体" w:eastAsia="宋体" w:cs="宋体"/>
          <w:color w:val="000000"/>
          <w:kern w:val="0"/>
          <w:sz w:val="21"/>
          <w:szCs w:val="21"/>
          <w:bdr w:val="none" w:color="auto" w:sz="0" w:space="0"/>
          <w:lang w:val="en-US" w:eastAsia="zh-CN" w:bidi="ar"/>
        </w:rPr>
        <w:t>：首页仅列出</w:t>
      </w:r>
      <w:r>
        <w:rPr>
          <w:rFonts w:hint="eastAsia" w:ascii="宋体" w:hAnsi="宋体" w:eastAsia="宋体" w:cs="宋体"/>
          <w:color w:val="000000"/>
          <w:kern w:val="0"/>
          <w:sz w:val="21"/>
          <w:szCs w:val="21"/>
          <w:bdr w:val="none" w:color="auto" w:sz="0" w:space="0"/>
          <w:lang w:val="en-US" w:eastAsia="zh-CN" w:bidi="ar"/>
        </w:rPr>
        <w:t>1-2</w:t>
      </w:r>
      <w:r>
        <w:rPr>
          <w:rFonts w:ascii="宋体" w:hAnsi="宋体" w:eastAsia="宋体" w:cs="宋体"/>
          <w:color w:val="000000"/>
          <w:kern w:val="0"/>
          <w:sz w:val="21"/>
          <w:szCs w:val="21"/>
          <w:bdr w:val="none" w:color="auto" w:sz="0" w:space="0"/>
          <w:lang w:val="en-US" w:eastAsia="zh-CN" w:bidi="ar"/>
        </w:rPr>
        <w:t>个核心待确认问题，简明点明系统无法自动判定的卡点；完整的触发背景、全部待确认问题、问题带来的合规影响、系统已经核实完毕的客观事实，全部放到二级详情页内展示。</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0" w:firstLineChars="0"/>
        <w:jc w:val="left"/>
        <w:rPr>
          <w:color w:val="000000"/>
          <w:sz w:val="21"/>
          <w:szCs w:val="21"/>
        </w:rPr>
      </w:pPr>
      <w:r>
        <w:rPr>
          <w:rStyle w:val="5"/>
          <w:rFonts w:ascii="宋体" w:hAnsi="宋体" w:eastAsia="宋体" w:cs="宋体"/>
          <w:color w:val="000000"/>
          <w:kern w:val="0"/>
          <w:sz w:val="21"/>
          <w:szCs w:val="21"/>
          <w:bdr w:val="none" w:color="auto" w:sz="0" w:space="0"/>
          <w:lang w:val="en-US" w:eastAsia="zh-CN" w:bidi="ar"/>
        </w:rPr>
        <w:t>关键材料片段区块</w:t>
      </w:r>
      <w:r>
        <w:rPr>
          <w:rFonts w:ascii="宋体" w:hAnsi="宋体" w:eastAsia="宋体" w:cs="宋体"/>
          <w:color w:val="000000"/>
          <w:kern w:val="0"/>
          <w:sz w:val="21"/>
          <w:szCs w:val="21"/>
          <w:bdr w:val="none" w:color="auto" w:sz="0" w:space="0"/>
          <w:lang w:val="en-US" w:eastAsia="zh-CN" w:bidi="ar"/>
        </w:rPr>
        <w:t>：首页只展示经过脱敏处理的材料节选，保留判断所需的最小内容；完整关键片段、区分标记保留信息与脱敏隐藏信息，以及需要二次确认才可打开的完整上下文入口，均放置在详情页。</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0" w:firstLineChars="0"/>
        <w:jc w:val="left"/>
        <w:rPr>
          <w:color w:val="000000"/>
          <w:sz w:val="21"/>
          <w:szCs w:val="21"/>
        </w:rPr>
      </w:pPr>
      <w:r>
        <w:rPr>
          <w:rStyle w:val="5"/>
          <w:rFonts w:ascii="宋体" w:hAnsi="宋体" w:eastAsia="宋体" w:cs="宋体"/>
          <w:color w:val="000000"/>
          <w:kern w:val="0"/>
          <w:sz w:val="21"/>
          <w:szCs w:val="21"/>
          <w:bdr w:val="none" w:color="auto" w:sz="0" w:space="0"/>
          <w:lang w:val="en-US" w:eastAsia="zh-CN" w:bidi="ar"/>
        </w:rPr>
        <w:t>系统预处理结果区块</w:t>
      </w:r>
      <w:r>
        <w:rPr>
          <w:rFonts w:ascii="宋体" w:hAnsi="宋体" w:eastAsia="宋体" w:cs="宋体"/>
          <w:color w:val="000000"/>
          <w:kern w:val="0"/>
          <w:sz w:val="21"/>
          <w:szCs w:val="21"/>
          <w:bdr w:val="none" w:color="auto" w:sz="0" w:space="0"/>
          <w:lang w:val="en-US" w:eastAsia="zh-CN" w:bidi="ar"/>
        </w:rPr>
        <w:t>：首页用标签形式，直观罗列系统已经执行完成的脱敏操作；完整脱敏清单、信息保留清单、每一步脱敏对应的操作日志，统一在二级页面呈现。</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0" w:firstLineChars="0"/>
        <w:jc w:val="left"/>
        <w:rPr>
          <w:color w:val="000000"/>
          <w:sz w:val="21"/>
          <w:szCs w:val="21"/>
        </w:rPr>
      </w:pPr>
      <w:r>
        <w:rPr>
          <w:rStyle w:val="5"/>
          <w:rFonts w:ascii="宋体" w:hAnsi="宋体" w:eastAsia="宋体" w:cs="宋体"/>
          <w:color w:val="000000"/>
          <w:kern w:val="0"/>
          <w:sz w:val="21"/>
          <w:szCs w:val="21"/>
          <w:bdr w:val="none" w:color="auto" w:sz="0" w:space="0"/>
          <w:lang w:val="en-US" w:eastAsia="zh-CN" w:bidi="ar"/>
        </w:rPr>
        <w:t>法律依据与风险提醒区块</w:t>
      </w:r>
      <w:r>
        <w:rPr>
          <w:rFonts w:ascii="宋体" w:hAnsi="宋体" w:eastAsia="宋体" w:cs="宋体"/>
          <w:color w:val="000000"/>
          <w:kern w:val="0"/>
          <w:sz w:val="21"/>
          <w:szCs w:val="21"/>
          <w:bdr w:val="none" w:color="auto" w:sz="0" w:space="0"/>
          <w:lang w:val="en-US" w:eastAsia="zh-CN" w:bidi="ar"/>
        </w:rPr>
        <w:t>：首页挑选</w:t>
      </w:r>
      <w:r>
        <w:rPr>
          <w:rFonts w:hint="eastAsia" w:ascii="宋体" w:hAnsi="宋体" w:eastAsia="宋体" w:cs="宋体"/>
          <w:color w:val="000000"/>
          <w:kern w:val="0"/>
          <w:sz w:val="21"/>
          <w:szCs w:val="21"/>
          <w:bdr w:val="none" w:color="auto" w:sz="0" w:space="0"/>
          <w:lang w:val="en-US" w:eastAsia="zh-CN" w:bidi="ar"/>
        </w:rPr>
        <w:t>2-3</w:t>
      </w:r>
      <w:r>
        <w:rPr>
          <w:rFonts w:ascii="宋体" w:hAnsi="宋体" w:eastAsia="宋体" w:cs="宋体"/>
          <w:color w:val="000000"/>
          <w:kern w:val="0"/>
          <w:sz w:val="21"/>
          <w:szCs w:val="21"/>
          <w:bdr w:val="none" w:color="auto" w:sz="0" w:space="0"/>
          <w:lang w:val="en-US" w:eastAsia="zh-CN" w:bidi="ar"/>
        </w:rPr>
        <w:t>条和本工单关联性最强的法条，搭配简短的风险警示语句；完整法源明细、法条条款解读、原文跳转入口以及全套风险提示集合，交由详情页承载。</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0" w:firstLineChars="0"/>
        <w:jc w:val="left"/>
        <w:rPr>
          <w:color w:val="000000"/>
          <w:sz w:val="21"/>
          <w:szCs w:val="21"/>
        </w:rPr>
      </w:pPr>
      <w:r>
        <w:rPr>
          <w:rStyle w:val="5"/>
          <w:rFonts w:ascii="宋体" w:hAnsi="宋体" w:eastAsia="宋体" w:cs="宋体"/>
          <w:color w:val="000000"/>
          <w:kern w:val="0"/>
          <w:sz w:val="21"/>
          <w:szCs w:val="21"/>
          <w:bdr w:val="none" w:color="auto" w:sz="0" w:space="0"/>
          <w:lang w:val="en-US" w:eastAsia="zh-CN" w:bidi="ar"/>
        </w:rPr>
        <w:t>外部处理方案预览区块</w:t>
      </w:r>
      <w:r>
        <w:rPr>
          <w:rFonts w:ascii="宋体" w:hAnsi="宋体" w:eastAsia="宋体" w:cs="宋体"/>
          <w:color w:val="000000"/>
          <w:kern w:val="0"/>
          <w:sz w:val="21"/>
          <w:szCs w:val="21"/>
          <w:bdr w:val="none" w:color="auto" w:sz="0" w:space="0"/>
          <w:lang w:val="en-US" w:eastAsia="zh-CN" w:bidi="ar"/>
        </w:rPr>
        <w:t>：首页做极简概括，写明处理目的、提交的数据形式以及数据流向状态；处理目的详情、提交内容明细、接收方属性、数据保存、模型训练相关情况与补充说明，在二级页面完整展开。</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leftChars="0" w:right="0" w:firstLine="0" w:firstLineChars="0"/>
        <w:jc w:val="left"/>
        <w:rPr>
          <w:color w:val="000000"/>
          <w:sz w:val="21"/>
          <w:szCs w:val="21"/>
        </w:rPr>
      </w:pPr>
      <w:r>
        <w:rPr>
          <w:rStyle w:val="5"/>
          <w:rFonts w:ascii="宋体" w:hAnsi="宋体" w:eastAsia="宋体" w:cs="宋体"/>
          <w:color w:val="000000"/>
          <w:kern w:val="0"/>
          <w:sz w:val="21"/>
          <w:szCs w:val="21"/>
          <w:bdr w:val="none" w:color="auto" w:sz="0" w:space="0"/>
          <w:lang w:val="en-US" w:eastAsia="zh-CN" w:bidi="ar"/>
        </w:rPr>
        <w:t>审批处置操作区块</w:t>
      </w:r>
      <w:r>
        <w:rPr>
          <w:rFonts w:ascii="宋体" w:hAnsi="宋体" w:eastAsia="宋体" w:cs="宋体"/>
          <w:color w:val="000000"/>
          <w:kern w:val="0"/>
          <w:sz w:val="21"/>
          <w:szCs w:val="21"/>
          <w:bdr w:val="none" w:color="auto" w:sz="0" w:space="0"/>
          <w:lang w:val="en-US" w:eastAsia="zh-CN" w:bidi="ar"/>
        </w:rPr>
        <w:t>：首页直接展示审批结果选项、审批理由输入框与确认勾选控件；各个审批选项的释义、意见填写辅助说明、完整提交确认逻辑，在对应详情页内完整说明。</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21"/>
          <w:szCs w:val="21"/>
        </w:rPr>
      </w:pPr>
      <w:r>
        <w:rPr>
          <w:rFonts w:ascii="宋体" w:hAnsi="宋体" w:eastAsia="宋体" w:cs="宋体"/>
          <w:color w:val="000000"/>
          <w:kern w:val="0"/>
          <w:sz w:val="21"/>
          <w:szCs w:val="21"/>
          <w:bdr w:val="none" w:color="auto" w:sz="0" w:space="0"/>
          <w:lang w:val="en-US" w:eastAsia="zh-CN" w:bidi="ar"/>
        </w:rPr>
        <w:t>页面布局上，顶部标注工单状态“待人工审批</w:t>
      </w:r>
      <w:r>
        <w:rPr>
          <w:rFonts w:hint="eastAsia" w:ascii="宋体" w:hAnsi="宋体" w:eastAsia="宋体" w:cs="宋体"/>
          <w:color w:val="000000"/>
          <w:kern w:val="0"/>
          <w:sz w:val="21"/>
          <w:szCs w:val="21"/>
          <w:bdr w:val="none" w:color="auto" w:sz="0" w:space="0"/>
          <w:lang w:val="en-US" w:eastAsia="zh-CN" w:bidi="ar"/>
        </w:rPr>
        <w:t>-</w:t>
      </w:r>
      <w:r>
        <w:rPr>
          <w:rFonts w:ascii="宋体" w:hAnsi="宋体" w:eastAsia="宋体" w:cs="宋体"/>
          <w:color w:val="000000"/>
          <w:kern w:val="0"/>
          <w:sz w:val="21"/>
          <w:szCs w:val="21"/>
          <w:bdr w:val="none" w:color="auto" w:sz="0" w:space="0"/>
          <w:lang w:val="en-US" w:eastAsia="zh-CN" w:bidi="ar"/>
        </w:rPr>
        <w:t>当前材料暂未提交外部模型”，六个功能区块从上至下依次排布，每个区块右侧配置跳转按钮。页面底部集中放置审批单选选项、必填审批理由输入框、确认勾选框以及提交按钮。</w:t>
      </w:r>
    </w:p>
    <w:p>
      <w:pPr>
        <w:numPr>
          <w:ilvl w:val="0"/>
          <w:numId w:val="2"/>
        </w:numPr>
        <w:rPr>
          <w:b/>
          <w:bCs/>
          <w:sz w:val="28"/>
          <w:szCs w:val="36"/>
        </w:rPr>
      </w:pPr>
      <w:r>
        <w:rPr>
          <w:b/>
          <w:bCs/>
          <w:sz w:val="28"/>
          <w:szCs w:val="36"/>
        </w:rPr>
        <w:t>二级详情页面设计</w:t>
      </w:r>
    </w:p>
    <w:p>
      <w:pPr>
        <w:numPr>
          <w:ilvl w:val="0"/>
          <w:numId w:val="3"/>
        </w:numPr>
        <w:rPr>
          <w:b/>
          <w:bCs/>
          <w:sz w:val="24"/>
          <w:szCs w:val="32"/>
        </w:rPr>
      </w:pPr>
      <w:r>
        <w:rPr>
          <w:b/>
          <w:bCs/>
          <w:sz w:val="24"/>
          <w:szCs w:val="32"/>
        </w:rPr>
        <w:t xml:space="preserve">审批触发原因详情页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color w:val="000000"/>
          <w:sz w:val="21"/>
          <w:szCs w:val="21"/>
        </w:rPr>
      </w:pPr>
      <w:r>
        <w:drawing>
          <wp:inline distT="0" distB="0" distL="114300" distR="114300">
            <wp:extent cx="5340350" cy="4005580"/>
            <wp:effectExtent l="0" t="0" r="3175" b="444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5"/>
                    <a:stretch>
                      <a:fillRect/>
                    </a:stretch>
                  </pic:blipFill>
                  <pic:spPr>
                    <a:xfrm>
                      <a:off x="0" y="0"/>
                      <a:ext cx="5340350" cy="4005580"/>
                    </a:xfrm>
                    <a:prstGeom prst="rect">
                      <a:avLst/>
                    </a:prstGeom>
                  </pic:spPr>
                </pic:pic>
              </a:graphicData>
            </a:graphic>
          </wp:inline>
        </w:drawing>
      </w:r>
      <w:r>
        <w:rPr>
          <w:rFonts w:ascii="宋体" w:hAnsi="宋体" w:eastAsia="宋体" w:cs="宋体"/>
          <w:color w:val="000000"/>
          <w:kern w:val="0"/>
          <w:sz w:val="21"/>
          <w:szCs w:val="21"/>
          <w:bdr w:val="none" w:color="auto" w:sz="0" w:space="0"/>
          <w:lang w:val="en-US" w:eastAsia="zh-CN" w:bidi="ar"/>
        </w:rPr>
        <w:t>本页面的作用，是完整解释工单进入人工审批的</w:t>
      </w:r>
      <w:r>
        <w:rPr>
          <w:rFonts w:hint="eastAsia" w:ascii="宋体" w:hAnsi="宋体" w:eastAsia="宋体" w:cs="宋体"/>
          <w:color w:val="000000"/>
          <w:kern w:val="0"/>
          <w:sz w:val="21"/>
          <w:szCs w:val="21"/>
          <w:bdr w:val="none" w:color="auto" w:sz="0" w:space="0"/>
          <w:lang w:val="en-US" w:eastAsia="zh-CN" w:bidi="ar"/>
        </w:rPr>
        <w:t>原因</w:t>
      </w:r>
      <w:r>
        <w:rPr>
          <w:rFonts w:ascii="宋体" w:hAnsi="宋体" w:eastAsia="宋体" w:cs="宋体"/>
          <w:color w:val="000000"/>
          <w:kern w:val="0"/>
          <w:sz w:val="21"/>
          <w:szCs w:val="21"/>
          <w:bdr w:val="none" w:color="auto" w:sz="0" w:space="0"/>
          <w:lang w:val="en-US" w:eastAsia="zh-CN" w:bidi="ar"/>
        </w:rPr>
        <w:t>，帮助审核人员理解风险从何而来。</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ascii="宋体" w:hAnsi="宋体" w:eastAsia="宋体" w:cs="宋体"/>
          <w:color w:val="000000"/>
          <w:kern w:val="0"/>
          <w:sz w:val="21"/>
          <w:szCs w:val="21"/>
          <w:bdr w:val="none" w:color="auto" w:sz="0" w:space="0"/>
          <w:lang w:val="en-US" w:eastAsia="zh-CN" w:bidi="ar"/>
        </w:rPr>
      </w:pPr>
      <w:r>
        <w:rPr>
          <w:rFonts w:ascii="宋体" w:hAnsi="宋体" w:eastAsia="宋体" w:cs="宋体"/>
          <w:color w:val="000000"/>
          <w:kern w:val="0"/>
          <w:sz w:val="21"/>
          <w:szCs w:val="21"/>
          <w:bdr w:val="none" w:color="auto" w:sz="0" w:space="0"/>
          <w:lang w:val="en-US" w:eastAsia="zh-CN" w:bidi="ar"/>
        </w:rPr>
        <w:t>页面首先逐条列出待确认问题，清晰写明系统无法自动判别的事实与法律疑问，例如客户名单是否构成商业秘密、保密协议是否限制向外部 AI 提供材料。紧接着说明不同判断结果会给本次对外处理带来怎样的影响，让审核人员直观理解该问题的权重。再列出系统已经确认的客观事实，减少审核人员重复劳动，例如已完成基础脱敏、本次任务为事实摘要、未识别国家秘密标识。</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ascii="宋体" w:hAnsi="宋体" w:eastAsia="宋体" w:cs="宋体"/>
          <w:color w:val="000000"/>
          <w:kern w:val="0"/>
          <w:sz w:val="21"/>
          <w:szCs w:val="21"/>
          <w:bdr w:val="none" w:color="auto" w:sz="0" w:space="0"/>
          <w:lang w:val="en-US" w:eastAsia="zh-CN" w:bidi="ar"/>
        </w:rPr>
      </w:pPr>
      <w:r>
        <w:rPr>
          <w:rFonts w:ascii="宋体" w:hAnsi="宋体" w:eastAsia="宋体" w:cs="宋体"/>
          <w:color w:val="000000"/>
          <w:kern w:val="0"/>
          <w:sz w:val="21"/>
          <w:szCs w:val="21"/>
          <w:bdr w:val="none" w:color="auto" w:sz="0" w:space="0"/>
          <w:lang w:val="en-US" w:eastAsia="zh-CN" w:bidi="ar"/>
        </w:rPr>
        <w:t>页面底部设置操作按钮：继续审批、返回审批首页。</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ascii="宋体" w:hAnsi="宋体" w:eastAsia="宋体" w:cs="宋体"/>
          <w:color w:val="000000"/>
          <w:kern w:val="0"/>
          <w:sz w:val="21"/>
          <w:szCs w:val="21"/>
          <w:bdr w:val="none" w:color="auto" w:sz="0" w:space="0"/>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ascii="宋体" w:hAnsi="宋体" w:eastAsia="宋体" w:cs="宋体"/>
          <w:color w:val="000000"/>
          <w:kern w:val="0"/>
          <w:sz w:val="21"/>
          <w:szCs w:val="21"/>
          <w:bdr w:val="none" w:color="auto" w:sz="0" w:space="0"/>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ascii="宋体" w:hAnsi="宋体" w:eastAsia="宋体" w:cs="宋体"/>
          <w:color w:val="000000"/>
          <w:kern w:val="0"/>
          <w:sz w:val="21"/>
          <w:szCs w:val="21"/>
          <w:bdr w:val="none" w:color="auto" w:sz="0" w:space="0"/>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ascii="宋体" w:hAnsi="宋体" w:eastAsia="宋体" w:cs="宋体"/>
          <w:color w:val="000000"/>
          <w:kern w:val="0"/>
          <w:sz w:val="21"/>
          <w:szCs w:val="21"/>
          <w:bdr w:val="none" w:color="auto" w:sz="0" w:space="0"/>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ascii="宋体" w:hAnsi="宋体" w:eastAsia="宋体" w:cs="宋体"/>
          <w:color w:val="000000"/>
          <w:kern w:val="0"/>
          <w:sz w:val="21"/>
          <w:szCs w:val="21"/>
          <w:bdr w:val="none" w:color="auto" w:sz="0" w:space="0"/>
          <w:lang w:val="en-US" w:eastAsia="zh-CN" w:bidi="ar"/>
        </w:rPr>
      </w:pPr>
    </w:p>
    <w:p>
      <w:pPr>
        <w:numPr>
          <w:ilvl w:val="0"/>
          <w:numId w:val="3"/>
        </w:numPr>
        <w:ind w:left="0" w:leftChars="0" w:firstLine="0" w:firstLineChars="0"/>
        <w:rPr>
          <w:b/>
          <w:bCs/>
          <w:sz w:val="24"/>
          <w:szCs w:val="32"/>
        </w:rPr>
      </w:pPr>
      <w:r>
        <w:rPr>
          <w:b/>
          <w:bCs/>
          <w:sz w:val="24"/>
          <w:szCs w:val="32"/>
        </w:rPr>
        <w:t>关键材料片段详情页</w:t>
      </w:r>
    </w:p>
    <w:p>
      <w:pPr>
        <w:numPr>
          <w:numId w:val="0"/>
        </w:numPr>
        <w:ind w:leftChars="0"/>
      </w:pPr>
      <w:r>
        <w:drawing>
          <wp:inline distT="0" distB="0" distL="114300" distR="114300">
            <wp:extent cx="5330190" cy="3997960"/>
            <wp:effectExtent l="0" t="0" r="381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30190" cy="3997960"/>
                    </a:xfrm>
                    <a:prstGeom prst="rect">
                      <a:avLst/>
                    </a:prstGeom>
                  </pic:spPr>
                </pic:pic>
              </a:graphicData>
            </a:graphic>
          </wp:inline>
        </w:drawing>
      </w:r>
    </w:p>
    <w:p>
      <w:pPr>
        <w:numPr>
          <w:numId w:val="0"/>
        </w:numPr>
        <w:ind w:leftChars="0"/>
      </w:pPr>
      <w:r>
        <w:t>本页面提供用于法律研判的案件材料片段据。页面主体展示脱敏完成后的关键材料片段。同时把信息分成两类清晰展示：一类是当前仍然保留、用于判断的业务信息；另一类是系统已经屏蔽隐藏的高敏感信息，如身份证、银行卡、详细住址。如果现有片段不足以做出判断，审核人员可以点击</w:t>
      </w:r>
      <w:r>
        <w:rPr>
          <w:rFonts w:hint="eastAsia"/>
          <w:lang w:eastAsia="zh-CN"/>
        </w:rPr>
        <w:t>“</w:t>
      </w:r>
      <w:r>
        <w:t>查看完整上下文</w:t>
      </w:r>
      <w:r>
        <w:rPr>
          <w:rFonts w:hint="eastAsia"/>
          <w:lang w:eastAsia="zh-CN"/>
        </w:rPr>
        <w:t>”</w:t>
      </w:r>
      <w:r>
        <w:t xml:space="preserve">入口查看原文，该操作增加二次确认门槛，避免无意泄露。 </w:t>
      </w:r>
    </w:p>
    <w:p>
      <w:pPr>
        <w:numPr>
          <w:numId w:val="0"/>
        </w:numPr>
        <w:ind w:leftChars="0"/>
      </w:pPr>
      <w:r>
        <w:t>页面附带提示：本页仅展示完成审批判断必需的上下文。</w:t>
      </w: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ilvl w:val="0"/>
          <w:numId w:val="3"/>
        </w:numPr>
        <w:ind w:left="0" w:leftChars="0" w:firstLine="0" w:firstLineChars="0"/>
        <w:rPr>
          <w:b/>
          <w:bCs/>
          <w:sz w:val="24"/>
          <w:szCs w:val="32"/>
        </w:rPr>
      </w:pPr>
      <w:r>
        <w:rPr>
          <w:b/>
          <w:bCs/>
          <w:sz w:val="24"/>
          <w:szCs w:val="32"/>
        </w:rPr>
        <w:t xml:space="preserve">系统预处理结果详情页 </w:t>
      </w:r>
    </w:p>
    <w:p>
      <w:pPr>
        <w:numPr>
          <w:numId w:val="0"/>
        </w:numPr>
        <w:ind w:leftChars="0"/>
      </w:pPr>
      <w:r>
        <w:drawing>
          <wp:inline distT="0" distB="0" distL="114300" distR="114300">
            <wp:extent cx="5313680" cy="3985260"/>
            <wp:effectExtent l="0" t="0" r="127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13680" cy="3985260"/>
                    </a:xfrm>
                    <a:prstGeom prst="rect">
                      <a:avLst/>
                    </a:prstGeom>
                  </pic:spPr>
                </pic:pic>
              </a:graphicData>
            </a:graphic>
          </wp:inline>
        </w:drawing>
      </w:r>
      <w:r>
        <w:t>本页面用于呈现系统已经完成的动作，明确区分哪些信息被处理、哪些信息依旧保留，让审核人员清楚机器已经完成的安全工作。页面分为左右两个模块：</w:t>
      </w:r>
      <w:r>
        <w:rPr>
          <w:rFonts w:hint="eastAsia"/>
          <w:lang w:eastAsia="zh-CN"/>
        </w:rPr>
        <w:t>【</w:t>
      </w:r>
      <w:r>
        <w:t>已处理</w:t>
      </w:r>
      <w:r>
        <w:rPr>
          <w:rFonts w:hint="eastAsia"/>
          <w:lang w:eastAsia="zh-CN"/>
        </w:rPr>
        <w:t>】</w:t>
      </w:r>
      <w:r>
        <w:t>模块列举系统执行的全部操作，包括姓名替换、证件号删除、银行卡号删除、详细住址泛化；</w:t>
      </w:r>
      <w:r>
        <w:rPr>
          <w:rFonts w:hint="eastAsia"/>
          <w:lang w:eastAsia="zh-CN"/>
        </w:rPr>
        <w:t>【</w:t>
      </w:r>
      <w:r>
        <w:t>仍保留</w:t>
      </w:r>
      <w:r>
        <w:rPr>
          <w:rFonts w:hint="eastAsia"/>
          <w:lang w:eastAsia="zh-CN"/>
        </w:rPr>
        <w:t>】</w:t>
      </w:r>
      <w:r>
        <w:t xml:space="preserve">模块列出处理之后留存的业务信息，例如客户名称、交易金额、联系人缩略信息、案件争议事实。 </w:t>
      </w:r>
    </w:p>
    <w:p>
      <w:pPr>
        <w:numPr>
          <w:numId w:val="0"/>
        </w:numPr>
        <w:ind w:leftChars="0"/>
      </w:pPr>
      <w:r>
        <w:t>页面附带重要提示：删除直接标识信息不等于完全匿名化，留存的多维度信息依然存在识别特定主体的可能，仍需要结合场景评估风险。页面提供</w:t>
      </w:r>
      <w:r>
        <w:rPr>
          <w:rFonts w:hint="eastAsia"/>
          <w:lang w:eastAsia="zh-CN"/>
        </w:rPr>
        <w:t>“</w:t>
      </w:r>
      <w:r>
        <w:t>查看处理日志</w:t>
      </w:r>
      <w:r>
        <w:rPr>
          <w:rFonts w:hint="eastAsia"/>
          <w:lang w:eastAsia="zh-CN"/>
        </w:rPr>
        <w:t>”</w:t>
      </w:r>
      <w:r>
        <w:t>入口，可以追溯每一次脱敏操作的对象与时间。</w:t>
      </w: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ilvl w:val="0"/>
          <w:numId w:val="3"/>
        </w:numPr>
        <w:ind w:left="0" w:leftChars="0" w:firstLine="0" w:firstLineChars="0"/>
        <w:rPr>
          <w:b/>
          <w:bCs/>
          <w:sz w:val="24"/>
          <w:szCs w:val="32"/>
        </w:rPr>
      </w:pPr>
      <w:r>
        <w:rPr>
          <w:b/>
          <w:bCs/>
          <w:sz w:val="24"/>
          <w:szCs w:val="32"/>
        </w:rPr>
        <w:t xml:space="preserve">法律依据与风险提示详情页 </w:t>
      </w:r>
    </w:p>
    <w:p>
      <w:pPr>
        <w:numPr>
          <w:numId w:val="0"/>
        </w:numPr>
        <w:ind w:leftChars="0"/>
      </w:pPr>
      <w:r>
        <w:drawing>
          <wp:inline distT="0" distB="0" distL="114300" distR="114300">
            <wp:extent cx="5760720" cy="4320540"/>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60720" cy="4320540"/>
                    </a:xfrm>
                    <a:prstGeom prst="rect">
                      <a:avLst/>
                    </a:prstGeom>
                  </pic:spPr>
                </pic:pic>
              </a:graphicData>
            </a:graphic>
          </wp:inline>
        </w:drawing>
      </w:r>
      <w:r>
        <w:t>本页面集中展示适配的法律参考材料与场景易错风险点</w:t>
      </w:r>
      <w:r>
        <w:rPr>
          <w:rFonts w:hint="eastAsia"/>
          <w:lang w:eastAsia="zh-CN"/>
        </w:rPr>
        <w:t>，</w:t>
      </w:r>
      <w:r>
        <w:t>所有内容仅作为审核人员的参考。上半部分为法律依据列表，每一条法源包含法规名称、具体条款编号、法条和本次工单的关联解读，并附带查看原文的跳转链接。下半部分为风险提示清单，全部使用简短独立的提示语句，规避大段晦涩文本，直击该场景下高频法律误区。</w:t>
      </w: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ilvl w:val="0"/>
          <w:numId w:val="3"/>
        </w:numPr>
        <w:ind w:left="0" w:leftChars="0" w:firstLine="0" w:firstLineChars="0"/>
        <w:rPr>
          <w:b/>
          <w:bCs/>
          <w:sz w:val="24"/>
          <w:szCs w:val="32"/>
        </w:rPr>
      </w:pPr>
      <w:r>
        <w:rPr>
          <w:b/>
          <w:bCs/>
          <w:sz w:val="24"/>
          <w:szCs w:val="32"/>
        </w:rPr>
        <w:t xml:space="preserve">拟执行外部处理详情页 </w:t>
      </w:r>
    </w:p>
    <w:p>
      <w:pPr>
        <w:numPr>
          <w:numId w:val="0"/>
        </w:numPr>
        <w:ind w:leftChars="0"/>
      </w:pPr>
      <w:r>
        <w:drawing>
          <wp:inline distT="0" distB="0" distL="114300" distR="114300">
            <wp:extent cx="5760720" cy="4320540"/>
            <wp:effectExtent l="0" t="0" r="1905" b="381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5760720" cy="4320540"/>
                    </a:xfrm>
                    <a:prstGeom prst="rect">
                      <a:avLst/>
                    </a:prstGeom>
                  </pic:spPr>
                </pic:pic>
              </a:graphicData>
            </a:graphic>
          </wp:inline>
        </w:drawing>
      </w:r>
      <w:r>
        <w:t>一旦审批通过，材料就会按照本页面披露的规则交给外部模型。本页面</w:t>
      </w:r>
      <w:r>
        <w:rPr>
          <w:rFonts w:hint="eastAsia"/>
          <w:lang w:val="en-US" w:eastAsia="zh-CN"/>
        </w:rPr>
        <w:t>会</w:t>
      </w:r>
      <w:r>
        <w:t xml:space="preserve">把数据后续全链路情况完整透明呈现，作为法律判断的重要依据。页面逐项展示关键信息：处理目的，即本次调用外部模型要实现的业务目标；发送内容，向外输出的数据形态；接收主体关系，标注委托处理等合作属性；同时列明材料是否会被服务商保存、是否参与模型训练、整体数据流向状态。 </w:t>
      </w:r>
    </w:p>
    <w:p>
      <w:pPr>
        <w:numPr>
          <w:numId w:val="0"/>
        </w:numPr>
        <w:ind w:leftChars="0"/>
      </w:pPr>
      <w:r>
        <w:t>页面补充说明：是否实际发生对外提供或者数据出境，不能只看合作方背景，需要结合服务商真实处理行为进一步核实。页面设置操作按钮：返回审批首页、补充核实。</w:t>
      </w: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numId w:val="0"/>
        </w:numPr>
        <w:ind w:leftChars="0"/>
      </w:pPr>
    </w:p>
    <w:p>
      <w:pPr>
        <w:numPr>
          <w:ilvl w:val="0"/>
          <w:numId w:val="3"/>
        </w:numPr>
        <w:ind w:left="0" w:leftChars="0" w:firstLine="0" w:firstLineChars="0"/>
        <w:rPr>
          <w:b/>
          <w:bCs/>
          <w:sz w:val="24"/>
          <w:szCs w:val="32"/>
        </w:rPr>
      </w:pPr>
      <w:r>
        <w:rPr>
          <w:b/>
          <w:bCs/>
          <w:sz w:val="24"/>
          <w:szCs w:val="32"/>
        </w:rPr>
        <w:t xml:space="preserve">审批结果操作详情页 </w:t>
      </w:r>
    </w:p>
    <w:p>
      <w:pPr>
        <w:numPr>
          <w:numId w:val="0"/>
        </w:numPr>
        <w:ind w:leftChars="0"/>
      </w:pPr>
      <w:r>
        <w:drawing>
          <wp:inline distT="0" distB="0" distL="114300" distR="114300">
            <wp:extent cx="5760720" cy="4320540"/>
            <wp:effectExtent l="0" t="0" r="1905" b="381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5760720" cy="4320540"/>
                    </a:xfrm>
                    <a:prstGeom prst="rect">
                      <a:avLst/>
                    </a:prstGeom>
                  </pic:spPr>
                </pic:pic>
              </a:graphicData>
            </a:graphic>
          </wp:inline>
        </w:drawing>
      </w:r>
      <w:r>
        <w:t xml:space="preserve">本页面承载最终审批处置能力，解释每一类审批结果的含义，强制留存审批意见，实现审批全流程可追溯。页面提供四组带释义的单选审批选项： </w:t>
      </w:r>
    </w:p>
    <w:p>
      <w:pPr>
        <w:numPr>
          <w:ilvl w:val="0"/>
          <w:numId w:val="4"/>
        </w:numPr>
        <w:ind w:leftChars="0"/>
      </w:pPr>
      <w:r>
        <w:t xml:space="preserve">允许处理：可按照申请方案开展外部模型处理； </w:t>
      </w:r>
    </w:p>
    <w:p>
      <w:pPr>
        <w:numPr>
          <w:ilvl w:val="0"/>
          <w:numId w:val="4"/>
        </w:numPr>
        <w:ind w:leftChars="0"/>
      </w:pPr>
      <w:r>
        <w:t xml:space="preserve">补充脱敏后允许：需要完成进一步脱敏，才可对外提交材料； </w:t>
      </w:r>
    </w:p>
    <w:p>
      <w:pPr>
        <w:numPr>
          <w:ilvl w:val="0"/>
          <w:numId w:val="4"/>
        </w:numPr>
        <w:ind w:leftChars="0"/>
      </w:pPr>
      <w:r>
        <w:t xml:space="preserve">补充核实：现有事实、权限信息不足，补充调研后再开展审批； </w:t>
      </w:r>
    </w:p>
    <w:p>
      <w:pPr>
        <w:numPr>
          <w:ilvl w:val="0"/>
          <w:numId w:val="4"/>
        </w:numPr>
        <w:ind w:leftChars="0"/>
      </w:pPr>
      <w:r>
        <w:t xml:space="preserve">禁止外部处理：本次不允许将材料交给外部模型。 </w:t>
      </w:r>
    </w:p>
    <w:p>
      <w:pPr>
        <w:numPr>
          <w:numId w:val="0"/>
        </w:numPr>
      </w:pPr>
      <w:r>
        <w:t>审批理由设置为必填输入框，审核人员需要填写作出结论的依据。同时设置勾选确认项。</w:t>
      </w:r>
    </w:p>
    <w:p>
      <w:pPr>
        <w:numPr>
          <w:numId w:val="0"/>
        </w:numPr>
      </w:pPr>
      <w:r>
        <w:t>页面底部注明：本次审批结论，仅对当前材料版本、处理目的、处理方式生效。操作按钮包含暂存、提交审批。</w:t>
      </w:r>
    </w:p>
    <w:p>
      <w:pPr>
        <w:numPr>
          <w:numId w:val="0"/>
        </w:numPr>
        <w:ind w:leftChars="0"/>
        <w:rPr>
          <w:rFonts w:hint="eastAsia" w:eastAsiaTheme="minorEastAsia"/>
          <w:lang w:val="en-US" w:eastAsia="zh-CN"/>
        </w:rPr>
      </w:pPr>
      <w:r>
        <w:rPr>
          <w:rFonts w:hint="eastAsia"/>
          <w:b/>
          <w:bCs/>
          <w:sz w:val="28"/>
          <w:szCs w:val="36"/>
          <w:lang w:val="en-US" w:eastAsia="zh-CN"/>
        </w:rPr>
        <w:t>四、</w:t>
      </w:r>
      <w:r>
        <w:rPr>
          <w:b/>
          <w:bCs/>
          <w:sz w:val="28"/>
          <w:szCs w:val="36"/>
        </w:rPr>
        <w:t>人工审批</w:t>
      </w:r>
      <w:r>
        <w:rPr>
          <w:rFonts w:hint="eastAsia"/>
          <w:b/>
          <w:bCs/>
          <w:sz w:val="28"/>
          <w:szCs w:val="36"/>
          <w:lang w:val="en-US" w:eastAsia="zh-CN"/>
        </w:rPr>
        <w:t>需要看到的</w:t>
      </w:r>
      <w:r>
        <w:rPr>
          <w:b/>
          <w:bCs/>
          <w:sz w:val="28"/>
          <w:szCs w:val="36"/>
        </w:rPr>
        <w:t>信息</w:t>
      </w:r>
      <w:r>
        <w:rPr>
          <w:rFonts w:hint="eastAsia"/>
          <w:b/>
          <w:bCs/>
          <w:sz w:val="28"/>
          <w:szCs w:val="36"/>
          <w:lang w:val="en-US" w:eastAsia="zh-CN"/>
        </w:rPr>
        <w:t>清单</w:t>
      </w:r>
    </w:p>
    <w:p>
      <w:pPr>
        <w:numPr>
          <w:numId w:val="0"/>
        </w:numPr>
        <w:ind w:leftChars="0"/>
        <w:rPr/>
      </w:pPr>
      <w:r>
        <w:rPr>
          <w:lang w:val="en-US" w:eastAsia="zh-CN"/>
        </w:rPr>
        <w:t>综合首页与所有二级详情页，整套审批流程需要完整覆盖以下信息点，缺一不可：</w:t>
      </w:r>
    </w:p>
    <w:p>
      <w:pPr>
        <w:numPr>
          <w:ilvl w:val="0"/>
          <w:numId w:val="5"/>
        </w:numPr>
        <w:ind w:leftChars="0"/>
        <w:rPr/>
      </w:pPr>
      <w:r>
        <w:t>审批触发根源：明确列出系统无法自动判定的待确认问题，不使用 “高风险” 这类模糊笼统的描述；</w:t>
      </w:r>
    </w:p>
    <w:p>
      <w:pPr>
        <w:numPr>
          <w:numId w:val="0"/>
        </w:numPr>
        <w:ind w:leftChars="0"/>
        <w:rPr>
          <w:rFonts w:hint="eastAsia" w:ascii="宋体" w:hAnsi="宋体" w:eastAsia="宋体" w:cs="宋体"/>
        </w:rPr>
      </w:pPr>
      <w:r>
        <w:rPr>
          <w:rFonts w:hint="eastAsia" w:ascii="宋体" w:hAnsi="宋体" w:eastAsia="宋体" w:cs="宋体"/>
          <w:lang w:val="en-US" w:eastAsia="zh-CN"/>
        </w:rPr>
        <w:t xml:space="preserve">2. </w:t>
      </w:r>
      <w:r>
        <w:rPr>
          <w:rFonts w:hint="eastAsia" w:ascii="宋体" w:hAnsi="宋体" w:eastAsia="宋体" w:cs="宋体"/>
        </w:rPr>
        <w:t>案件关键材料片段，所有敏感字段默认完成脱敏；</w:t>
      </w:r>
    </w:p>
    <w:p>
      <w:pPr>
        <w:numPr>
          <w:numId w:val="0"/>
        </w:numPr>
        <w:ind w:leftChars="0"/>
        <w:rPr>
          <w:rFonts w:hint="eastAsia" w:ascii="宋体" w:hAnsi="宋体" w:eastAsia="宋体" w:cs="宋体"/>
        </w:rPr>
      </w:pPr>
      <w:r>
        <w:rPr>
          <w:rFonts w:hint="eastAsia" w:ascii="宋体" w:hAnsi="宋体" w:eastAsia="宋体" w:cs="宋体"/>
          <w:lang w:val="en-US" w:eastAsia="zh-CN"/>
        </w:rPr>
        <w:t xml:space="preserve">3. </w:t>
      </w:r>
      <w:r>
        <w:rPr>
          <w:rFonts w:hint="eastAsia" w:ascii="宋体" w:hAnsi="宋体" w:eastAsia="宋体" w:cs="宋体"/>
        </w:rPr>
        <w:t>系统预处理明细：完整展示已经删除、泛化以及保留的信息清单；</w:t>
      </w:r>
    </w:p>
    <w:p>
      <w:pPr>
        <w:numPr>
          <w:numId w:val="0"/>
        </w:numPr>
        <w:ind w:leftChars="0"/>
        <w:rPr>
          <w:rFonts w:hint="eastAsia" w:ascii="宋体" w:hAnsi="宋体" w:eastAsia="宋体" w:cs="宋体"/>
        </w:rPr>
      </w:pPr>
      <w:r>
        <w:rPr>
          <w:rFonts w:hint="eastAsia" w:ascii="宋体" w:hAnsi="宋体" w:eastAsia="宋体" w:cs="宋体"/>
          <w:lang w:val="en-US" w:eastAsia="zh-CN"/>
        </w:rPr>
        <w:t xml:space="preserve">4. </w:t>
      </w:r>
      <w:r>
        <w:rPr>
          <w:rFonts w:hint="eastAsia" w:ascii="宋体" w:hAnsi="宋体" w:eastAsia="宋体" w:cs="宋体"/>
        </w:rPr>
        <w:t>外部处理全量信息：业务处理目的、向外发送的数据内容、接收方关系、存储、训练、数据流转状态；</w:t>
      </w:r>
    </w:p>
    <w:p>
      <w:pPr>
        <w:numPr>
          <w:numId w:val="0"/>
        </w:numPr>
        <w:ind w:leftChars="0"/>
        <w:rPr>
          <w:rFonts w:hint="eastAsia" w:ascii="宋体" w:hAnsi="宋体" w:eastAsia="宋体" w:cs="宋体"/>
        </w:rPr>
      </w:pPr>
      <w:r>
        <w:rPr>
          <w:rFonts w:hint="eastAsia" w:ascii="宋体" w:hAnsi="宋体" w:eastAsia="宋体" w:cs="宋体"/>
          <w:lang w:val="en-US" w:eastAsia="zh-CN"/>
        </w:rPr>
        <w:t xml:space="preserve">5. </w:t>
      </w:r>
      <w:r>
        <w:rPr>
          <w:rFonts w:hint="eastAsia" w:ascii="宋体" w:hAnsi="宋体" w:eastAsia="宋体" w:cs="宋体"/>
        </w:rPr>
        <w:t>和本工单直接相关的法律条文集合，支持跳转查阅法条原文；</w:t>
      </w:r>
    </w:p>
    <w:p>
      <w:pPr>
        <w:numPr>
          <w:numId w:val="0"/>
        </w:numPr>
        <w:ind w:leftChars="0"/>
        <w:rPr>
          <w:rFonts w:hint="eastAsia" w:ascii="宋体" w:hAnsi="宋体" w:eastAsia="宋体" w:cs="宋体"/>
        </w:rPr>
      </w:pPr>
      <w:r>
        <w:rPr>
          <w:rFonts w:hint="eastAsia" w:ascii="宋体" w:hAnsi="宋体" w:eastAsia="宋体" w:cs="宋体"/>
          <w:lang w:val="en-US" w:eastAsia="zh-CN"/>
        </w:rPr>
        <w:t xml:space="preserve">6. </w:t>
      </w:r>
      <w:r>
        <w:rPr>
          <w:rFonts w:hint="eastAsia" w:ascii="宋体" w:hAnsi="宋体" w:eastAsia="宋体" w:cs="宋体"/>
        </w:rPr>
        <w:t>面向业务场景定制的风险警示要点；</w:t>
      </w:r>
    </w:p>
    <w:p>
      <w:pPr>
        <w:numPr>
          <w:numId w:val="0"/>
        </w:numPr>
        <w:ind w:leftChars="0"/>
        <w:rPr/>
      </w:pPr>
      <w:r>
        <w:rPr>
          <w:rFonts w:hint="eastAsia" w:ascii="宋体" w:hAnsi="宋体" w:eastAsia="宋体" w:cs="宋体"/>
          <w:lang w:val="en-US" w:eastAsia="zh-CN"/>
        </w:rPr>
        <w:t xml:space="preserve">7. </w:t>
      </w:r>
      <w:r>
        <w:rPr>
          <w:rFonts w:hint="eastAsia" w:ascii="宋体" w:hAnsi="宋体" w:eastAsia="宋体" w:cs="宋体"/>
        </w:rPr>
        <w:t>全</w:t>
      </w:r>
      <w:r>
        <w:t>部审批处置选项，强制填写审批理由，保证审批行为留痕可查。</w:t>
      </w:r>
    </w:p>
    <w:p>
      <w:pPr>
        <w:numPr>
          <w:numId w:val="0"/>
        </w:numPr>
        <w:ind w:leftChars="0"/>
      </w:pPr>
      <w:r>
        <w:rPr>
          <w:rFonts w:hint="eastAsia"/>
          <w:b/>
          <w:bCs/>
          <w:sz w:val="28"/>
          <w:szCs w:val="36"/>
          <w:lang w:val="en-US" w:eastAsia="zh-CN"/>
        </w:rPr>
        <w:t>五、</w:t>
      </w:r>
      <w:r>
        <w:rPr>
          <w:b/>
          <w:bCs/>
          <w:sz w:val="28"/>
          <w:szCs w:val="36"/>
        </w:rPr>
        <w:t>风险提示文案</w:t>
      </w:r>
      <w:r>
        <w:t xml:space="preserve"> </w:t>
      </w:r>
    </w:p>
    <w:p>
      <w:pPr>
        <w:numPr>
          <w:numId w:val="0"/>
        </w:numPr>
        <w:ind w:leftChars="0"/>
      </w:pPr>
      <w:r>
        <w:t>风险提示分散在首页以及详情页的关键位置，用来提醒审核人员避开常见法律误判：</w:t>
      </w:r>
    </w:p>
    <w:p>
      <w:pPr>
        <w:numPr>
          <w:ilvl w:val="0"/>
          <w:numId w:val="6"/>
        </w:numPr>
        <w:ind w:leftChars="0"/>
        <w:rPr/>
      </w:pPr>
      <w:r>
        <w:t>材料包含敏感信息，并不等于应当直接禁止外部处理。即便存在个人敏感信息、医疗健康信息、商业秘密，也要结合处理权限、业务必要性、具体处理方式综合研判。</w:t>
      </w:r>
    </w:p>
    <w:p>
      <w:pPr>
        <w:numPr>
          <w:ilvl w:val="0"/>
          <w:numId w:val="6"/>
        </w:numPr>
        <w:ind w:left="0" w:leftChars="0" w:firstLine="0" w:firstLineChars="0"/>
        <w:rPr/>
      </w:pPr>
      <w:r>
        <w:t>拥有案件材料查阅权限，不等于可以把材料向第三方提供。内部查阅、复制材料的权限，不能直接推导为可以交付外部技术服务商。</w:t>
      </w:r>
    </w:p>
    <w:p>
      <w:pPr>
        <w:numPr>
          <w:ilvl w:val="0"/>
          <w:numId w:val="6"/>
        </w:numPr>
        <w:ind w:left="0" w:leftChars="0" w:firstLine="0" w:firstLineChars="0"/>
        <w:rPr/>
      </w:pPr>
      <w:r>
        <w:t>事实或者法律适用存在疑问，不等于直接禁止处理。遇到无法确认的问题，应当暂停处理并补充核实，而不是直接将存疑情形等同于法律禁止情形。</w:t>
      </w:r>
    </w:p>
    <w:p>
      <w:pPr>
        <w:numPr>
          <w:ilvl w:val="0"/>
          <w:numId w:val="6"/>
        </w:numPr>
        <w:ind w:left="0" w:leftChars="0" w:firstLine="0" w:firstLineChars="0"/>
        <w:rPr/>
      </w:pPr>
      <w:r>
        <w:t>去标识处理不等同于匿名化。删除姓名、证件号之后，剩余的交易金额、时间、岗位、病症等信息组合，仍然有可能定位到特定自然人。</w:t>
      </w:r>
    </w:p>
    <w:p>
      <w:pPr>
        <w:numPr>
          <w:ilvl w:val="0"/>
          <w:numId w:val="6"/>
        </w:numPr>
        <w:ind w:left="0" w:leftChars="0" w:firstLine="0" w:firstLineChars="0"/>
      </w:pPr>
      <w:r>
        <w:t>服务商具备境外背景，不等于已经发生数据出境。是否构成对外提供、数据出境，以实际的数据传输、存储、访问行为作为判断标准。</w:t>
      </w:r>
    </w:p>
    <w:p>
      <w:pPr>
        <w:spacing w:line="240" w:lineRule="auto"/>
        <w:rPr>
          <w:rFonts w:hint="eastAsia" w:ascii="宋体" w:hAnsi="宋体" w:eastAsia="宋体" w:cs="宋体"/>
          <w:b/>
          <w:bCs w:val="0"/>
          <w:sz w:val="28"/>
          <w:szCs w:val="28"/>
        </w:rPr>
      </w:pPr>
      <w:r>
        <w:rPr>
          <w:rFonts w:hint="eastAsia" w:ascii="宋体" w:hAnsi="宋体" w:eastAsia="宋体" w:cs="宋体"/>
          <w:b/>
          <w:bCs w:val="0"/>
          <w:sz w:val="28"/>
          <w:szCs w:val="28"/>
          <w:lang w:val="en-US" w:eastAsia="zh-CN"/>
        </w:rPr>
        <w:t>六</w:t>
      </w:r>
      <w:r>
        <w:rPr>
          <w:rFonts w:hint="eastAsia" w:ascii="宋体" w:hAnsi="宋体" w:eastAsia="宋体" w:cs="宋体"/>
          <w:b/>
          <w:bCs w:val="0"/>
          <w:sz w:val="28"/>
          <w:szCs w:val="28"/>
        </w:rPr>
        <w:t>、责任边界文案</w:t>
      </w:r>
    </w:p>
    <w:p>
      <w:pPr>
        <w:spacing w:line="240" w:lineRule="auto"/>
      </w:pPr>
      <w:r>
        <w:rPr>
          <w:rFonts w:hint="eastAsia" w:ascii="宋体" w:hAnsi="宋体" w:eastAsia="宋体"/>
          <w:b/>
          <w:bCs/>
          <w:sz w:val="22"/>
          <w:lang w:val="en-US" w:eastAsia="zh-CN"/>
        </w:rPr>
        <w:t>1. 系统辅助范围：</w:t>
      </w:r>
      <w:r>
        <w:rPr>
          <w:rFonts w:ascii="宋体" w:hAnsi="宋体" w:eastAsia="宋体"/>
          <w:sz w:val="22"/>
        </w:rPr>
        <w:t>系统负责依据已配置规则识别潜在受保护信息、执行预设脱敏处理、提示待核实事项，并展示相关法源和风险提示。系统不会仅因材料具有敏感性而自动认定法律禁止，也不会在关键事实或法律适用尚不能确认时替代专业人员作出最终法律判断。</w:t>
      </w:r>
    </w:p>
    <w:p>
      <w:pPr>
        <w:spacing w:after="80" w:line="240" w:lineRule="auto"/>
      </w:pPr>
      <w:r>
        <w:rPr>
          <w:rFonts w:hint="eastAsia" w:ascii="宋体" w:hAnsi="宋体" w:eastAsia="宋体"/>
          <w:b/>
          <w:bCs/>
          <w:sz w:val="22"/>
          <w:lang w:val="en-US" w:eastAsia="zh-CN"/>
        </w:rPr>
        <w:t xml:space="preserve">2. </w:t>
      </w:r>
      <w:r>
        <w:rPr>
          <w:rFonts w:ascii="宋体" w:hAnsi="宋体" w:eastAsia="宋体"/>
          <w:b/>
          <w:bCs/>
          <w:sz w:val="22"/>
        </w:rPr>
        <w:t>审批人员职责</w:t>
      </w:r>
      <w:r>
        <w:rPr>
          <w:rFonts w:hint="eastAsia" w:ascii="宋体" w:hAnsi="宋体" w:eastAsia="宋体"/>
          <w:b/>
          <w:bCs/>
          <w:sz w:val="22"/>
          <w:lang w:eastAsia="zh-CN"/>
        </w:rPr>
        <w:t>：</w:t>
      </w:r>
      <w:r>
        <w:rPr>
          <w:rFonts w:ascii="宋体" w:hAnsi="宋体" w:eastAsia="宋体"/>
          <w:sz w:val="22"/>
        </w:rPr>
        <w:t>审批人员负责对系统明确提示的待核实事项进行判断，包括材料性质、事实前提、处理权限、保密义务、特别法适用及其他需要专业判断的事项。审批人员无需重新逐项审查系统已经能够按确定规则自动完成的基础脱敏项目，但应确认系统展示的事实和问题足以支持本次审批结论。</w:t>
      </w:r>
    </w:p>
    <w:p>
      <w:pPr>
        <w:spacing w:after="80" w:line="240" w:lineRule="auto"/>
      </w:pPr>
      <w:r>
        <w:rPr>
          <w:rFonts w:hint="eastAsia" w:ascii="宋体" w:hAnsi="宋体" w:eastAsia="宋体"/>
          <w:b/>
          <w:bCs/>
          <w:sz w:val="22"/>
          <w:lang w:val="en-US" w:eastAsia="zh-CN"/>
        </w:rPr>
        <w:t xml:space="preserve">3. </w:t>
      </w:r>
      <w:r>
        <w:rPr>
          <w:rFonts w:ascii="宋体" w:hAnsi="宋体" w:eastAsia="宋体"/>
          <w:b/>
          <w:bCs/>
          <w:sz w:val="22"/>
        </w:rPr>
        <w:t>审批结论适用边界</w:t>
      </w:r>
      <w:r>
        <w:rPr>
          <w:rFonts w:hint="eastAsia" w:ascii="宋体" w:hAnsi="宋体" w:eastAsia="宋体"/>
          <w:b/>
          <w:bCs/>
          <w:sz w:val="22"/>
          <w:lang w:eastAsia="zh-CN"/>
        </w:rPr>
        <w:t>：</w:t>
      </w:r>
      <w:r>
        <w:rPr>
          <w:rFonts w:ascii="宋体" w:hAnsi="宋体" w:eastAsia="宋体"/>
          <w:sz w:val="22"/>
        </w:rPr>
        <w:t>本次审批结论仅适用于当前材料版本、当前处理目的、当前外部处理方式和当前数据流向。材料内容、处理目的、外部处理主体、数据流向、保密义务或适用规则发生变化时，应重新进行判断。</w:t>
      </w:r>
    </w:p>
    <w:p>
      <w:pPr>
        <w:spacing w:after="80" w:line="240" w:lineRule="auto"/>
        <w:rPr>
          <w:rFonts w:hint="eastAsia" w:eastAsia="宋体"/>
          <w:i w:val="0"/>
          <w:iCs/>
          <w:lang w:eastAsia="zh-CN"/>
        </w:rPr>
      </w:pPr>
      <w:r>
        <w:rPr>
          <w:rFonts w:hint="eastAsia" w:ascii="宋体" w:hAnsi="宋体" w:eastAsia="宋体"/>
          <w:b/>
          <w:bCs/>
          <w:sz w:val="22"/>
          <w:lang w:val="en-US" w:eastAsia="zh-CN"/>
        </w:rPr>
        <w:t xml:space="preserve">4. </w:t>
      </w:r>
      <w:r>
        <w:rPr>
          <w:rFonts w:ascii="宋体" w:hAnsi="宋体" w:eastAsia="宋体"/>
          <w:b/>
          <w:bCs/>
          <w:sz w:val="22"/>
        </w:rPr>
        <w:t>页面底部可直接使用的确认文案</w:t>
      </w:r>
      <w:r>
        <w:rPr>
          <w:rFonts w:hint="eastAsia" w:ascii="宋体" w:hAnsi="宋体" w:eastAsia="宋体"/>
          <w:b/>
          <w:bCs/>
          <w:sz w:val="22"/>
          <w:lang w:eastAsia="zh-CN"/>
        </w:rPr>
        <w:t>：</w:t>
      </w:r>
      <w:r>
        <w:rPr>
          <w:rFonts w:hint="eastAsia" w:ascii="宋体" w:hAnsi="宋体" w:eastAsia="宋体"/>
          <w:i w:val="0"/>
          <w:iCs/>
          <w:lang w:eastAsia="zh-CN"/>
        </w:rPr>
        <w:t>“</w:t>
      </w:r>
      <w:r>
        <w:rPr>
          <w:rFonts w:ascii="宋体" w:hAnsi="宋体" w:eastAsia="宋体"/>
          <w:i w:val="0"/>
          <w:iCs/>
        </w:rPr>
        <w:t>我已阅读风险提示，并基于当前可得事实和页面展示信息作出本次审批判断。系统负责识别与提示，最终审批结论由审批人员就待核实事项作出。本次结论仅适用于当前材料版本、处理目的和处理方式。</w:t>
      </w:r>
      <w:r>
        <w:rPr>
          <w:rFonts w:hint="eastAsia" w:ascii="宋体" w:hAnsi="宋体" w:eastAsia="宋体"/>
          <w:i w:val="0"/>
          <w:iCs/>
          <w:lang w:eastAsia="zh-CN"/>
        </w:rPr>
        <w:t>”</w:t>
      </w:r>
    </w:p>
    <w:p>
      <w:pPr>
        <w:spacing w:line="240" w:lineRule="auto"/>
        <w:ind w:left="420" w:hanging="283"/>
      </w:pPr>
    </w:p>
    <w:p>
      <w:pPr>
        <w:numPr>
          <w:numId w:val="0"/>
        </w:numPr>
        <w:spacing w:line="240" w:lineRule="auto"/>
        <w:ind w:left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楷体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B3A492"/>
    <w:multiLevelType w:val="singleLevel"/>
    <w:tmpl w:val="8AB3A492"/>
    <w:lvl w:ilvl="0" w:tentative="0">
      <w:start w:val="1"/>
      <w:numFmt w:val="decimal"/>
      <w:suff w:val="space"/>
      <w:lvlText w:val="%1."/>
      <w:lvlJc w:val="left"/>
      <w:rPr>
        <w:rFonts w:hint="default" w:ascii="宋体" w:hAnsi="宋体" w:eastAsia="宋体" w:cs="宋体"/>
        <w:sz w:val="21"/>
        <w:szCs w:val="21"/>
      </w:rPr>
    </w:lvl>
  </w:abstractNum>
  <w:abstractNum w:abstractNumId="1">
    <w:nsid w:val="A2124FA3"/>
    <w:multiLevelType w:val="singleLevel"/>
    <w:tmpl w:val="A2124FA3"/>
    <w:lvl w:ilvl="0" w:tentative="0">
      <w:start w:val="1"/>
      <w:numFmt w:val="chineseCounting"/>
      <w:suff w:val="nothing"/>
      <w:lvlText w:val="（%1）"/>
      <w:lvlJc w:val="left"/>
      <w:rPr>
        <w:rFonts w:hint="eastAsia"/>
      </w:rPr>
    </w:lvl>
  </w:abstractNum>
  <w:abstractNum w:abstractNumId="2">
    <w:nsid w:val="C6227A1C"/>
    <w:multiLevelType w:val="singleLevel"/>
    <w:tmpl w:val="C6227A1C"/>
    <w:lvl w:ilvl="0" w:tentative="0">
      <w:start w:val="1"/>
      <w:numFmt w:val="decimal"/>
      <w:lvlText w:val="%1."/>
      <w:lvlJc w:val="left"/>
      <w:pPr>
        <w:tabs>
          <w:tab w:val="left" w:pos="312"/>
        </w:tabs>
      </w:pPr>
      <w:rPr>
        <w:rFonts w:hint="default" w:ascii="宋体" w:hAnsi="宋体" w:eastAsia="宋体" w:cs="宋体"/>
        <w:sz w:val="21"/>
        <w:szCs w:val="21"/>
      </w:rPr>
    </w:lvl>
  </w:abstractNum>
  <w:abstractNum w:abstractNumId="3">
    <w:nsid w:val="FB67E160"/>
    <w:multiLevelType w:val="singleLevel"/>
    <w:tmpl w:val="FB67E160"/>
    <w:lvl w:ilvl="0" w:tentative="0">
      <w:start w:val="1"/>
      <w:numFmt w:val="decimal"/>
      <w:suff w:val="space"/>
      <w:lvlText w:val="%1."/>
      <w:lvlJc w:val="left"/>
      <w:rPr>
        <w:rFonts w:hint="default" w:ascii="宋体" w:hAnsi="宋体" w:eastAsia="宋体" w:cs="宋体"/>
        <w:sz w:val="21"/>
        <w:szCs w:val="21"/>
      </w:rPr>
    </w:lvl>
  </w:abstractNum>
  <w:abstractNum w:abstractNumId="4">
    <w:nsid w:val="FF7CBDEA"/>
    <w:multiLevelType w:val="singleLevel"/>
    <w:tmpl w:val="FF7CBDEA"/>
    <w:lvl w:ilvl="0" w:tentative="0">
      <w:start w:val="3"/>
      <w:numFmt w:val="chineseCounting"/>
      <w:suff w:val="nothing"/>
      <w:lvlText w:val="%1、"/>
      <w:lvlJc w:val="left"/>
      <w:rPr>
        <w:rFonts w:hint="eastAsia"/>
      </w:rPr>
    </w:lvl>
  </w:abstractNum>
  <w:abstractNum w:abstractNumId="5">
    <w:nsid w:val="5755EE05"/>
    <w:multiLevelType w:val="singleLevel"/>
    <w:tmpl w:val="5755EE05"/>
    <w:lvl w:ilvl="0" w:tentative="0">
      <w:start w:val="1"/>
      <w:numFmt w:val="decimal"/>
      <w:suff w:val="space"/>
      <w:lvlText w:val="%1."/>
      <w:lvlJc w:val="left"/>
      <w:rPr>
        <w:rFonts w:hint="default" w:ascii="宋体" w:hAnsi="宋体" w:eastAsia="宋体" w:cs="宋体"/>
        <w:b/>
        <w:bCs/>
        <w:sz w:val="21"/>
        <w:szCs w:val="21"/>
      </w:rPr>
    </w:lvl>
  </w:abstractNum>
  <w:num w:numId="1">
    <w:abstractNumId w:val="0"/>
  </w:num>
  <w:num w:numId="2">
    <w:abstractNumId w:val="4"/>
  </w:num>
  <w:num w:numId="3">
    <w:abstractNumId w:val="1"/>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A12F13"/>
    <w:rsid w:val="57A12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2026-09-17T10:04:00Z</dcterms:created>
  <dc:creator>管弦乐</dc:creator>
  <cp:lastModifiedBy>管弦乐</cp:lastModifiedBy>
  <dcterms:modified xsi:type="dcterms:W3CDTF">2026-09-17T10:34:37Z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A9A95EEDEC574027AD49B2D2F1D304D2</vt:lpwstr>
  </property>
</Properties>
</file>