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02 · 门 5 · 正式运行规则包及发布记录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负责：技术方按法 05 签署发布到运行库。须体现 published、legal_status=reviewed、写死的 published_scope、五类风险权重。仓库 draft、隔离库旧试点发布 不能 当作本次正式开通。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仓库草稿可仍保持 draft；以运行库为准。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运行库包 ID / 版本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status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 published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legal_status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 reviewed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dispatch_allowed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仅本三元组范围可为 true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published_scope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须写死本次案 × 子目的 × 接收方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五类权重已写入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content_hash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发布人 / 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 会签对应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本页结论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□ 运行库已按法 05 发布且范围正确　□ 未发布，保持阻断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技02_门5_运行规则包发布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