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08 · 门 10 · approver 对该哈希的一次批准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负责：技术方同一人在门 1–9 齐备后，切换角色为 approver，对门 6 的 request_hash 批准一次，有效期 30 分钟。前置不齐时签署无效，系统应 409。批准记录 ≠ 发送完成。不得用批准覆盖前置缺项。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与技 04–06 的工程安全记录分开留痕。写明：同一人、换角色、时间、请求哈希。不写成「两名独立人员复核」。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request_hash（与技 03 / 法 07 逐字相同）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01–10、技 01–07 收据编号或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1：　2：　3：　4：　5：　6：　7：　8：　9：　交付索引：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工程安全记录（技 04–06）操作人 / 角色 / 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本页操作人（须与上行可为同一人）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本页角色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须为 approver（换角色）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批准有效期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 30 分钟；抄：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系统操作时间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批准后是否已发送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　□ 是（写回包；超时记 unknown，禁止盲重发）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本人确认：已阅读完整冻结请求（提示词、facts、模型、地址、账号快照），同意这一次发送；不同意把本次批准扩到其他案件或其他哈希。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 姓名 / 职务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已对上列哈希批准一次　□ 未批准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空表。签名本身不是发送完成。真实案 HTTP 以网关账本为准。成功记录见配 05，不能预填。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技08_门10_approver批准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