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04 · 门 4 · 本三元组个人信息保护影响评估（PIPIA）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负责：法学方主签。必须针对 LA-001 × R × D 与本版事实卡事前评估。结论须为「可用」，或附条件且条件已落实。接收方条件仍为 unknown 时不得选「可用」。LEX-LG-AI §4 / 规则总论 不能 替代本案评估。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《个人信息保护法》第 55–56 条：评估与处理情况记录至少保存三年。该三年 不等于 原文、临时载荷、供应商日志全部保存三年（见配 01）。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服务商处理条件是本评估的输入。法 03 空栏未齐时，不要先签「可用」。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处理活动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将已确认最小事实卡经独立网关发往 D 官方 API，仅生成事实保真摘要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 / 子目的 / 接收方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事实卡版本（门 6 哈希或草案编号）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若尚未冻结，写草案号；冻结后重评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处理对象（类别，勿写真名）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信息类别与必要性（逐项：删后任务是否仍可完成）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处理依据（接法 01）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接收方条件（接法 03；unknown 则不得选「可用」）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主要风险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已实施措施（设计≠实施；只写已核为真的）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替代方案（本地摘要 / 不外发）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残余风险是否接受及理由（禁止只写「低风险」）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告知或例外、异议 / 删除、联系人、事故处理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报告保存位置、三年保留起点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最终结论（三选一）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条件（若附条件，列完且已落实才算）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可用　□ 附条件可用　□ 不可用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实施人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复核人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范围与有效期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事实卡 / 接收方 / 训练或留存变化后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已重评　□ 未重评（原结论失效）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空表。结论空或「不可用」时保持阻断。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法04_门4_PIPIA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