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05 · 门 5 · 劳动争议 V2 规则发布的法学签署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负责：法学方会签必要性矩阵、条件规则、法源版本与发布范围，并冻结五类风险权重。交技术方按本页发布运行库包（技 02）。仓库草稿、隔离库旧试点发布 不能 当作本次正式开通。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本次范围必须写死：LA-001 × R_fact_summary × D_DeepSeek_official_API。把十案写进 scope，本页作废。仓库 packs/labor_v2_draft.json 可保持 2.0.0-draft.3、dispatch_allowed=false，直到运行库按本页发布。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子目的与允许上云字段（必要性：required / optional / forbidden）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明确不上云的字段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条件规则（待审草稿不得直接当已发布）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输出标准（待核稿，不得自动写成「法院已认定」）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法源与指南版本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如 G-2026-09-12-v1.0；写文本日期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entity 权重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density 权重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context 权重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combination 权重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cross_round 权重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五类是否冻结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published_scope（须写死案 × 子目的 × 接收方）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审核记录编号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会签人 / 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本页结论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法学签署齐，可交技 02 发运行库　□ 未齐，保持阻断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空表。会签 ≠ 运行库已 published。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法05_门5_规则发布法学签署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