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配 01 · 法学 · 处理与数据治理口径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负责：法学方。不能被「十门清单已整理」掩盖。不把本页自行改成新增发送门；缺项仍须补，发送前处理依据不能只写原则句。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合成材料用途口径（研发 / 教学 / 截图 / 对外交付）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路径 1 本地整理：人 / 行为 / 依据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路径 2 本地确定性任务：人 / 行为 / 依据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路径 3 边侧抽取：人 / 行为 / 依据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路径 4 可选云端摘要：人 / 行为 / 依据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主槽服务商分表（DeepSeek / 本账号）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可与法 03 互指；空栏保持未知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备槽服务商分表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本次 D 试点不启用。仍可登记「未纳入」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保存 / 访问 / 删除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分对象写。影响评估记录至少三年 ≠ 原文全量保存三年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本页结论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口径已写到人和行为　□ 未写</w:t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空表。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color w:val="5C6770"/>
        <w:sz w:val="16"/>
      </w:rPr>
      <w:t xml:space="preserve">配01_法学_处理与数据治理口径  ·  空表  ·  填表≠pass≠可发送  ·  第 </w:t>
    </w:r>
    <w:r>
      <w:rPr>
        <w:rFonts w:ascii="微软雅黑" w:hAnsi="微软雅黑" w:eastAsia="微软雅黑" w:cs="微软雅黑"/>
        <w:b w:val="0"/>
        <w:color w:val="5C6770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 w:cs="微软雅黑"/>
        <w:b w:val="0"/>
        <w:color w:val="5C677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