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spacing w:line="360" w:lineRule="auto"/>
        <w:rPr>
          <w:rFonts w:hint="eastAsia" w:ascii="楷体" w:hAnsi="楷体" w:eastAsia="楷体" w:cs="楷体"/>
          <w:color w:val="0D0D0D"/>
          <w:sz w:val="36"/>
          <w:szCs w:val="36"/>
        </w:rPr>
      </w:pPr>
      <w:r>
        <w:rPr>
          <w:rFonts w:hint="eastAsia" w:ascii="楷体" w:hAnsi="楷体" w:eastAsia="楷体" w:cs="楷体"/>
          <w:color w:val="0D0D0D"/>
          <w:sz w:val="36"/>
          <w:szCs w:val="36"/>
        </w:rPr>
        <w:t>硬性禁止情形、必须人工复核情形及规则冲突处理要求</w:t>
      </w:r>
    </w:p>
    <w:p>
      <w:pPr>
        <w:pStyle w:val="4"/>
        <w:bidi w:val="0"/>
        <w:spacing w:line="360" w:lineRule="auto"/>
        <w:rPr>
          <w:rFonts w:hint="eastAsia" w:ascii="宋体" w:hAnsi="宋体" w:eastAsia="宋体" w:cs="宋体"/>
          <w:color w:val="0D0D0D"/>
        </w:rPr>
      </w:pPr>
      <w:r>
        <w:rPr>
          <w:rFonts w:hint="eastAsia" w:ascii="宋体" w:hAnsi="宋体" w:eastAsia="宋体" w:cs="宋体"/>
          <w:color w:val="0D0D0D"/>
        </w:rPr>
        <w:t>一、法律上坚决不能外发</w:t>
      </w:r>
      <w:bookmarkStart w:id="0" w:name="_GoBack"/>
      <w:bookmarkEnd w:id="0"/>
      <w:r>
        <w:rPr>
          <w:rFonts w:hint="eastAsia" w:ascii="宋体" w:hAnsi="宋体" w:eastAsia="宋体" w:cs="宋体"/>
          <w:color w:val="0D0D0D"/>
        </w:rPr>
        <w:t>，需要同时满足以下条件：</w:t>
      </w:r>
    </w:p>
    <w:p>
      <w:pPr>
        <w:pStyle w:val="165"/>
        <w:spacing w:line="360" w:lineRule="auto"/>
        <w:rPr>
          <w:rFonts w:hint="eastAsia" w:ascii="宋体" w:hAnsi="宋体" w:eastAsia="宋体" w:cs="宋体"/>
          <w:color w:val="0D0D0D"/>
        </w:rPr>
      </w:pPr>
      <w:r>
        <w:rPr>
          <w:rFonts w:hint="eastAsia" w:ascii="宋体" w:hAnsi="宋体" w:eastAsia="宋体" w:cs="宋体"/>
          <w:color w:val="0D0D0D"/>
        </w:rPr>
        <w:t>1.</w:t>
      </w:r>
      <w:r>
        <w:rPr>
          <w:rFonts w:hint="eastAsia" w:ascii="宋体" w:hAnsi="宋体" w:eastAsia="宋体" w:cs="宋体"/>
          <w:color w:val="0D0D0D"/>
        </w:rPr>
        <w:t>存在明确的受法律保护对象，而不是仅凭业务标签判断。</w:t>
      </w:r>
    </w:p>
    <w:p>
      <w:pPr>
        <w:pStyle w:val="165"/>
        <w:spacing w:line="360" w:lineRule="auto"/>
        <w:rPr>
          <w:rFonts w:hint="eastAsia" w:ascii="宋体" w:hAnsi="宋体" w:eastAsia="宋体" w:cs="宋体"/>
          <w:color w:val="0D0D0D"/>
        </w:rPr>
      </w:pPr>
      <w:r>
        <w:rPr>
          <w:rFonts w:hint="eastAsia" w:ascii="宋体" w:hAnsi="宋体" w:eastAsia="宋体" w:cs="宋体"/>
          <w:color w:val="0D0D0D"/>
        </w:rPr>
        <w:t>2.</w:t>
      </w:r>
      <w:r>
        <w:rPr>
          <w:rFonts w:hint="eastAsia" w:ascii="宋体" w:hAnsi="宋体" w:eastAsia="宋体" w:cs="宋体"/>
          <w:color w:val="0D0D0D"/>
        </w:rPr>
        <w:t>法律规范或具体有效措施直接禁止当前的外部提供、披露、传输或处理行为。</w:t>
      </w:r>
    </w:p>
    <w:p>
      <w:pPr>
        <w:pStyle w:val="165"/>
        <w:spacing w:line="360" w:lineRule="auto"/>
        <w:rPr>
          <w:rFonts w:hint="eastAsia" w:ascii="宋体" w:hAnsi="宋体" w:eastAsia="宋体" w:cs="宋体"/>
          <w:color w:val="0D0D0D"/>
        </w:rPr>
      </w:pPr>
      <w:r>
        <w:rPr>
          <w:rFonts w:hint="eastAsia" w:ascii="宋体" w:hAnsi="宋体" w:eastAsia="宋体" w:cs="宋体"/>
          <w:color w:val="0D0D0D"/>
        </w:rPr>
        <w:t>3.</w:t>
      </w:r>
      <w:r>
        <w:rPr>
          <w:rFonts w:hint="eastAsia" w:ascii="宋体" w:hAnsi="宋体" w:eastAsia="宋体" w:cs="宋体"/>
          <w:color w:val="0D0D0D"/>
        </w:rPr>
        <w:t>该规范确实适用于当前主体、当前材料和当前处理方式。</w:t>
      </w:r>
    </w:p>
    <w:p>
      <w:pPr>
        <w:pStyle w:val="165"/>
        <w:spacing w:line="360" w:lineRule="auto"/>
        <w:rPr>
          <w:rFonts w:hint="eastAsia" w:ascii="宋体" w:hAnsi="宋体" w:eastAsia="宋体" w:cs="宋体"/>
          <w:color w:val="0D0D0D"/>
        </w:rPr>
      </w:pPr>
      <w:r>
        <w:rPr>
          <w:rFonts w:hint="eastAsia" w:ascii="宋体" w:hAnsi="宋体" w:eastAsia="宋体" w:cs="宋体"/>
          <w:color w:val="0D0D0D"/>
        </w:rPr>
        <w:t>4.</w:t>
      </w:r>
      <w:r>
        <w:rPr>
          <w:rFonts w:hint="eastAsia" w:ascii="宋体" w:hAnsi="宋体" w:eastAsia="宋体" w:cs="宋体"/>
          <w:color w:val="0D0D0D"/>
        </w:rPr>
        <w:t>删除无关内容、去除直接标识符、缩小范围等普通脱敏措施仍不能使当前行为脱离禁止范围；若经合法匿名化后已经不再涉及受禁止对象，应重新判断。</w:t>
      </w:r>
    </w:p>
    <w:p>
      <w:pPr>
        <w:pStyle w:val="4"/>
        <w:bidi w:val="0"/>
        <w:spacing w:line="360" w:lineRule="auto"/>
        <w:rPr>
          <w:rFonts w:hint="eastAsia" w:ascii="宋体" w:hAnsi="宋体" w:eastAsia="宋体" w:cs="宋体"/>
          <w:color w:val="0D0D0D"/>
        </w:rPr>
      </w:pPr>
      <w:r>
        <w:rPr>
          <w:rFonts w:hint="eastAsia" w:ascii="宋体" w:hAnsi="宋体" w:eastAsia="宋体" w:cs="宋体"/>
          <w:color w:val="0D0D0D"/>
        </w:rPr>
        <w:t>二、硬性禁止情形</w:t>
      </w:r>
    </w:p>
    <w:p>
      <w:pPr>
        <w:pStyle w:val="5"/>
        <w:bidi w:val="0"/>
        <w:spacing w:line="360" w:lineRule="auto"/>
        <w:rPr>
          <w:rFonts w:hint="eastAsia" w:ascii="宋体" w:hAnsi="宋体" w:eastAsia="宋体" w:cs="宋体"/>
          <w:color w:val="0D0D0D"/>
        </w:rPr>
      </w:pPr>
      <w:r>
        <w:rPr>
          <w:rFonts w:hint="eastAsia" w:ascii="宋体" w:hAnsi="宋体" w:eastAsia="宋体" w:cs="宋体"/>
          <w:color w:val="0D0D0D"/>
        </w:rPr>
        <w:t>（一）国家秘密：已经确认涉密且当前处理方式不符合保密要求</w:t>
      </w:r>
    </w:p>
    <w:p>
      <w:pPr>
        <w:pStyle w:val="165"/>
        <w:spacing w:line="360" w:lineRule="auto"/>
        <w:rPr>
          <w:rFonts w:hint="eastAsia" w:cs="宋体"/>
          <w:color w:val="0D0D0D"/>
          <w:lang w:val="en-US" w:eastAsia="zh-CN"/>
        </w:rPr>
      </w:pPr>
      <w:r>
        <w:rPr>
          <w:rFonts w:hint="eastAsia" w:ascii="宋体" w:hAnsi="宋体" w:eastAsia="宋体" w:cs="宋体"/>
          <w:color w:val="0D0D0D"/>
        </w:rPr>
        <w:t>现行</w:t>
      </w:r>
      <w:r>
        <w:rPr>
          <w:rFonts w:hint="eastAsia" w:ascii="宋体" w:hAnsi="宋体" w:eastAsia="宋体" w:cs="宋体"/>
          <w:color w:val="0D0D0D"/>
          <w:u w:val="single"/>
        </w:rPr>
        <w:t>《中华人民共和国保守国家秘密法》</w:t>
      </w:r>
      <w:r>
        <w:rPr>
          <w:rFonts w:hint="eastAsia" w:cs="宋体"/>
          <w:color w:val="0D0D0D"/>
          <w:lang w:val="en-US" w:eastAsia="zh-CN"/>
        </w:rPr>
        <w:t>第二十九条规定，禁止非法复制、记录、存储国家秘密。禁止未按照国家保密规定和标准采取有效保密措施，在互联网及其他公共信息网络或者有线和无线通信中传递国家秘密。第三十一条规定，任何组织和个人不得使用非涉密信息系统、非涉密信息设备存储或者处理国家秘密。</w:t>
      </w:r>
    </w:p>
    <w:p>
      <w:pPr>
        <w:pStyle w:val="165"/>
        <w:spacing w:line="360" w:lineRule="auto"/>
        <w:rPr>
          <w:rFonts w:hint="eastAsia" w:ascii="宋体" w:hAnsi="宋体" w:eastAsia="宋体" w:cs="宋体"/>
          <w:color w:val="0D0D0D"/>
        </w:rPr>
      </w:pPr>
      <w:r>
        <w:rPr>
          <w:rFonts w:hint="eastAsia" w:ascii="宋体" w:hAnsi="宋体" w:eastAsia="宋体" w:cs="宋体"/>
          <w:color w:val="0D0D0D"/>
        </w:rPr>
        <w:t>已经依法确认属于国家秘密的材料，不能交给普通互联网外部模型或非涉密信息系统处理。“加密上传”“姓名打码”并不能把非涉密处理环境变成涉密合规环境，也不能消除材料自身的国家秘密属性。</w:t>
      </w:r>
    </w:p>
    <w:p>
      <w:pPr>
        <w:pStyle w:val="165"/>
        <w:spacing w:line="360" w:lineRule="auto"/>
        <w:rPr>
          <w:rFonts w:hint="eastAsia" w:ascii="宋体" w:hAnsi="宋体" w:eastAsia="宋体" w:cs="宋体"/>
          <w:color w:val="0D0D0D"/>
        </w:rPr>
      </w:pPr>
      <w:r>
        <w:rPr>
          <w:rFonts w:hint="eastAsia" w:ascii="宋体" w:hAnsi="宋体" w:eastAsia="宋体" w:cs="宋体"/>
          <w:color w:val="0D0D0D"/>
        </w:rPr>
        <w:t>但系统不得把“政府文件”“内部文件”“重要材料”“涉政材料”自动推定为国家秘密。北京地方规则还明确要求机关、单位按照定密权限和国家规定的秘密范围定密，不得扩大范围确定国家秘密事项。因此，秘密属性本身不明确时，应人工核实定密依据，而不是直接宣布禁止。</w:t>
      </w:r>
    </w:p>
    <w:p>
      <w:pPr>
        <w:pStyle w:val="165"/>
        <w:spacing w:line="360" w:lineRule="auto"/>
        <w:rPr>
          <w:rFonts w:hint="eastAsia" w:ascii="宋体" w:hAnsi="宋体" w:eastAsia="宋体" w:cs="宋体"/>
          <w:color w:val="0D0D0D"/>
        </w:rPr>
      </w:pPr>
      <w:r>
        <w:rPr>
          <w:rFonts w:hint="eastAsia" w:ascii="宋体" w:hAnsi="宋体" w:eastAsia="宋体" w:cs="宋体"/>
          <w:color w:val="0D0D0D"/>
          <w:u w:val="single"/>
        </w:rPr>
        <w:t>《北京市保守国家秘密条例》</w:t>
      </w:r>
      <w:r>
        <w:rPr>
          <w:rFonts w:hint="eastAsia" w:ascii="宋体" w:hAnsi="宋体" w:eastAsia="宋体" w:cs="宋体"/>
          <w:color w:val="0D0D0D"/>
        </w:rPr>
        <w:t>第17条、第19条进一步限制使用非涉密信息设备、互联网及其他公共信息网络处理、传输国家秘密；该类规则与外部公共模型场景直接相关。</w:t>
      </w:r>
    </w:p>
    <w:p>
      <w:pPr>
        <w:pStyle w:val="5"/>
        <w:bidi w:val="0"/>
        <w:spacing w:line="360" w:lineRule="auto"/>
        <w:rPr>
          <w:rFonts w:hint="eastAsia" w:ascii="宋体" w:hAnsi="宋体" w:eastAsia="宋体" w:cs="宋体"/>
          <w:color w:val="0D0D0D"/>
        </w:rPr>
      </w:pPr>
      <w:r>
        <w:rPr>
          <w:rFonts w:hint="eastAsia" w:ascii="宋体" w:hAnsi="宋体" w:eastAsia="宋体" w:cs="宋体"/>
          <w:color w:val="0D0D0D"/>
        </w:rPr>
        <w:t>（二）传染病患者、病原携带者、疑似患者的个人隐私、个人信息：满足法定主体与信息条件时禁止泄露</w:t>
      </w:r>
    </w:p>
    <w:p>
      <w:pPr>
        <w:pStyle w:val="165"/>
        <w:spacing w:line="360" w:lineRule="auto"/>
        <w:rPr>
          <w:rFonts w:hint="eastAsia" w:ascii="宋体" w:hAnsi="宋体" w:eastAsia="宋体" w:cs="宋体"/>
          <w:color w:val="0D0D0D"/>
        </w:rPr>
      </w:pPr>
      <w:r>
        <w:rPr>
          <w:rFonts w:hint="eastAsia" w:ascii="宋体" w:hAnsi="宋体" w:eastAsia="宋体" w:cs="宋体"/>
          <w:color w:val="0D0D0D"/>
        </w:rPr>
        <w:t>现行</w:t>
      </w:r>
      <w:r>
        <w:rPr>
          <w:rFonts w:hint="eastAsia" w:ascii="宋体" w:hAnsi="宋体" w:eastAsia="宋体" w:cs="宋体"/>
          <w:color w:val="0D0D0D"/>
          <w:u w:val="single"/>
        </w:rPr>
        <w:t>《传染病防治法》</w:t>
      </w:r>
      <w:r>
        <w:rPr>
          <w:rFonts w:hint="eastAsia" w:ascii="宋体" w:hAnsi="宋体" w:eastAsia="宋体" w:cs="宋体"/>
          <w:color w:val="0D0D0D"/>
        </w:rPr>
        <w:t>第十六条规定，任何单位或者个人不得歧视传染病患者、病原携带者和疑似患者，不得泄露其个人隐私、个人信息。</w:t>
      </w:r>
    </w:p>
    <w:p>
      <w:pPr>
        <w:pStyle w:val="165"/>
        <w:spacing w:line="360" w:lineRule="auto"/>
        <w:rPr>
          <w:rFonts w:hint="eastAsia" w:ascii="宋体" w:hAnsi="宋体" w:eastAsia="宋体" w:cs="宋体"/>
          <w:color w:val="0D0D0D"/>
        </w:rPr>
      </w:pPr>
      <w:r>
        <w:rPr>
          <w:rFonts w:hint="eastAsia" w:ascii="宋体" w:hAnsi="宋体" w:eastAsia="宋体" w:cs="宋体"/>
          <w:color w:val="0D0D0D"/>
        </w:rPr>
        <w:t>当上传材料已经能够确认：第一，信息主体属于该条所列特定主体；第二，拟发送的内容属于其个人隐私或个人信息；第三，当前行为属于向外部处理主体披露；此时存在直接的禁止性依据。如果材料只有“患病”“传染病史”“长期病假”等模糊表述，无法确定是否属于第十六条的特定主体和保护范围，不能仅凭疾病名称直接认定禁止，应核实具体法律构成。</w:t>
      </w:r>
    </w:p>
    <w:p>
      <w:pPr>
        <w:pStyle w:val="165"/>
        <w:spacing w:line="360" w:lineRule="auto"/>
        <w:rPr>
          <w:rFonts w:hint="eastAsia" w:ascii="宋体" w:hAnsi="宋体" w:eastAsia="宋体" w:cs="宋体"/>
          <w:color w:val="0D0D0D"/>
        </w:rPr>
      </w:pPr>
      <w:r>
        <w:rPr>
          <w:rFonts w:hint="eastAsia" w:ascii="宋体" w:hAnsi="宋体" w:eastAsia="宋体" w:cs="宋体"/>
          <w:color w:val="0D0D0D"/>
        </w:rPr>
        <w:t>注意：第十三条的目的限制，即传染病防治相关个人信息处理具有特殊目的边界。案件事实摘要通常属于劳动争议法律服务目的，不能直接把传染病防治领域的信息处理规则机械套用到所有劳动争议医疗信息上。</w:t>
      </w:r>
    </w:p>
    <w:p>
      <w:pPr>
        <w:pStyle w:val="165"/>
        <w:spacing w:line="360" w:lineRule="auto"/>
        <w:rPr>
          <w:rFonts w:hint="eastAsia" w:ascii="宋体" w:hAnsi="宋体" w:eastAsia="宋体" w:cs="宋体"/>
          <w:color w:val="0D0D0D"/>
        </w:rPr>
      </w:pPr>
      <w:r>
        <w:rPr>
          <w:rFonts w:hint="eastAsia" w:ascii="宋体" w:hAnsi="宋体" w:eastAsia="宋体" w:cs="宋体"/>
          <w:color w:val="0D0D0D"/>
          <w:u w:val="single"/>
        </w:rPr>
        <w:t>《北京市突发公共卫生事件应急条例》</w:t>
      </w:r>
      <w:r>
        <w:rPr>
          <w:rFonts w:hint="eastAsia" w:ascii="宋体" w:hAnsi="宋体" w:eastAsia="宋体" w:cs="宋体"/>
          <w:color w:val="0D0D0D"/>
        </w:rPr>
        <w:t>第7条对在突发公共卫生事件应对工作中获取的个人信息规定了特别保护，并规定任何单位和个人不得泄露和滥用获悉的个人信息。因此，如果劳动争议材料中的健康、流调、密接等信息明确来源于北京突发公共卫生事件应对工作，需要单独判断，不得把该地方规则泛化到所有医疗信息。</w:t>
      </w:r>
    </w:p>
    <w:p>
      <w:pPr>
        <w:pStyle w:val="5"/>
        <w:bidi w:val="0"/>
        <w:spacing w:line="360" w:lineRule="auto"/>
        <w:rPr>
          <w:rFonts w:hint="eastAsia" w:ascii="宋体" w:hAnsi="宋体" w:eastAsia="宋体" w:cs="宋体"/>
          <w:color w:val="0D0D0D"/>
        </w:rPr>
      </w:pPr>
      <w:r>
        <w:rPr>
          <w:rFonts w:hint="eastAsia" w:ascii="宋体" w:hAnsi="宋体" w:eastAsia="宋体" w:cs="宋体"/>
          <w:color w:val="0D0D0D"/>
        </w:rPr>
        <w:t>（三）法院、仲裁机构采取了具体保密措施，并明确限制向当前第三方提供</w:t>
      </w:r>
    </w:p>
    <w:p>
      <w:pPr>
        <w:pStyle w:val="165"/>
        <w:spacing w:line="360" w:lineRule="auto"/>
        <w:rPr>
          <w:rFonts w:hint="eastAsia" w:ascii="宋体" w:hAnsi="宋体" w:eastAsia="宋体" w:cs="宋体"/>
          <w:color w:val="0D0D0D"/>
        </w:rPr>
      </w:pPr>
      <w:r>
        <w:rPr>
          <w:rFonts w:hint="eastAsia" w:ascii="宋体" w:hAnsi="宋体" w:eastAsia="宋体" w:cs="宋体"/>
          <w:color w:val="0D0D0D"/>
        </w:rPr>
        <w:t>劳动争议仲裁和民事诉讼均存在涉及国家秘密、商业秘密、个人隐私时不公开审理或采取保密措施的制度。</w:t>
      </w:r>
      <w:r>
        <w:rPr>
          <w:u w:val="single"/>
        </w:rPr>
        <w:t>《最高人民法院关于审理侵犯商业秘密民事案件适用法律若干问题的规定》</w:t>
      </w:r>
      <w:r>
        <w:t>第二十一条规定：对于涉及当事人或者案外人的商业秘密的证据、材料，经书面申请，人民法院应当在相关诉讼活动中采取必要的保密措施；违反保密措施要求，擅自披露商业秘密或者在诉讼活动之外使用或者允许他人使用在诉讼中接触、获取的商业秘密的，应当依法承担民事责任。</w:t>
      </w:r>
    </w:p>
    <w:p>
      <w:pPr>
        <w:pStyle w:val="165"/>
        <w:spacing w:line="360" w:lineRule="auto"/>
        <w:rPr>
          <w:rFonts w:hint="eastAsia" w:ascii="宋体" w:hAnsi="宋体" w:eastAsia="宋体" w:cs="宋体"/>
          <w:color w:val="0D0D0D"/>
        </w:rPr>
      </w:pPr>
      <w:r>
        <w:rPr>
          <w:rFonts w:hint="eastAsia" w:ascii="宋体" w:hAnsi="宋体" w:eastAsia="宋体" w:cs="宋体"/>
          <w:color w:val="0D0D0D"/>
        </w:rPr>
        <w:t>可能构成硬性禁止的是：针对具体案件或具体材料已经存在明确、有效的保密措施，而且该措施的内容足以覆盖当前向外部AI服务商提供的行为。例如明确限制特定材料的接触、复制、披露范围，或者要求仅特定主体在保密条件下阅看，而当前外部服务商不在允许范围内。</w:t>
      </w:r>
    </w:p>
    <w:p>
      <w:pPr>
        <w:pStyle w:val="165"/>
        <w:spacing w:line="360" w:lineRule="auto"/>
        <w:rPr>
          <w:rFonts w:hint="eastAsia" w:ascii="宋体" w:hAnsi="宋体" w:eastAsia="宋体" w:cs="宋体"/>
          <w:color w:val="0D0D0D"/>
        </w:rPr>
      </w:pPr>
      <w:r>
        <w:rPr>
          <w:rFonts w:hint="eastAsia" w:ascii="宋体" w:hAnsi="宋体" w:eastAsia="宋体" w:cs="宋体"/>
          <w:color w:val="0D0D0D"/>
        </w:rPr>
        <w:t>“不公开审理”“属于正卷”“涉商业秘密”这些标签本身不足以构成硬性禁止。必须找到具体的限制内容，并确认它确实限制当前第三方提供行为。</w:t>
      </w:r>
    </w:p>
    <w:p>
      <w:pPr>
        <w:pStyle w:val="5"/>
        <w:bidi w:val="0"/>
        <w:spacing w:line="360" w:lineRule="auto"/>
        <w:rPr>
          <w:rFonts w:hint="eastAsia" w:ascii="宋体" w:hAnsi="宋体" w:eastAsia="宋体" w:cs="宋体"/>
          <w:color w:val="0D0D0D"/>
        </w:rPr>
      </w:pPr>
      <w:r>
        <w:rPr>
          <w:rFonts w:hint="eastAsia" w:ascii="宋体" w:hAnsi="宋体" w:eastAsia="宋体" w:cs="宋体"/>
          <w:color w:val="0D0D0D"/>
        </w:rPr>
        <w:t>（四）商业秘密</w:t>
      </w:r>
      <w:r>
        <w:rPr>
          <w:rFonts w:hint="eastAsia" w:ascii="宋体" w:hAnsi="宋体" w:eastAsia="宋体" w:cs="宋体"/>
          <w:color w:val="0D0D0D"/>
        </w:rPr>
        <w:t>+</w:t>
      </w:r>
      <w:r>
        <w:rPr>
          <w:rFonts w:hint="eastAsia" w:ascii="宋体" w:hAnsi="宋体" w:eastAsia="宋体" w:cs="宋体"/>
          <w:color w:val="0D0D0D"/>
        </w:rPr>
        <w:t>明确禁止向当前第三方披露的有效保密义务</w:t>
      </w:r>
    </w:p>
    <w:p>
      <w:pPr>
        <w:pStyle w:val="165"/>
        <w:spacing w:line="360" w:lineRule="auto"/>
        <w:rPr>
          <w:rFonts w:hint="eastAsia" w:ascii="宋体" w:hAnsi="宋体" w:eastAsia="宋体" w:cs="宋体"/>
          <w:color w:val="0D0D0D"/>
        </w:rPr>
      </w:pPr>
      <w:r>
        <w:rPr>
          <w:rFonts w:hint="eastAsia" w:ascii="宋体" w:hAnsi="宋体" w:eastAsia="宋体" w:cs="宋体"/>
          <w:color w:val="0D0D0D"/>
          <w:u w:val="single"/>
        </w:rPr>
        <w:t>《中华人民共和国反不正当竞争法》</w:t>
      </w:r>
      <w:r>
        <w:rPr>
          <w:rFonts w:hint="eastAsia" w:ascii="宋体" w:hAnsi="宋体" w:eastAsia="宋体" w:cs="宋体"/>
          <w:color w:val="0D0D0D"/>
        </w:rPr>
        <w:t>第十条规定，经营者不得“违反保密义务或者违反权利人有关保守商业秘密的要求，披露、使用或者允许他人使用其所掌握的商业秘密”。</w:t>
      </w:r>
    </w:p>
    <w:p>
      <w:pPr>
        <w:pStyle w:val="165"/>
        <w:spacing w:line="360" w:lineRule="auto"/>
        <w:rPr>
          <w:rFonts w:hint="eastAsia" w:ascii="宋体" w:hAnsi="宋体" w:eastAsia="宋体" w:cs="宋体"/>
          <w:color w:val="0D0D0D"/>
        </w:rPr>
      </w:pPr>
      <w:r>
        <w:rPr>
          <w:rFonts w:hint="eastAsia" w:ascii="宋体" w:hAnsi="宋体" w:eastAsia="宋体" w:cs="宋体"/>
          <w:color w:val="0D0D0D"/>
        </w:rPr>
        <w:t>在劳动争议中，常见于竞业限制、离职争议、客户名单、技术资料、源代码、报价体系、经营数据等材料。判断时应先确认是否满足商业秘密构成，再确认是否存在有效的保密义务，以及该义务是否明确禁止向当前第三方提供。</w:t>
      </w:r>
    </w:p>
    <w:p>
      <w:pPr>
        <w:pStyle w:val="165"/>
        <w:spacing w:line="360" w:lineRule="auto"/>
        <w:rPr>
          <w:rFonts w:hint="eastAsia" w:ascii="宋体" w:hAnsi="宋体" w:eastAsia="宋体" w:cs="宋体"/>
          <w:color w:val="0D0D0D"/>
        </w:rPr>
      </w:pPr>
      <w:r>
        <w:rPr>
          <w:rFonts w:hint="eastAsia" w:ascii="宋体" w:hAnsi="宋体" w:eastAsia="宋体" w:cs="宋体"/>
          <w:color w:val="0D0D0D"/>
        </w:rPr>
        <w:t>只有当</w:t>
      </w:r>
      <w:r>
        <w:rPr>
          <w:rFonts w:hint="eastAsia" w:ascii="宋体" w:hAnsi="宋体" w:eastAsia="宋体" w:cs="宋体"/>
          <w:b/>
          <w:bCs/>
          <w:color w:val="FF0000"/>
          <w:u w:val="none"/>
        </w:rPr>
        <w:t>商业秘密属性、有效保密义务/明确禁止、当前第三方不在允许范围、不存在合法授权或例外</w:t>
      </w:r>
      <w:r>
        <w:rPr>
          <w:rFonts w:hint="eastAsia" w:ascii="宋体" w:hAnsi="宋体" w:eastAsia="宋体" w:cs="宋体"/>
          <w:color w:val="0D0D0D"/>
        </w:rPr>
        <w:t>四项条件均成立时，才有充分理由认定当前外部提供受到明确禁止。</w:t>
      </w:r>
    </w:p>
    <w:p>
      <w:pPr>
        <w:pStyle w:val="165"/>
        <w:spacing w:line="360" w:lineRule="auto"/>
        <w:rPr>
          <w:rFonts w:hint="eastAsia" w:ascii="宋体" w:hAnsi="宋体" w:eastAsia="宋体" w:cs="宋体"/>
          <w:color w:val="0D0D0D"/>
        </w:rPr>
      </w:pPr>
      <w:r>
        <w:rPr>
          <w:u w:val="single"/>
        </w:rPr>
        <w:t>《北京市知识产权保护条例》</w:t>
      </w:r>
      <w:r>
        <w:t>第17条明确规定，行政机关、司法机关以及仲裁、调解等服务机构及其工作人员对履职、提供服务过程中知悉的商业秘密负有保密义务，不得泄露或者非法向他人提供。该规则应严格按照其主体范围适用，不能无条件扩张为对所有律师事务所的同等禁止。</w:t>
      </w:r>
    </w:p>
    <w:p>
      <w:pPr>
        <w:pStyle w:val="5"/>
        <w:bidi w:val="0"/>
        <w:spacing w:line="360" w:lineRule="auto"/>
        <w:rPr>
          <w:rFonts w:hint="eastAsia" w:ascii="宋体" w:hAnsi="宋体" w:eastAsia="宋体" w:cs="宋体"/>
          <w:color w:val="0D0D0D"/>
        </w:rPr>
      </w:pPr>
      <w:r>
        <w:rPr>
          <w:rFonts w:hint="eastAsia" w:ascii="宋体" w:hAnsi="宋体" w:eastAsia="宋体" w:cs="宋体"/>
          <w:color w:val="0D0D0D"/>
        </w:rPr>
        <w:t>（五）其他法律明确禁止当前披露行为的特殊情形</w:t>
      </w:r>
    </w:p>
    <w:p>
      <w:pPr>
        <w:pStyle w:val="165"/>
        <w:spacing w:line="360" w:lineRule="auto"/>
        <w:rPr>
          <w:rFonts w:hint="eastAsia" w:ascii="宋体" w:hAnsi="宋体" w:eastAsia="宋体" w:cs="宋体"/>
          <w:color w:val="0D0D0D"/>
        </w:rPr>
      </w:pPr>
      <w:r>
        <w:rPr>
          <w:rFonts w:hint="eastAsia" w:ascii="宋体" w:hAnsi="宋体" w:eastAsia="宋体" w:cs="宋体"/>
          <w:color w:val="0D0D0D"/>
        </w:rPr>
        <w:t>劳动争议案件可能出现其他特别法保护对象，例如特定行业、特定行政管理活动中的法定保密信息。此类情形不能建立一个脱离具体法律构成的敏感信息大类。应当做到一类一法、一种行为对应具体禁止条款。</w:t>
      </w:r>
    </w:p>
    <w:p>
      <w:pPr>
        <w:pStyle w:val="165"/>
        <w:spacing w:line="360" w:lineRule="auto"/>
        <w:rPr>
          <w:rFonts w:hint="eastAsia" w:ascii="宋体" w:hAnsi="宋体" w:eastAsia="宋体" w:cs="宋体"/>
          <w:color w:val="0D0D0D"/>
        </w:rPr>
      </w:pPr>
      <w:r>
        <w:rPr>
          <w:rFonts w:hint="eastAsia" w:ascii="宋体" w:hAnsi="宋体" w:eastAsia="宋体" w:cs="宋体"/>
          <w:color w:val="0D0D0D"/>
        </w:rPr>
        <w:t>如果系统无法确认特别法的适用对象、适用行为或事实前提，不应直接认定为禁止，而应进入依据人工核实程序。</w:t>
      </w:r>
    </w:p>
    <w:p>
      <w:pPr>
        <w:pStyle w:val="4"/>
        <w:bidi w:val="0"/>
        <w:spacing w:line="360" w:lineRule="auto"/>
        <w:rPr>
          <w:rFonts w:hint="eastAsia" w:ascii="宋体" w:hAnsi="宋体" w:eastAsia="宋体" w:cs="宋体"/>
          <w:color w:val="0D0D0D"/>
        </w:rPr>
      </w:pPr>
      <w:r>
        <w:rPr>
          <w:rFonts w:hint="eastAsia" w:ascii="宋体" w:hAnsi="宋体" w:eastAsia="宋体" w:cs="宋体"/>
          <w:color w:val="0D0D0D"/>
        </w:rPr>
        <w:t>三、以下信息不能仅凭类别直接认定为坚决不能外发，应进一步判断</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40" w:line="360" w:lineRule="auto"/>
              <w:rPr>
                <w:rFonts w:hint="eastAsia" w:ascii="宋体" w:hAnsi="宋体" w:eastAsia="宋体" w:cs="宋体"/>
                <w:b/>
                <w:bCs/>
                <w:color w:val="0D0D0D"/>
                <w:sz w:val="18"/>
                <w:szCs w:val="18"/>
                <w:highlight w:val="none"/>
              </w:rPr>
            </w:pPr>
            <w:r>
              <w:rPr>
                <w:rFonts w:hint="eastAsia" w:ascii="宋体" w:hAnsi="宋体" w:eastAsia="宋体" w:cs="宋体"/>
                <w:b/>
                <w:bCs/>
                <w:color w:val="0D0D0D"/>
                <w:sz w:val="18"/>
                <w:szCs w:val="18"/>
                <w:highlight w:val="none"/>
              </w:rPr>
              <w:t>信息</w:t>
            </w:r>
            <w:r>
              <w:rPr>
                <w:rFonts w:hint="eastAsia" w:ascii="宋体" w:hAnsi="宋体" w:eastAsia="宋体" w:cs="宋体"/>
                <w:b/>
                <w:bCs/>
                <w:color w:val="0D0D0D"/>
                <w:sz w:val="18"/>
                <w:szCs w:val="18"/>
                <w:highlight w:val="none"/>
              </w:rPr>
              <w:t>/材料</w:t>
            </w:r>
          </w:p>
        </w:tc>
        <w:tc>
          <w:tcPr>
            <w:tcW w:w="3135" w:type="dxa"/>
            <w:vAlign w:val="center"/>
          </w:tcPr>
          <w:p>
            <w:pPr>
              <w:spacing w:after="40" w:line="360" w:lineRule="auto"/>
              <w:rPr>
                <w:rFonts w:hint="eastAsia" w:ascii="宋体" w:hAnsi="宋体" w:eastAsia="宋体" w:cs="宋体"/>
                <w:color w:val="0D0D0D"/>
                <w:highlight w:val="none"/>
              </w:rPr>
            </w:pPr>
            <w:r>
              <w:rPr>
                <w:rFonts w:hint="eastAsia" w:ascii="宋体" w:hAnsi="宋体" w:eastAsia="宋体" w:cs="宋体"/>
                <w:b/>
                <w:bCs/>
                <w:color w:val="0D0D0D"/>
                <w:sz w:val="18"/>
                <w:szCs w:val="18"/>
                <w:highlight w:val="none"/>
              </w:rPr>
              <w:t>可能存疑的地方</w:t>
            </w:r>
          </w:p>
        </w:tc>
        <w:tc>
          <w:tcPr>
            <w:tcW w:w="3135" w:type="dxa"/>
            <w:vAlign w:val="center"/>
          </w:tcPr>
          <w:p>
            <w:pPr>
              <w:spacing w:after="40" w:line="360" w:lineRule="auto"/>
              <w:rPr>
                <w:rFonts w:hint="eastAsia" w:ascii="宋体" w:hAnsi="宋体" w:eastAsia="宋体" w:cs="宋体"/>
                <w:b/>
                <w:bCs/>
                <w:color w:val="0D0D0D"/>
                <w:sz w:val="18"/>
                <w:szCs w:val="18"/>
                <w:highlight w:val="none"/>
              </w:rPr>
            </w:pPr>
            <w:r>
              <w:rPr>
                <w:rFonts w:hint="eastAsia" w:ascii="宋体" w:hAnsi="宋体" w:eastAsia="宋体" w:cs="宋体"/>
                <w:b/>
                <w:bCs/>
                <w:color w:val="0D0D0D"/>
                <w:sz w:val="18"/>
                <w:szCs w:val="18"/>
                <w:highlight w:val="none"/>
              </w:rPr>
              <w:t>进一步判断的具体内容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不满14周岁未成年人个人信息</w:t>
            </w:r>
          </w:p>
        </w:tc>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属于敏感个人信息并受特别保护，但法律并未规定所有未成年人信息绝对不得由第三方处理。</w:t>
            </w:r>
          </w:p>
        </w:tc>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年龄、处理基础、监护人同意或其他法定依据、必要性、是否有特别司法/行政限制。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医疗健康、职业病资料</w:t>
            </w:r>
          </w:p>
        </w:tc>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属于敏感个人信息；职业健康档案有专门保存和本人获取规则，但并非一律禁止为合法目的处理。</w:t>
            </w:r>
          </w:p>
        </w:tc>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是否为案件必要事实、特别法限制、能否删去无关病历细节、授权和访问范围。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严重传染病相关信息</w:t>
            </w:r>
          </w:p>
        </w:tc>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只有满足特定主体、受保护信息和披露行为等构成，才能适用明确禁止。</w:t>
            </w:r>
          </w:p>
        </w:tc>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是否属于患者/携带者/疑似患者；信息是否来源于传染病防治或应急工作；当前提供是否构成泄露。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商业秘密</w:t>
            </w:r>
          </w:p>
        </w:tc>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法律禁止的是特定非法获取、披露、使用以及违反保密义务等行为，并非规定商业秘密绝对不能由受托第三方处理。</w:t>
            </w:r>
          </w:p>
        </w:tc>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商业秘密构成、保密义务、具体保密措施、第三方处理权限。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工资、社保、银行账户</w:t>
            </w:r>
          </w:p>
        </w:tc>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可能属于个人信息或敏感个人信息，但法律允许在具有合法基础、充分必要性和保护措施的条件下处理。</w:t>
            </w:r>
          </w:p>
        </w:tc>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任务必要性、合法处理基础、是否需要完整账号、最小化程度。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诉讼/仲裁材料</w:t>
            </w:r>
          </w:p>
        </w:tc>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案件材料可能有保密属性，但“有权查阅/复制”与“有权向第三方提供”不同。</w:t>
            </w:r>
          </w:p>
        </w:tc>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具体保密措施、材料来源、授权范围、外部接收方角色。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律师执业中知悉的信息</w:t>
            </w:r>
          </w:p>
        </w:tc>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律师负有保密义务，但不能仅凭律师保密条款推导出任何技术服务商均不得接触。</w:t>
            </w:r>
          </w:p>
        </w:tc>
        <w:tc>
          <w:tcPr>
            <w:tcW w:w="3135" w:type="dxa"/>
            <w:vAlign w:val="center"/>
          </w:tcPr>
          <w:p>
            <w:pPr>
              <w:spacing w:after="20" w:line="360" w:lineRule="auto"/>
              <w:rPr>
                <w:rFonts w:hint="eastAsia" w:ascii="宋体" w:hAnsi="宋体" w:eastAsia="宋体" w:cs="宋体"/>
                <w:color w:val="0D0D0D"/>
                <w:highlight w:val="none"/>
              </w:rPr>
            </w:pPr>
            <w:r>
              <w:rPr>
                <w:rFonts w:ascii="宋体" w:hAnsi="宋体" w:eastAsia="宋体"/>
                <w:b w:val="0"/>
                <w:sz w:val="16"/>
              </w:rPr>
              <w:t>办案必要性、委托/提供关系、授权、保密安排、是否另有特别限制。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20" w:line="360" w:lineRule="auto"/>
              <w:rPr>
                <w:rFonts w:hint="eastAsia" w:ascii="宋体" w:hAnsi="宋体" w:eastAsia="宋体" w:cs="宋体"/>
                <w:b w:val="0"/>
                <w:color w:val="0D0D0D"/>
                <w:sz w:val="18"/>
                <w:highlight w:val="none"/>
              </w:rPr>
            </w:pPr>
            <w:r>
              <w:rPr>
                <w:rFonts w:ascii="宋体" w:hAnsi="宋体" w:eastAsia="宋体"/>
                <w:b w:val="0"/>
                <w:sz w:val="16"/>
              </w:rPr>
              <w:t>公开裁判文书或公开信息</w:t>
            </w:r>
          </w:p>
        </w:tc>
        <w:tc>
          <w:tcPr>
            <w:tcW w:w="3135" w:type="dxa"/>
            <w:vAlign w:val="center"/>
          </w:tcPr>
          <w:p>
            <w:pPr>
              <w:spacing w:after="20" w:line="360" w:lineRule="auto"/>
              <w:rPr>
                <w:rFonts w:hint="eastAsia" w:ascii="宋体" w:hAnsi="宋体" w:eastAsia="宋体" w:cs="宋体"/>
                <w:b w:val="0"/>
                <w:color w:val="0D0D0D"/>
                <w:sz w:val="18"/>
                <w:highlight w:val="none"/>
              </w:rPr>
            </w:pPr>
            <w:r>
              <w:rPr>
                <w:rFonts w:ascii="宋体" w:hAnsi="宋体" w:eastAsia="宋体"/>
                <w:b w:val="0"/>
                <w:sz w:val="16"/>
              </w:rPr>
              <w:t>已经公开并不等于可无限制二次处理。</w:t>
            </w:r>
          </w:p>
        </w:tc>
        <w:tc>
          <w:tcPr>
            <w:tcW w:w="3135" w:type="dxa"/>
            <w:vAlign w:val="center"/>
          </w:tcPr>
          <w:p>
            <w:pPr>
              <w:spacing w:after="20" w:line="360" w:lineRule="auto"/>
              <w:rPr>
                <w:rFonts w:hint="eastAsia" w:ascii="宋体" w:hAnsi="宋体" w:eastAsia="宋体" w:cs="宋体"/>
                <w:b w:val="0"/>
                <w:color w:val="0D0D0D"/>
                <w:sz w:val="18"/>
                <w:highlight w:val="none"/>
              </w:rPr>
            </w:pPr>
            <w:r>
              <w:rPr>
                <w:rFonts w:ascii="宋体" w:hAnsi="宋体" w:eastAsia="宋体"/>
                <w:b w:val="0"/>
                <w:sz w:val="16"/>
              </w:rPr>
              <w:t>是否属于合法公开、处理是否在合理范围、是否对个人权益有重大影响。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20" w:line="360" w:lineRule="auto"/>
              <w:rPr>
                <w:rFonts w:ascii="宋体" w:hAnsi="宋体" w:eastAsia="宋体"/>
                <w:b w:val="0"/>
                <w:sz w:val="16"/>
              </w:rPr>
            </w:pPr>
            <w:r>
              <w:rPr>
                <w:rFonts w:ascii="宋体" w:hAnsi="宋体" w:eastAsia="宋体"/>
                <w:b w:val="0"/>
                <w:sz w:val="16"/>
              </w:rPr>
              <w:t>境外AI或境外品牌</w:t>
            </w:r>
          </w:p>
        </w:tc>
        <w:tc>
          <w:tcPr>
            <w:tcW w:w="3135" w:type="dxa"/>
            <w:vAlign w:val="center"/>
          </w:tcPr>
          <w:p>
            <w:pPr>
              <w:spacing w:after="20" w:line="360" w:lineRule="auto"/>
              <w:rPr>
                <w:rFonts w:ascii="宋体" w:hAnsi="宋体" w:eastAsia="宋体"/>
                <w:b w:val="0"/>
                <w:sz w:val="16"/>
              </w:rPr>
            </w:pPr>
            <w:r>
              <w:rPr>
                <w:rFonts w:ascii="宋体" w:hAnsi="宋体" w:eastAsia="宋体"/>
                <w:b w:val="0"/>
                <w:sz w:val="16"/>
              </w:rPr>
              <w:t>境外主体身份本身不等于发生个人信息出境。</w:t>
            </w:r>
          </w:p>
        </w:tc>
        <w:tc>
          <w:tcPr>
            <w:tcW w:w="3135" w:type="dxa"/>
            <w:vAlign w:val="center"/>
          </w:tcPr>
          <w:p>
            <w:pPr>
              <w:spacing w:after="20" w:line="360" w:lineRule="auto"/>
              <w:rPr>
                <w:rFonts w:ascii="宋体" w:hAnsi="宋体" w:eastAsia="宋体"/>
                <w:b w:val="0"/>
                <w:sz w:val="16"/>
              </w:rPr>
            </w:pPr>
            <w:r>
              <w:rPr>
                <w:rFonts w:ascii="宋体" w:hAnsi="宋体" w:eastAsia="宋体"/>
                <w:b w:val="0"/>
                <w:sz w:val="16"/>
              </w:rPr>
              <w:t>实际数据流向、存储地点、境外访问、出境豁免/评估/标准合同/认证等路径。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20" w:line="360" w:lineRule="auto"/>
              <w:rPr>
                <w:rFonts w:ascii="宋体" w:hAnsi="宋体" w:eastAsia="宋体"/>
                <w:b w:val="0"/>
                <w:sz w:val="16"/>
              </w:rPr>
            </w:pPr>
            <w:r>
              <w:rPr>
                <w:rFonts w:ascii="宋体" w:hAnsi="宋体" w:eastAsia="宋体"/>
                <w:b w:val="0"/>
                <w:sz w:val="16"/>
              </w:rPr>
              <w:t>工作秘密</w:t>
            </w:r>
          </w:p>
        </w:tc>
        <w:tc>
          <w:tcPr>
            <w:tcW w:w="3135" w:type="dxa"/>
            <w:vAlign w:val="center"/>
          </w:tcPr>
          <w:p>
            <w:pPr>
              <w:spacing w:after="20" w:line="360" w:lineRule="auto"/>
              <w:rPr>
                <w:rFonts w:ascii="宋体" w:hAnsi="宋体" w:eastAsia="宋体"/>
                <w:b w:val="0"/>
                <w:sz w:val="16"/>
              </w:rPr>
            </w:pPr>
            <w:r>
              <w:rPr>
                <w:rFonts w:ascii="宋体" w:hAnsi="宋体" w:eastAsia="宋体"/>
                <w:b w:val="0"/>
                <w:sz w:val="16"/>
              </w:rPr>
              <w:t>工作秘密不同于国家秘密，本身不当然适用国家秘密的绝对禁止。</w:t>
            </w:r>
          </w:p>
        </w:tc>
        <w:tc>
          <w:tcPr>
            <w:tcW w:w="3135" w:type="dxa"/>
            <w:vAlign w:val="center"/>
          </w:tcPr>
          <w:p>
            <w:pPr>
              <w:spacing w:after="20" w:line="360" w:lineRule="auto"/>
              <w:rPr>
                <w:rFonts w:ascii="宋体" w:hAnsi="宋体" w:eastAsia="宋体"/>
                <w:b w:val="0"/>
                <w:sz w:val="16"/>
              </w:rPr>
            </w:pPr>
            <w:r>
              <w:rPr>
                <w:rFonts w:ascii="宋体" w:hAnsi="宋体" w:eastAsia="宋体"/>
                <w:b w:val="0"/>
                <w:sz w:val="16"/>
              </w:rPr>
              <w:t>是否确属工作秘密、具体管理制度、外部提供限制是否明确。</w:t>
            </w:r>
          </w:p>
        </w:tc>
      </w:tr>
    </w:tbl>
    <w:p>
      <w:pPr>
        <w:pStyle w:val="4"/>
        <w:bidi w:val="0"/>
        <w:spacing w:line="360" w:lineRule="auto"/>
        <w:rPr>
          <w:rFonts w:hint="eastAsia" w:ascii="宋体" w:hAnsi="宋体" w:eastAsia="宋体" w:cs="宋体"/>
          <w:color w:val="0D0D0D"/>
        </w:rPr>
      </w:pPr>
      <w:r>
        <w:rPr>
          <w:rFonts w:hint="eastAsia" w:ascii="宋体" w:hAnsi="宋体" w:eastAsia="宋体" w:cs="宋体"/>
          <w:color w:val="0D0D0D"/>
        </w:rPr>
        <w:t>四、必须人工复核的情形</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40" w:line="360" w:lineRule="auto"/>
              <w:rPr>
                <w:rFonts w:hint="eastAsia" w:ascii="宋体" w:hAnsi="宋体" w:eastAsia="宋体" w:cs="宋体"/>
                <w:b/>
                <w:bCs/>
                <w:color w:val="0D0D0D"/>
                <w:sz w:val="18"/>
                <w:szCs w:val="18"/>
              </w:rPr>
            </w:pPr>
            <w:r>
              <w:rPr>
                <w:rFonts w:hint="eastAsia" w:ascii="宋体" w:hAnsi="宋体" w:eastAsia="宋体" w:cs="宋体"/>
                <w:b/>
                <w:bCs/>
                <w:color w:val="0D0D0D"/>
                <w:sz w:val="18"/>
                <w:szCs w:val="18"/>
              </w:rPr>
              <w:t>情形</w:t>
            </w:r>
          </w:p>
        </w:tc>
        <w:tc>
          <w:tcPr>
            <w:tcW w:w="3135" w:type="dxa"/>
            <w:vAlign w:val="center"/>
          </w:tcPr>
          <w:p>
            <w:pPr>
              <w:spacing w:after="40" w:line="360" w:lineRule="auto"/>
              <w:rPr>
                <w:rFonts w:hint="eastAsia" w:ascii="宋体" w:hAnsi="宋体" w:eastAsia="宋体" w:cs="宋体"/>
                <w:b/>
                <w:bCs/>
                <w:color w:val="0D0D0D"/>
                <w:sz w:val="18"/>
                <w:szCs w:val="18"/>
              </w:rPr>
            </w:pPr>
            <w:r>
              <w:rPr>
                <w:rFonts w:hint="eastAsia" w:ascii="宋体" w:hAnsi="宋体" w:eastAsia="宋体" w:cs="宋体"/>
                <w:b/>
                <w:bCs/>
                <w:color w:val="0D0D0D"/>
                <w:sz w:val="18"/>
                <w:szCs w:val="18"/>
              </w:rPr>
              <w:t>可能存疑的地方</w:t>
            </w:r>
          </w:p>
        </w:tc>
        <w:tc>
          <w:tcPr>
            <w:tcW w:w="3135" w:type="dxa"/>
            <w:vAlign w:val="center"/>
          </w:tcPr>
          <w:p>
            <w:pPr>
              <w:spacing w:after="40" w:line="360" w:lineRule="auto"/>
              <w:rPr>
                <w:rFonts w:hint="eastAsia" w:ascii="宋体" w:hAnsi="宋体" w:eastAsia="宋体" w:cs="宋体"/>
                <w:b/>
                <w:bCs/>
                <w:color w:val="0D0D0D"/>
                <w:sz w:val="18"/>
                <w:szCs w:val="18"/>
              </w:rPr>
            </w:pPr>
            <w:r>
              <w:rPr>
                <w:rFonts w:hint="eastAsia" w:ascii="宋体" w:hAnsi="宋体" w:eastAsia="宋体" w:cs="宋体"/>
                <w:b/>
                <w:bCs/>
                <w:color w:val="0D0D0D"/>
                <w:sz w:val="18"/>
                <w:szCs w:val="18"/>
              </w:rPr>
              <w:t>人工复核的具体内容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特别法是否适用无法确认</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同一事实可能同时涉及劳动法、个保法、传染病防治等规则</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具体法条、适用对象、适用行为、事实是否满足构成要件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处分权限不明确</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能够查看、复制案件材料不当然意味着可以向任意第三方提供</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授权人、授权范围、是否包含第三方提供/委托处理、是否存在相反限制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保密义务范围不明确</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存在NDA或合同保密条款，但条款可能只限制公开披露或竞争性使用</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是否禁止向当前AI服务商提供、是否允许受托处理、是否有例外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司法/仲裁保密措施不明确</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“不公开审理”等一般性描述无法判断是否限制当前第三方</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具体决定、保密令、承诺书、限制接触/复制的范围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AI服务商处理关系不明确</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委托处理与向其他处理者提供适用规则不同</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服务商法律角色、处理目的、保存、训练、人工访问、再委托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是否发生跨境处理无法确认</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境外公司、境外品牌不必然等于当前数据已经跨境</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数据实际流向、存储和访问地点、跨境机制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规则之间存在真实冲突</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不同规范可能分别约束不同主体或不同处理行为</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各规范效力、适用范围、特别法关系、是否能通过最小化协调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去标识化后能否重新识别无法确认</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删除姓名不代表组合信息一定无法识别</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直接标识符、准标识符、组合识别风险、信息主体归属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决定性事实缺失</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法律结论所需的关键事实没有出现在当前材料中</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补充何种事实才能完成法律判断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40" w:line="360" w:lineRule="auto"/>
              <w:rPr>
                <w:rFonts w:hint="eastAsia" w:ascii="宋体" w:hAnsi="宋体" w:eastAsia="宋体" w:cs="宋体"/>
                <w:b w:val="0"/>
                <w:color w:val="0D0D0D"/>
                <w:sz w:val="18"/>
              </w:rPr>
            </w:pPr>
            <w:r>
              <w:rPr>
                <w:rFonts w:hint="eastAsia" w:ascii="宋体" w:hAnsi="宋体" w:eastAsia="宋体" w:cs="宋体"/>
                <w:b w:val="0"/>
                <w:color w:val="0D0D0D"/>
                <w:sz w:val="18"/>
              </w:rPr>
              <w:t>是否属于国家秘密无法确认</w:t>
            </w:r>
          </w:p>
        </w:tc>
        <w:tc>
          <w:tcPr>
            <w:tcW w:w="3135" w:type="dxa"/>
            <w:vAlign w:val="center"/>
          </w:tcPr>
          <w:p>
            <w:pPr>
              <w:spacing w:after="40" w:line="360" w:lineRule="auto"/>
              <w:rPr>
                <w:rFonts w:hint="eastAsia" w:ascii="宋体" w:hAnsi="宋体" w:eastAsia="宋体" w:cs="宋体"/>
                <w:b w:val="0"/>
                <w:color w:val="0D0D0D"/>
                <w:sz w:val="18"/>
              </w:rPr>
            </w:pPr>
            <w:r>
              <w:rPr>
                <w:rFonts w:hint="eastAsia" w:ascii="宋体" w:hAnsi="宋体" w:eastAsia="宋体" w:cs="宋体"/>
                <w:b w:val="0"/>
                <w:color w:val="0D0D0D"/>
                <w:sz w:val="18"/>
              </w:rPr>
              <w:t>“内部”“重要”“涉政”等标签不足以证明法定秘密属性</w:t>
            </w:r>
          </w:p>
        </w:tc>
        <w:tc>
          <w:tcPr>
            <w:tcW w:w="3135" w:type="dxa"/>
            <w:vAlign w:val="center"/>
          </w:tcPr>
          <w:p>
            <w:pPr>
              <w:spacing w:after="40" w:line="360" w:lineRule="auto"/>
              <w:rPr>
                <w:rFonts w:hint="eastAsia" w:ascii="宋体" w:hAnsi="宋体" w:eastAsia="宋体" w:cs="宋体"/>
                <w:b w:val="0"/>
                <w:color w:val="0D0D0D"/>
                <w:sz w:val="18"/>
              </w:rPr>
            </w:pPr>
            <w:r>
              <w:rPr>
                <w:rFonts w:hint="eastAsia" w:ascii="宋体" w:hAnsi="宋体" w:eastAsia="宋体" w:cs="宋体"/>
                <w:b w:val="0"/>
                <w:color w:val="0D0D0D"/>
                <w:sz w:val="18"/>
              </w:rPr>
              <w:t>秘密属性、定密依据、涉密等级、当前处理环境是否满足保密要求</w:t>
            </w:r>
          </w:p>
        </w:tc>
      </w:tr>
    </w:tbl>
    <w:p>
      <w:pPr>
        <w:pStyle w:val="4"/>
        <w:bidi w:val="0"/>
        <w:spacing w:line="360" w:lineRule="auto"/>
        <w:rPr>
          <w:rFonts w:hint="eastAsia" w:ascii="宋体" w:hAnsi="宋体" w:eastAsia="宋体" w:cs="宋体"/>
          <w:color w:val="0D0D0D"/>
        </w:rPr>
      </w:pPr>
      <w:r>
        <w:rPr>
          <w:rFonts w:hint="eastAsia" w:ascii="宋体" w:hAnsi="宋体" w:eastAsia="宋体" w:cs="宋体"/>
          <w:color w:val="0D0D0D"/>
        </w:rPr>
        <w:t>五、规则冲突时的处理要求</w:t>
      </w:r>
    </w:p>
    <w:p>
      <w:pPr>
        <w:pStyle w:val="165"/>
        <w:spacing w:line="360" w:lineRule="auto"/>
        <w:rPr>
          <w:rFonts w:hint="eastAsia" w:ascii="宋体" w:hAnsi="宋体" w:eastAsia="宋体" w:cs="宋体"/>
          <w:color w:val="0D0D0D"/>
        </w:rPr>
      </w:pPr>
      <w:r>
        <w:rPr>
          <w:rFonts w:hint="eastAsia" w:ascii="宋体" w:hAnsi="宋体" w:eastAsia="宋体" w:cs="宋体"/>
          <w:color w:val="0D0D0D"/>
        </w:rPr>
        <w:t>1.</w:t>
      </w:r>
      <w:r>
        <w:rPr>
          <w:rFonts w:hint="eastAsia" w:ascii="宋体" w:hAnsi="宋体" w:eastAsia="宋体" w:cs="宋体"/>
          <w:color w:val="0D0D0D"/>
        </w:rPr>
        <w:t>先确定保护对象：是个人信息、敏感个人信息、隐私、商业秘密、国家秘密，还是受到具体程序保密措施保护的材料。</w:t>
      </w:r>
    </w:p>
    <w:p>
      <w:pPr>
        <w:pStyle w:val="165"/>
        <w:spacing w:line="360" w:lineRule="auto"/>
        <w:ind w:left="283" w:hanging="283"/>
        <w:rPr>
          <w:rFonts w:hint="eastAsia" w:ascii="宋体" w:hAnsi="宋体" w:eastAsia="宋体" w:cs="宋体"/>
          <w:color w:val="0D0D0D"/>
        </w:rPr>
      </w:pPr>
      <w:r>
        <w:rPr>
          <w:rFonts w:hint="eastAsia" w:ascii="宋体" w:hAnsi="宋体" w:eastAsia="宋体" w:cs="宋体"/>
          <w:color w:val="0D0D0D"/>
        </w:rPr>
        <w:t>2.</w:t>
      </w:r>
      <w:r>
        <w:rPr>
          <w:rFonts w:hint="eastAsia" w:ascii="宋体" w:hAnsi="宋体" w:eastAsia="宋体" w:cs="宋体"/>
          <w:color w:val="0D0D0D"/>
        </w:rPr>
        <w:t>再确定处理行为：是本地存储、委托处理、向其他个人信息处理者提供、公开披露，还是跨境提</w:t>
      </w:r>
    </w:p>
    <w:p>
      <w:pPr>
        <w:pStyle w:val="165"/>
        <w:spacing w:line="360" w:lineRule="auto"/>
        <w:rPr>
          <w:rFonts w:hint="eastAsia" w:ascii="宋体" w:hAnsi="宋体" w:eastAsia="宋体" w:cs="宋体"/>
          <w:color w:val="0D0D0D"/>
        </w:rPr>
      </w:pPr>
      <w:r>
        <w:rPr>
          <w:rFonts w:hint="eastAsia" w:ascii="宋体" w:hAnsi="宋体" w:eastAsia="宋体" w:cs="宋体"/>
          <w:color w:val="0D0D0D"/>
        </w:rPr>
        <w:t>供。</w:t>
      </w:r>
    </w:p>
    <w:p>
      <w:pPr>
        <w:pStyle w:val="165"/>
        <w:spacing w:line="360" w:lineRule="auto"/>
        <w:ind w:left="283" w:hanging="283"/>
        <w:rPr>
          <w:rFonts w:hint="eastAsia" w:ascii="宋体" w:hAnsi="宋体" w:eastAsia="宋体" w:cs="宋体"/>
          <w:color w:val="0D0D0D"/>
        </w:rPr>
      </w:pPr>
      <w:r>
        <w:rPr>
          <w:rFonts w:hint="eastAsia" w:ascii="宋体" w:hAnsi="宋体" w:eastAsia="宋体" w:cs="宋体"/>
          <w:color w:val="0D0D0D"/>
        </w:rPr>
        <w:t>3.</w:t>
      </w:r>
      <w:r>
        <w:rPr>
          <w:rFonts w:hint="eastAsia" w:ascii="宋体" w:hAnsi="宋体" w:eastAsia="宋体" w:cs="宋体"/>
          <w:color w:val="0D0D0D"/>
        </w:rPr>
        <w:t>再确定义务主体：该规则约束的是律师、律所、客户、法院/仲裁机构、AI服务商，还是其他主体。</w:t>
      </w:r>
    </w:p>
    <w:p>
      <w:pPr>
        <w:pStyle w:val="165"/>
        <w:spacing w:line="360" w:lineRule="auto"/>
        <w:ind w:left="283" w:hanging="283"/>
        <w:rPr>
          <w:rFonts w:hint="eastAsia" w:ascii="宋体" w:hAnsi="宋体" w:eastAsia="宋体" w:cs="宋体"/>
          <w:color w:val="0D0D0D"/>
        </w:rPr>
      </w:pPr>
      <w:r>
        <w:rPr>
          <w:rFonts w:hint="eastAsia" w:ascii="宋体" w:hAnsi="宋体" w:eastAsia="宋体" w:cs="宋体"/>
          <w:color w:val="0D0D0D"/>
        </w:rPr>
        <w:t>4.</w:t>
      </w:r>
      <w:r>
        <w:rPr>
          <w:rFonts w:hint="eastAsia" w:ascii="宋体" w:hAnsi="宋体" w:eastAsia="宋体" w:cs="宋体"/>
          <w:color w:val="0D0D0D"/>
        </w:rPr>
        <w:t>再判断处分权限：查阅权、复制权、使用权、委托处理权和向第三方提供权不能混为一谈。</w:t>
      </w:r>
    </w:p>
    <w:p>
      <w:pPr>
        <w:pStyle w:val="165"/>
        <w:spacing w:line="360" w:lineRule="auto"/>
        <w:ind w:left="283" w:hanging="283"/>
        <w:rPr>
          <w:rFonts w:hint="eastAsia" w:ascii="宋体" w:hAnsi="宋体" w:eastAsia="宋体" w:cs="宋体"/>
          <w:color w:val="0D0D0D"/>
        </w:rPr>
      </w:pPr>
      <w:r>
        <w:rPr>
          <w:rFonts w:hint="eastAsia" w:ascii="宋体" w:hAnsi="宋体" w:eastAsia="宋体" w:cs="宋体"/>
          <w:color w:val="0D0D0D"/>
        </w:rPr>
        <w:t>5.</w:t>
      </w:r>
      <w:r>
        <w:rPr>
          <w:rFonts w:hint="eastAsia" w:ascii="宋体" w:hAnsi="宋体" w:eastAsia="宋体" w:cs="宋体"/>
          <w:color w:val="0D0D0D"/>
        </w:rPr>
        <w:t>再确定规范关系：判断一般法、特别法、司法解释、程序规则、行政规范与合同约定各自解决什么</w:t>
      </w:r>
    </w:p>
    <w:p>
      <w:pPr>
        <w:pStyle w:val="165"/>
        <w:spacing w:line="360" w:lineRule="auto"/>
        <w:rPr>
          <w:rFonts w:hint="eastAsia" w:ascii="宋体" w:hAnsi="宋体" w:eastAsia="宋体" w:cs="宋体"/>
          <w:color w:val="0D0D0D"/>
        </w:rPr>
      </w:pPr>
      <w:r>
        <w:rPr>
          <w:rFonts w:hint="eastAsia" w:ascii="宋体" w:hAnsi="宋体" w:eastAsia="宋体" w:cs="宋体"/>
          <w:color w:val="0D0D0D"/>
        </w:rPr>
        <w:t>问题。</w:t>
      </w:r>
    </w:p>
    <w:p>
      <w:pPr>
        <w:pStyle w:val="165"/>
        <w:spacing w:line="360" w:lineRule="auto"/>
        <w:ind w:left="283" w:hanging="283"/>
        <w:rPr>
          <w:rFonts w:hint="eastAsia" w:ascii="宋体" w:hAnsi="宋体" w:eastAsia="宋体" w:cs="宋体"/>
          <w:color w:val="0D0D0D"/>
        </w:rPr>
      </w:pPr>
      <w:r>
        <w:rPr>
          <w:rFonts w:hint="eastAsia" w:ascii="宋体" w:hAnsi="宋体" w:eastAsia="宋体" w:cs="宋体"/>
          <w:color w:val="0D0D0D"/>
        </w:rPr>
        <w:t>6.</w:t>
      </w:r>
      <w:r>
        <w:rPr>
          <w:rFonts w:hint="eastAsia" w:ascii="宋体" w:hAnsi="宋体" w:eastAsia="宋体" w:cs="宋体"/>
          <w:color w:val="0D0D0D"/>
        </w:rPr>
        <w:t>最后判断能否通过删除无关信息、去除直接标识符、减少数据范围等方式同时满足不同规则。</w:t>
      </w:r>
    </w:p>
    <w:p>
      <w:pPr>
        <w:pStyle w:val="165"/>
        <w:spacing w:line="360" w:lineRule="auto"/>
        <w:rPr>
          <w:rFonts w:hint="eastAsia" w:ascii="宋体" w:hAnsi="宋体" w:eastAsia="宋体" w:cs="宋体"/>
          <w:color w:val="0D0D0D"/>
        </w:rPr>
      </w:pPr>
      <w:r>
        <w:rPr>
          <w:rFonts w:hint="eastAsia" w:ascii="宋体" w:hAnsi="宋体" w:eastAsia="宋体" w:cs="宋体"/>
          <w:color w:val="0D0D0D"/>
        </w:rPr>
        <w:t>如果冲突的决定性事实能够自动确认，就按明确规则执行；如果不能确认且会改变结论，暂停外部处理并转人工核实；不能因为存在疑问就直接把疑问写成法律禁止。</w:t>
      </w:r>
    </w:p>
    <w:p>
      <w:pPr>
        <w:pStyle w:val="3"/>
        <w:spacing w:line="360" w:lineRule="auto"/>
        <w:rPr>
          <w:rFonts w:hint="eastAsia" w:ascii="宋体" w:hAnsi="宋体" w:eastAsia="宋体" w:cs="宋体"/>
          <w:color w:val="auto"/>
          <w:sz w:val="25"/>
          <w:szCs w:val="25"/>
        </w:rPr>
      </w:pPr>
      <w:r>
        <w:rPr>
          <w:rFonts w:hint="eastAsia" w:ascii="宋体" w:hAnsi="宋体" w:eastAsia="宋体" w:cs="宋体"/>
          <w:color w:val="auto"/>
          <w:sz w:val="25"/>
          <w:szCs w:val="25"/>
          <w:lang w:val="en-US" w:eastAsia="zh-CN"/>
        </w:rPr>
        <w:t>六</w:t>
      </w:r>
      <w:r>
        <w:rPr>
          <w:rFonts w:hint="eastAsia" w:ascii="宋体" w:hAnsi="宋体" w:eastAsia="宋体" w:cs="宋体"/>
          <w:color w:val="auto"/>
          <w:sz w:val="25"/>
          <w:szCs w:val="25"/>
        </w:rPr>
        <w:t>、系统应当如何回复</w:t>
      </w:r>
    </w:p>
    <w:p>
      <w:pPr>
        <w:pStyle w:val="4"/>
        <w:spacing w:line="360" w:lineRule="auto"/>
        <w:rPr>
          <w:rFonts w:hint="eastAsia" w:ascii="宋体" w:hAnsi="宋体" w:eastAsia="宋体" w:cs="宋体"/>
          <w:color w:val="auto"/>
          <w:sz w:val="21"/>
          <w:szCs w:val="21"/>
        </w:rPr>
      </w:pPr>
      <w:r>
        <w:rPr>
          <w:rFonts w:hint="eastAsia" w:ascii="宋体" w:hAnsi="宋体" w:eastAsia="宋体" w:cs="宋体"/>
          <w:color w:val="auto"/>
          <w:sz w:val="21"/>
          <w:szCs w:val="21"/>
        </w:rPr>
        <w:t>（一）法律依据或决定性事实不确定</w:t>
      </w:r>
    </w:p>
    <w:p>
      <w:pPr>
        <w:pStyle w:val="167"/>
        <w:spacing w:line="360" w:lineRule="auto"/>
        <w:ind w:left="0" w:leftChars="0" w:firstLine="0" w:firstLineChars="0"/>
        <w:rPr>
          <w:rFonts w:hint="eastAsia" w:ascii="宋体" w:hAnsi="宋体" w:eastAsia="宋体" w:cs="宋体"/>
          <w:color w:val="auto"/>
          <w:sz w:val="21"/>
          <w:szCs w:val="21"/>
        </w:rPr>
      </w:pPr>
      <w:r>
        <w:rPr>
          <w:rFonts w:hint="eastAsia" w:ascii="宋体" w:hAnsi="宋体" w:eastAsia="宋体" w:cs="宋体"/>
          <w:color w:val="auto"/>
          <w:sz w:val="21"/>
          <w:szCs w:val="21"/>
        </w:rPr>
        <w:t>当前材料是否可以进行外部处理暂不能确定。</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待核实事项：</w:t>
      </w:r>
      <w:r>
        <w:rPr>
          <w:rFonts w:hint="eastAsia" w:cs="宋体"/>
          <w:color w:val="auto"/>
          <w:sz w:val="21"/>
          <w:szCs w:val="21"/>
          <w:lang w:eastAsia="zh-CN"/>
        </w:rPr>
        <w:t>【</w:t>
      </w:r>
      <w:r>
        <w:rPr>
          <w:rFonts w:hint="eastAsia" w:ascii="宋体" w:hAnsi="宋体" w:eastAsia="宋体" w:cs="宋体"/>
          <w:color w:val="auto"/>
          <w:sz w:val="21"/>
          <w:szCs w:val="21"/>
        </w:rPr>
        <w:t>具体写明法律适用、处分权限、保密义务、外部处理关系、跨境情况或其他决定性事实</w:t>
      </w:r>
      <w:r>
        <w:rPr>
          <w:rFonts w:hint="eastAsia" w:cs="宋体"/>
          <w:color w:val="auto"/>
          <w:sz w:val="21"/>
          <w:szCs w:val="21"/>
          <w:lang w:eastAsia="zh-CN"/>
        </w:rPr>
        <w:t>】</w:t>
      </w:r>
      <w:r>
        <w:rPr>
          <w:rFonts w:hint="eastAsia" w:ascii="宋体" w:hAnsi="宋体" w:eastAsia="宋体" w:cs="宋体"/>
          <w:color w:val="auto"/>
          <w:sz w:val="21"/>
          <w:szCs w:val="21"/>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可能涉及依据：</w:t>
      </w:r>
      <w:r>
        <w:rPr>
          <w:rFonts w:hint="eastAsia" w:cs="宋体"/>
          <w:color w:val="auto"/>
          <w:sz w:val="21"/>
          <w:szCs w:val="21"/>
          <w:lang w:eastAsia="zh-CN"/>
        </w:rPr>
        <w:t>【</w:t>
      </w:r>
      <w:r>
        <w:rPr>
          <w:rFonts w:hint="eastAsia" w:ascii="宋体" w:hAnsi="宋体" w:eastAsia="宋体" w:cs="宋体"/>
          <w:color w:val="auto"/>
          <w:sz w:val="21"/>
          <w:szCs w:val="21"/>
        </w:rPr>
        <w:t>法源名称＋具体条款</w:t>
      </w:r>
      <w:r>
        <w:rPr>
          <w:rFonts w:hint="eastAsia" w:cs="宋体"/>
          <w:color w:val="auto"/>
          <w:sz w:val="21"/>
          <w:szCs w:val="21"/>
          <w:lang w:eastAsia="zh-CN"/>
        </w:rPr>
        <w:t>】</w:t>
      </w:r>
      <w:r>
        <w:rPr>
          <w:rFonts w:hint="eastAsia" w:ascii="宋体" w:hAnsi="宋体" w:eastAsia="宋体" w:cs="宋体"/>
          <w:color w:val="auto"/>
          <w:sz w:val="21"/>
          <w:szCs w:val="21"/>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目前无法确认的关键事实：</w:t>
      </w:r>
      <w:r>
        <w:rPr>
          <w:rFonts w:hint="eastAsia" w:cs="宋体"/>
          <w:color w:val="auto"/>
          <w:sz w:val="21"/>
          <w:szCs w:val="21"/>
          <w:lang w:eastAsia="zh-CN"/>
        </w:rPr>
        <w:t>【</w:t>
      </w:r>
      <w:r>
        <w:rPr>
          <w:rFonts w:hint="eastAsia" w:ascii="宋体" w:hAnsi="宋体" w:eastAsia="宋体" w:cs="宋体"/>
          <w:color w:val="auto"/>
          <w:sz w:val="21"/>
          <w:szCs w:val="21"/>
        </w:rPr>
        <w:t>逐项列明</w:t>
      </w:r>
      <w:r>
        <w:rPr>
          <w:rFonts w:hint="eastAsia" w:cs="宋体"/>
          <w:color w:val="auto"/>
          <w:sz w:val="21"/>
          <w:szCs w:val="21"/>
          <w:lang w:eastAsia="zh-CN"/>
        </w:rPr>
        <w:t>】</w:t>
      </w:r>
      <w:r>
        <w:rPr>
          <w:rFonts w:hint="eastAsia" w:ascii="宋体" w:hAnsi="宋体" w:eastAsia="宋体" w:cs="宋体"/>
          <w:color w:val="auto"/>
          <w:sz w:val="21"/>
          <w:szCs w:val="21"/>
        </w:rPr>
        <w:t>。</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处理要求：在上述事项核实完成前，不将相关原始材料提交外部模型。</w:t>
      </w:r>
      <w:r>
        <w:rPr>
          <w:rFonts w:hint="eastAsia" w:ascii="宋体" w:hAnsi="宋体" w:eastAsia="宋体" w:cs="宋体"/>
          <w:color w:val="auto"/>
          <w:sz w:val="21"/>
          <w:szCs w:val="21"/>
        </w:rPr>
        <w:br w:type="textWrapping"/>
      </w:r>
      <w:r>
        <w:rPr>
          <w:rFonts w:hint="eastAsia" w:ascii="宋体" w:hAnsi="宋体" w:eastAsia="宋体" w:cs="宋体"/>
          <w:color w:val="auto"/>
          <w:sz w:val="21"/>
          <w:szCs w:val="21"/>
        </w:rPr>
        <w:t>人工核实后，根据核实结果重新确定是否允许外部处理，以及需要采取的删除、最小化、去标识化、授权补充或处理环境调整措施。</w:t>
      </w:r>
    </w:p>
    <w:p>
      <w:pPr>
        <w:pStyle w:val="4"/>
        <w:spacing w:line="360" w:lineRule="auto"/>
        <w:rPr>
          <w:rFonts w:hint="eastAsia" w:ascii="宋体" w:hAnsi="宋体" w:eastAsia="宋体" w:cs="宋体"/>
          <w:color w:val="auto"/>
          <w:sz w:val="21"/>
          <w:szCs w:val="21"/>
        </w:rPr>
      </w:pPr>
      <w:r>
        <w:rPr>
          <w:rFonts w:hint="eastAsia" w:ascii="宋体" w:hAnsi="宋体" w:eastAsia="宋体" w:cs="宋体"/>
          <w:color w:val="auto"/>
          <w:sz w:val="21"/>
          <w:szCs w:val="21"/>
        </w:rPr>
        <w:t>（二）已经确认当前行为存在明确禁止</w:t>
      </w:r>
    </w:p>
    <w:p>
      <w:pPr>
        <w:pStyle w:val="167"/>
        <w:spacing w:line="360" w:lineRule="auto"/>
        <w:ind w:left="0" w:leftChars="0" w:firstLine="0" w:firstLineChars="0"/>
        <w:rPr>
          <w:rFonts w:hint="eastAsia" w:ascii="宋体" w:hAnsi="宋体" w:eastAsia="宋体" w:cs="宋体"/>
          <w:color w:val="auto"/>
          <w:sz w:val="21"/>
          <w:szCs w:val="21"/>
        </w:rPr>
      </w:pPr>
      <w:r>
        <w:rPr>
          <w:rFonts w:hint="eastAsia" w:ascii="宋体" w:hAnsi="宋体" w:eastAsia="宋体" w:cs="宋体"/>
          <w:color w:val="auto"/>
          <w:sz w:val="21"/>
          <w:szCs w:val="21"/>
        </w:rPr>
        <w:t>经核实，当前材料属于</w:t>
      </w:r>
      <w:r>
        <w:rPr>
          <w:rFonts w:hint="eastAsia" w:cs="宋体"/>
          <w:color w:val="auto"/>
          <w:sz w:val="21"/>
          <w:szCs w:val="21"/>
          <w:lang w:eastAsia="zh-CN"/>
        </w:rPr>
        <w:t>【</w:t>
      </w:r>
      <w:r>
        <w:rPr>
          <w:rFonts w:hint="eastAsia" w:ascii="宋体" w:hAnsi="宋体" w:eastAsia="宋体" w:cs="宋体"/>
          <w:color w:val="auto"/>
          <w:sz w:val="21"/>
          <w:szCs w:val="21"/>
        </w:rPr>
        <w:t>具体保护对象</w:t>
      </w:r>
      <w:r>
        <w:rPr>
          <w:rFonts w:hint="eastAsia" w:cs="宋体"/>
          <w:color w:val="auto"/>
          <w:sz w:val="21"/>
          <w:szCs w:val="21"/>
          <w:lang w:eastAsia="zh-CN"/>
        </w:rPr>
        <w:t>】</w:t>
      </w:r>
      <w:r>
        <w:rPr>
          <w:rFonts w:hint="eastAsia" w:ascii="宋体" w:hAnsi="宋体" w:eastAsia="宋体" w:cs="宋体"/>
          <w:color w:val="auto"/>
          <w:sz w:val="21"/>
          <w:szCs w:val="21"/>
        </w:rPr>
        <w:t>，</w:t>
      </w:r>
      <w:r>
        <w:rPr>
          <w:rFonts w:hint="eastAsia" w:cs="宋体"/>
          <w:color w:val="auto"/>
          <w:sz w:val="21"/>
          <w:szCs w:val="21"/>
          <w:lang w:eastAsia="zh-CN"/>
        </w:rPr>
        <w:t>【</w:t>
      </w:r>
      <w:r>
        <w:rPr>
          <w:rFonts w:hint="eastAsia" w:ascii="宋体" w:hAnsi="宋体" w:eastAsia="宋体" w:cs="宋体"/>
          <w:color w:val="auto"/>
          <w:sz w:val="21"/>
          <w:szCs w:val="21"/>
        </w:rPr>
        <w:t>具体法律条款/法院或仲裁保密措施/具有约束力的明确保密义务</w:t>
      </w:r>
      <w:r>
        <w:rPr>
          <w:rFonts w:hint="eastAsia" w:cs="宋体"/>
          <w:color w:val="auto"/>
          <w:sz w:val="21"/>
          <w:szCs w:val="21"/>
          <w:lang w:eastAsia="zh-CN"/>
        </w:rPr>
        <w:t>】</w:t>
      </w:r>
      <w:r>
        <w:rPr>
          <w:rFonts w:hint="eastAsia" w:ascii="宋体" w:hAnsi="宋体" w:eastAsia="宋体" w:cs="宋体"/>
          <w:color w:val="auto"/>
          <w:sz w:val="21"/>
          <w:szCs w:val="21"/>
        </w:rPr>
        <w:t>直接限制当前向外部第三方提供、传输或处理的行为。现有删除、打码、加密或范围缩减措施不能消除该限制。处理要求：不得向当前外部模型提交。若需继续处理，应改用符合法定保密要求的处理环境，或者先依法取得有权主体授权、解除具体限制后重新判断。</w:t>
      </w:r>
    </w:p>
    <w:p>
      <w:pPr>
        <w:pStyle w:val="4"/>
        <w:spacing w:line="360" w:lineRule="auto"/>
        <w:rPr>
          <w:rFonts w:hint="eastAsia" w:ascii="宋体" w:hAnsi="宋体" w:eastAsia="宋体" w:cs="宋体"/>
          <w:color w:val="auto"/>
          <w:sz w:val="21"/>
          <w:szCs w:val="21"/>
        </w:rPr>
      </w:pPr>
      <w:r>
        <w:rPr>
          <w:rFonts w:hint="eastAsia" w:ascii="宋体" w:hAnsi="宋体" w:eastAsia="宋体" w:cs="宋体"/>
          <w:color w:val="auto"/>
          <w:sz w:val="21"/>
          <w:szCs w:val="21"/>
        </w:rPr>
        <w:t>（三）信息敏感，但并未形成硬性禁止</w:t>
      </w:r>
    </w:p>
    <w:p>
      <w:pPr>
        <w:pStyle w:val="167"/>
        <w:spacing w:line="360" w:lineRule="auto"/>
        <w:ind w:left="0" w:leftChars="0" w:firstLine="0" w:firstLineChars="0"/>
        <w:rPr>
          <w:rFonts w:hint="eastAsia" w:ascii="宋体" w:hAnsi="宋体" w:eastAsia="宋体" w:cs="宋体"/>
          <w:color w:val="auto"/>
          <w:sz w:val="21"/>
          <w:szCs w:val="21"/>
        </w:rPr>
      </w:pPr>
      <w:r>
        <w:rPr>
          <w:rFonts w:hint="eastAsia" w:ascii="宋体" w:hAnsi="宋体" w:eastAsia="宋体" w:cs="宋体"/>
          <w:color w:val="auto"/>
          <w:sz w:val="21"/>
          <w:szCs w:val="21"/>
        </w:rPr>
        <w:t>当前材料包含</w:t>
      </w:r>
      <w:r>
        <w:rPr>
          <w:rFonts w:hint="eastAsia" w:cs="宋体"/>
          <w:color w:val="auto"/>
          <w:sz w:val="21"/>
          <w:szCs w:val="21"/>
          <w:lang w:eastAsia="zh-CN"/>
        </w:rPr>
        <w:t>【</w:t>
      </w:r>
      <w:r>
        <w:rPr>
          <w:rFonts w:hint="eastAsia" w:ascii="宋体" w:hAnsi="宋体" w:eastAsia="宋体" w:cs="宋体"/>
          <w:color w:val="auto"/>
          <w:sz w:val="21"/>
          <w:szCs w:val="21"/>
        </w:rPr>
        <w:t>敏感个人信息/医疗健康信息/未成年人信息/商业秘密相关信息等</w:t>
      </w:r>
      <w:r>
        <w:rPr>
          <w:rFonts w:hint="eastAsia" w:cs="宋体"/>
          <w:color w:val="auto"/>
          <w:sz w:val="21"/>
          <w:szCs w:val="21"/>
          <w:lang w:eastAsia="zh-CN"/>
        </w:rPr>
        <w:t>】</w:t>
      </w:r>
      <w:r>
        <w:rPr>
          <w:rFonts w:hint="eastAsia" w:ascii="宋体" w:hAnsi="宋体" w:eastAsia="宋体" w:cs="宋体"/>
          <w:color w:val="auto"/>
          <w:sz w:val="21"/>
          <w:szCs w:val="21"/>
        </w:rPr>
        <w:t>，但现有信息不足以支持“法律明确禁止外部处理”的结论。请先执行任务必要性审查和最小化处理：</w:t>
      </w:r>
      <w:r>
        <w:rPr>
          <w:rFonts w:hint="eastAsia" w:cs="宋体"/>
          <w:color w:val="auto"/>
          <w:sz w:val="21"/>
          <w:szCs w:val="21"/>
          <w:lang w:eastAsia="zh-CN"/>
        </w:rPr>
        <w:t>【</w:t>
      </w:r>
      <w:r>
        <w:rPr>
          <w:rFonts w:hint="eastAsia" w:ascii="宋体" w:hAnsi="宋体" w:eastAsia="宋体" w:cs="宋体"/>
          <w:color w:val="auto"/>
          <w:sz w:val="21"/>
          <w:szCs w:val="21"/>
        </w:rPr>
        <w:t>列明需要删除、替换或泛化的信息</w:t>
      </w:r>
      <w:r>
        <w:rPr>
          <w:rFonts w:hint="eastAsia" w:cs="宋体"/>
          <w:color w:val="auto"/>
          <w:sz w:val="21"/>
          <w:szCs w:val="21"/>
          <w:lang w:eastAsia="zh-CN"/>
        </w:rPr>
        <w:t>】</w:t>
      </w:r>
      <w:r>
        <w:rPr>
          <w:rFonts w:hint="eastAsia" w:ascii="宋体" w:hAnsi="宋体" w:eastAsia="宋体" w:cs="宋体"/>
          <w:color w:val="auto"/>
          <w:sz w:val="21"/>
          <w:szCs w:val="21"/>
        </w:rPr>
        <w:t>。处理后如合法基础、权限及外部处理条件均明确，可继续处理；如出现决定性不确定事项，再转人工复核。</w:t>
      </w:r>
    </w:p>
    <w:p>
      <w:pPr>
        <w:pStyle w:val="4"/>
        <w:spacing w:line="360" w:lineRule="auto"/>
        <w:rPr>
          <w:rFonts w:hint="eastAsia" w:ascii="宋体" w:hAnsi="宋体" w:eastAsia="宋体" w:cs="宋体"/>
          <w:color w:val="auto"/>
          <w:sz w:val="21"/>
          <w:szCs w:val="21"/>
        </w:rPr>
      </w:pPr>
      <w:r>
        <w:rPr>
          <w:rFonts w:hint="eastAsia" w:ascii="宋体" w:hAnsi="宋体" w:eastAsia="宋体" w:cs="宋体"/>
          <w:color w:val="auto"/>
          <w:sz w:val="21"/>
          <w:szCs w:val="21"/>
        </w:rPr>
        <w:t>（四）规则存在表面冲突</w:t>
      </w:r>
    </w:p>
    <w:p>
      <w:pPr>
        <w:pStyle w:val="167"/>
        <w:spacing w:line="360" w:lineRule="auto"/>
        <w:ind w:left="0" w:leftChars="0" w:firstLine="0" w:firstLineChars="0"/>
        <w:rPr>
          <w:rFonts w:hint="eastAsia" w:ascii="宋体" w:hAnsi="宋体" w:eastAsia="宋体" w:cs="宋体"/>
          <w:color w:val="auto"/>
          <w:sz w:val="21"/>
          <w:szCs w:val="21"/>
        </w:rPr>
      </w:pPr>
      <w:r>
        <w:rPr>
          <w:rFonts w:hint="eastAsia" w:ascii="宋体" w:hAnsi="宋体" w:eastAsia="宋体" w:cs="宋体"/>
          <w:color w:val="auto"/>
          <w:sz w:val="21"/>
          <w:szCs w:val="21"/>
        </w:rPr>
        <w:t>检测到多项规则可能同时适用。当前不能仅以从严原则直接判断禁止。请分别核实：</w:t>
      </w:r>
      <w:r>
        <w:rPr>
          <w:rFonts w:hint="eastAsia" w:cs="宋体"/>
          <w:color w:val="auto"/>
          <w:sz w:val="21"/>
          <w:szCs w:val="21"/>
          <w:lang w:eastAsia="zh-CN"/>
        </w:rPr>
        <w:t>【</w:t>
      </w:r>
      <w:r>
        <w:rPr>
          <w:rFonts w:hint="eastAsia" w:ascii="宋体" w:hAnsi="宋体" w:eastAsia="宋体" w:cs="宋体"/>
          <w:color w:val="auto"/>
          <w:sz w:val="21"/>
          <w:szCs w:val="21"/>
        </w:rPr>
        <w:t>保护对象</w:t>
      </w:r>
      <w:r>
        <w:rPr>
          <w:rFonts w:hint="eastAsia" w:cs="宋体"/>
          <w:color w:val="auto"/>
          <w:sz w:val="21"/>
          <w:szCs w:val="21"/>
          <w:lang w:eastAsia="zh-CN"/>
        </w:rPr>
        <w:t>】</w:t>
      </w:r>
      <w:r>
        <w:rPr>
          <w:rFonts w:hint="eastAsia" w:ascii="宋体" w:hAnsi="宋体" w:eastAsia="宋体" w:cs="宋体"/>
          <w:color w:val="auto"/>
          <w:sz w:val="21"/>
          <w:szCs w:val="21"/>
        </w:rPr>
        <w:t>、</w:t>
      </w:r>
      <w:r>
        <w:rPr>
          <w:rFonts w:hint="eastAsia" w:cs="宋体"/>
          <w:color w:val="auto"/>
          <w:sz w:val="21"/>
          <w:szCs w:val="21"/>
          <w:lang w:eastAsia="zh-CN"/>
        </w:rPr>
        <w:t>【</w:t>
      </w:r>
      <w:r>
        <w:rPr>
          <w:rFonts w:hint="eastAsia" w:ascii="宋体" w:hAnsi="宋体" w:eastAsia="宋体" w:cs="宋体"/>
          <w:color w:val="auto"/>
          <w:sz w:val="21"/>
          <w:szCs w:val="21"/>
        </w:rPr>
        <w:t>处理行为</w:t>
      </w:r>
      <w:r>
        <w:rPr>
          <w:rFonts w:hint="eastAsia" w:cs="宋体"/>
          <w:color w:val="auto"/>
          <w:sz w:val="21"/>
          <w:szCs w:val="21"/>
          <w:lang w:eastAsia="zh-CN"/>
        </w:rPr>
        <w:t>】</w:t>
      </w:r>
      <w:r>
        <w:rPr>
          <w:rFonts w:hint="eastAsia" w:ascii="宋体" w:hAnsi="宋体" w:eastAsia="宋体" w:cs="宋体"/>
          <w:color w:val="auto"/>
          <w:sz w:val="21"/>
          <w:szCs w:val="21"/>
        </w:rPr>
        <w:t>、</w:t>
      </w:r>
      <w:r>
        <w:rPr>
          <w:rFonts w:hint="eastAsia" w:cs="宋体"/>
          <w:color w:val="auto"/>
          <w:sz w:val="21"/>
          <w:szCs w:val="21"/>
          <w:lang w:eastAsia="zh-CN"/>
        </w:rPr>
        <w:t>【</w:t>
      </w:r>
      <w:r>
        <w:rPr>
          <w:rFonts w:hint="eastAsia" w:ascii="宋体" w:hAnsi="宋体" w:eastAsia="宋体" w:cs="宋体"/>
          <w:color w:val="auto"/>
          <w:sz w:val="21"/>
          <w:szCs w:val="21"/>
        </w:rPr>
        <w:t>义务主体</w:t>
      </w:r>
      <w:r>
        <w:rPr>
          <w:rFonts w:hint="eastAsia" w:cs="宋体"/>
          <w:color w:val="auto"/>
          <w:sz w:val="21"/>
          <w:szCs w:val="21"/>
          <w:lang w:eastAsia="zh-CN"/>
        </w:rPr>
        <w:t>】</w:t>
      </w:r>
      <w:r>
        <w:rPr>
          <w:rFonts w:hint="eastAsia" w:ascii="宋体" w:hAnsi="宋体" w:eastAsia="宋体" w:cs="宋体"/>
          <w:color w:val="auto"/>
          <w:sz w:val="21"/>
          <w:szCs w:val="21"/>
        </w:rPr>
        <w:t>、</w:t>
      </w:r>
      <w:r>
        <w:rPr>
          <w:rFonts w:hint="eastAsia" w:cs="宋体"/>
          <w:color w:val="auto"/>
          <w:sz w:val="21"/>
          <w:szCs w:val="21"/>
          <w:lang w:eastAsia="zh-CN"/>
        </w:rPr>
        <w:t>【</w:t>
      </w:r>
      <w:r>
        <w:rPr>
          <w:rFonts w:hint="eastAsia" w:ascii="宋体" w:hAnsi="宋体" w:eastAsia="宋体" w:cs="宋体"/>
          <w:color w:val="auto"/>
          <w:sz w:val="21"/>
          <w:szCs w:val="21"/>
        </w:rPr>
        <w:t>处分权限</w:t>
      </w:r>
      <w:r>
        <w:rPr>
          <w:rFonts w:hint="eastAsia" w:cs="宋体"/>
          <w:color w:val="auto"/>
          <w:sz w:val="21"/>
          <w:szCs w:val="21"/>
          <w:lang w:eastAsia="zh-CN"/>
        </w:rPr>
        <w:t>】</w:t>
      </w:r>
      <w:r>
        <w:rPr>
          <w:rFonts w:hint="eastAsia" w:ascii="宋体" w:hAnsi="宋体" w:eastAsia="宋体" w:cs="宋体"/>
          <w:color w:val="auto"/>
          <w:sz w:val="21"/>
          <w:szCs w:val="21"/>
        </w:rPr>
        <w:t>、</w:t>
      </w:r>
      <w:r>
        <w:rPr>
          <w:rFonts w:hint="eastAsia" w:cs="宋体"/>
          <w:color w:val="auto"/>
          <w:sz w:val="21"/>
          <w:szCs w:val="21"/>
          <w:lang w:eastAsia="zh-CN"/>
        </w:rPr>
        <w:t>【</w:t>
      </w:r>
      <w:r>
        <w:rPr>
          <w:rFonts w:hint="eastAsia" w:ascii="宋体" w:hAnsi="宋体" w:eastAsia="宋体" w:cs="宋体"/>
          <w:color w:val="auto"/>
          <w:sz w:val="21"/>
          <w:szCs w:val="21"/>
        </w:rPr>
        <w:t>规范层级/特别规则适用条件</w:t>
      </w:r>
      <w:r>
        <w:rPr>
          <w:rFonts w:hint="eastAsia" w:cs="宋体"/>
          <w:color w:val="auto"/>
          <w:sz w:val="21"/>
          <w:szCs w:val="21"/>
          <w:lang w:eastAsia="zh-CN"/>
        </w:rPr>
        <w:t>】</w:t>
      </w:r>
      <w:r>
        <w:rPr>
          <w:rFonts w:hint="eastAsia" w:ascii="宋体" w:hAnsi="宋体" w:eastAsia="宋体" w:cs="宋体"/>
          <w:color w:val="auto"/>
          <w:sz w:val="21"/>
          <w:szCs w:val="21"/>
        </w:rPr>
        <w:t>。如通过最小化或调整处理方式可以同时满足各项规则，应优先采用可满足任务目的的最小处理方案；只有真实冲突仍无法解决且会改变合法性结论时，转人工复核。</w:t>
      </w:r>
    </w:p>
    <w:p>
      <w:pPr>
        <w:pStyle w:val="4"/>
        <w:numPr>
          <w:numId w:val="0"/>
        </w:numPr>
        <w:bidi w:val="0"/>
        <w:spacing w:line="360" w:lineRule="auto"/>
        <w:rPr>
          <w:rFonts w:hint="eastAsia" w:ascii="宋体" w:hAnsi="宋体" w:eastAsia="宋体" w:cs="宋体"/>
          <w:color w:val="0D0D0D"/>
        </w:rPr>
      </w:pPr>
      <w:r>
        <w:rPr>
          <w:rFonts w:hint="eastAsia" w:ascii="宋体" w:hAnsi="宋体" w:eastAsia="宋体" w:cs="宋体"/>
          <w:color w:val="0D0D0D"/>
          <w:lang w:val="en-US" w:eastAsia="zh-CN"/>
        </w:rPr>
        <w:t>七、</w:t>
      </w:r>
      <w:r>
        <w:rPr>
          <w:rFonts w:hint="eastAsia" w:ascii="宋体" w:hAnsi="宋体" w:eastAsia="宋体" w:cs="宋体"/>
          <w:color w:val="0D0D0D"/>
        </w:rPr>
        <w:t>人工复核结论必须留下的法律依据</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1"/>
        <w:gridCol w:w="4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1" w:type="dxa"/>
          </w:tcPr>
          <w:p>
            <w:pPr>
              <w:numPr>
                <w:ilvl w:val="0"/>
                <w:numId w:val="0"/>
              </w:numPr>
              <w:spacing w:line="360" w:lineRule="auto"/>
              <w:jc w:val="left"/>
              <w:rPr>
                <w:rFonts w:hint="eastAsia" w:ascii="宋体" w:hAnsi="宋体" w:eastAsia="宋体" w:cs="宋体"/>
                <w:b/>
                <w:bCs/>
                <w:sz w:val="18"/>
                <w:szCs w:val="18"/>
                <w:vertAlign w:val="baseline"/>
              </w:rPr>
            </w:pPr>
            <w:r>
              <w:rPr>
                <w:rFonts w:hint="eastAsia" w:ascii="宋体" w:hAnsi="宋体" w:eastAsia="宋体" w:cs="宋体"/>
                <w:b/>
                <w:bCs/>
                <w:sz w:val="18"/>
                <w:szCs w:val="18"/>
                <w:vertAlign w:val="baseline"/>
              </w:rPr>
              <w:t>记录项目</w:t>
            </w:r>
          </w:p>
        </w:tc>
        <w:tc>
          <w:tcPr>
            <w:tcW w:w="4811" w:type="dxa"/>
          </w:tcPr>
          <w:p>
            <w:pPr>
              <w:numPr>
                <w:ilvl w:val="0"/>
                <w:numId w:val="0"/>
              </w:numPr>
              <w:spacing w:line="360" w:lineRule="auto"/>
              <w:jc w:val="left"/>
              <w:rPr>
                <w:rFonts w:hint="eastAsia" w:ascii="宋体" w:hAnsi="宋体" w:eastAsia="宋体" w:cs="宋体"/>
                <w:b/>
                <w:bCs/>
                <w:sz w:val="18"/>
                <w:szCs w:val="18"/>
                <w:vertAlign w:val="baseline"/>
              </w:rPr>
            </w:pPr>
            <w:r>
              <w:rPr>
                <w:rFonts w:hint="eastAsia" w:ascii="宋体" w:hAnsi="宋体" w:eastAsia="宋体" w:cs="宋体"/>
                <w:b/>
                <w:bCs/>
                <w:sz w:val="18"/>
                <w:szCs w:val="18"/>
                <w:vertAlign w:val="baseline"/>
              </w:rPr>
              <w:t>最低要求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1" w:type="dxa"/>
            <w:vAlign w:val="center"/>
          </w:tcPr>
          <w:p>
            <w:pPr>
              <w:spacing w:after="40" w:line="360" w:lineRule="auto"/>
              <w:rPr>
                <w:rFonts w:hint="eastAsia" w:ascii="宋体" w:hAnsi="宋体" w:eastAsia="宋体" w:cs="宋体"/>
                <w:vertAlign w:val="baseline"/>
              </w:rPr>
            </w:pPr>
            <w:r>
              <w:rPr>
                <w:rFonts w:hint="eastAsia" w:ascii="宋体" w:hAnsi="宋体" w:eastAsia="宋体" w:cs="宋体"/>
                <w:b w:val="0"/>
                <w:color w:val="0D0D0D"/>
                <w:sz w:val="18"/>
              </w:rPr>
              <w:t>待核实事项</w:t>
            </w:r>
          </w:p>
        </w:tc>
        <w:tc>
          <w:tcPr>
            <w:tcW w:w="4811" w:type="dxa"/>
            <w:vAlign w:val="center"/>
          </w:tcPr>
          <w:p>
            <w:pPr>
              <w:spacing w:after="40" w:line="360" w:lineRule="auto"/>
              <w:rPr>
                <w:rFonts w:hint="eastAsia" w:ascii="宋体" w:hAnsi="宋体" w:eastAsia="宋体" w:cs="宋体"/>
                <w:vertAlign w:val="baseline"/>
              </w:rPr>
            </w:pPr>
            <w:r>
              <w:rPr>
                <w:rFonts w:hint="eastAsia" w:ascii="宋体" w:hAnsi="宋体" w:eastAsia="宋体" w:cs="宋体"/>
                <w:b w:val="0"/>
                <w:color w:val="0D0D0D"/>
                <w:sz w:val="18"/>
              </w:rPr>
              <w:t>必须是具体法律问题或事实问题，不得只写“风险较高”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1" w:type="dxa"/>
            <w:vAlign w:val="center"/>
          </w:tcPr>
          <w:p>
            <w:pPr>
              <w:spacing w:after="40" w:line="360" w:lineRule="auto"/>
              <w:rPr>
                <w:rFonts w:hint="eastAsia" w:ascii="宋体" w:hAnsi="宋体" w:eastAsia="宋体" w:cs="宋体"/>
                <w:vertAlign w:val="baseline"/>
              </w:rPr>
            </w:pPr>
            <w:r>
              <w:rPr>
                <w:rFonts w:hint="eastAsia" w:ascii="宋体" w:hAnsi="宋体" w:eastAsia="宋体" w:cs="宋体"/>
                <w:b w:val="0"/>
                <w:color w:val="0D0D0D"/>
                <w:sz w:val="18"/>
              </w:rPr>
              <w:t>法源</w:t>
            </w:r>
          </w:p>
        </w:tc>
        <w:tc>
          <w:tcPr>
            <w:tcW w:w="4811" w:type="dxa"/>
            <w:vAlign w:val="center"/>
          </w:tcPr>
          <w:p>
            <w:pPr>
              <w:spacing w:after="40" w:line="360" w:lineRule="auto"/>
              <w:rPr>
                <w:rFonts w:hint="eastAsia" w:ascii="宋体" w:hAnsi="宋体" w:eastAsia="宋体" w:cs="宋体"/>
                <w:vertAlign w:val="baseline"/>
              </w:rPr>
            </w:pPr>
            <w:r>
              <w:rPr>
                <w:rFonts w:hint="eastAsia" w:ascii="宋体" w:hAnsi="宋体" w:eastAsia="宋体" w:cs="宋体"/>
                <w:b w:val="0"/>
                <w:color w:val="0D0D0D"/>
                <w:sz w:val="18"/>
              </w:rPr>
              <w:t>名称、条款/位置、来源、版本或检索日期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1" w:type="dxa"/>
            <w:vAlign w:val="center"/>
          </w:tcPr>
          <w:p>
            <w:pPr>
              <w:spacing w:after="40" w:line="360" w:lineRule="auto"/>
              <w:rPr>
                <w:rFonts w:hint="eastAsia" w:ascii="宋体" w:hAnsi="宋体" w:eastAsia="宋体" w:cs="宋体"/>
                <w:vertAlign w:val="baseline"/>
              </w:rPr>
            </w:pPr>
            <w:r>
              <w:rPr>
                <w:rFonts w:hint="eastAsia" w:ascii="宋体" w:hAnsi="宋体" w:eastAsia="宋体" w:cs="宋体"/>
                <w:b w:val="0"/>
                <w:color w:val="0D0D0D"/>
                <w:sz w:val="18"/>
              </w:rPr>
              <w:t>事实前提</w:t>
            </w:r>
          </w:p>
        </w:tc>
        <w:tc>
          <w:tcPr>
            <w:tcW w:w="4811" w:type="dxa"/>
            <w:vAlign w:val="center"/>
          </w:tcPr>
          <w:p>
            <w:pPr>
              <w:spacing w:after="40" w:line="360" w:lineRule="auto"/>
              <w:rPr>
                <w:rFonts w:hint="eastAsia" w:ascii="宋体" w:hAnsi="宋体" w:eastAsia="宋体" w:cs="宋体"/>
                <w:vertAlign w:val="baseline"/>
              </w:rPr>
            </w:pPr>
            <w:r>
              <w:rPr>
                <w:rFonts w:hint="eastAsia" w:ascii="宋体" w:hAnsi="宋体" w:eastAsia="宋体" w:cs="宋体"/>
                <w:b w:val="0"/>
                <w:color w:val="0D0D0D"/>
                <w:sz w:val="18"/>
              </w:rPr>
              <w:t>说明哪些事实已经确认、哪些尚未确认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811" w:type="dxa"/>
            <w:vAlign w:val="center"/>
          </w:tcPr>
          <w:p>
            <w:pPr>
              <w:spacing w:after="40" w:line="360" w:lineRule="auto"/>
              <w:rPr>
                <w:rFonts w:hint="eastAsia" w:ascii="宋体" w:hAnsi="宋体" w:eastAsia="宋体" w:cs="宋体"/>
                <w:vertAlign w:val="baseline"/>
              </w:rPr>
            </w:pPr>
            <w:r>
              <w:rPr>
                <w:rFonts w:hint="eastAsia" w:ascii="宋体" w:hAnsi="宋体" w:eastAsia="宋体" w:cs="宋体"/>
                <w:b w:val="0"/>
                <w:color w:val="0D0D0D"/>
                <w:sz w:val="18"/>
              </w:rPr>
              <w:t>权限判断</w:t>
            </w:r>
          </w:p>
        </w:tc>
        <w:tc>
          <w:tcPr>
            <w:tcW w:w="4811" w:type="dxa"/>
            <w:vAlign w:val="center"/>
          </w:tcPr>
          <w:p>
            <w:pPr>
              <w:spacing w:after="40" w:line="360" w:lineRule="auto"/>
              <w:rPr>
                <w:rFonts w:hint="eastAsia" w:ascii="宋体" w:hAnsi="宋体" w:eastAsia="宋体" w:cs="宋体"/>
                <w:vertAlign w:val="baseline"/>
              </w:rPr>
            </w:pPr>
            <w:r>
              <w:rPr>
                <w:rFonts w:hint="eastAsia" w:ascii="宋体" w:hAnsi="宋体" w:eastAsia="宋体" w:cs="宋体"/>
                <w:b w:val="0"/>
                <w:color w:val="0D0D0D"/>
                <w:sz w:val="18"/>
              </w:rPr>
              <w:t>说明谁有权处理、谁有权向第三方提供、授权范围是什么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1" w:type="dxa"/>
            <w:vAlign w:val="center"/>
          </w:tcPr>
          <w:p>
            <w:pPr>
              <w:spacing w:after="40" w:line="360" w:lineRule="auto"/>
              <w:rPr>
                <w:rFonts w:hint="eastAsia" w:ascii="宋体" w:hAnsi="宋体" w:eastAsia="宋体" w:cs="宋体"/>
                <w:vertAlign w:val="baseline"/>
              </w:rPr>
            </w:pPr>
            <w:r>
              <w:rPr>
                <w:rFonts w:hint="eastAsia" w:ascii="宋体" w:hAnsi="宋体" w:eastAsia="宋体" w:cs="宋体"/>
                <w:b w:val="0"/>
                <w:color w:val="0D0D0D"/>
                <w:sz w:val="18"/>
              </w:rPr>
              <w:t>外部处理条件</w:t>
            </w:r>
          </w:p>
        </w:tc>
        <w:tc>
          <w:tcPr>
            <w:tcW w:w="4811" w:type="dxa"/>
            <w:vAlign w:val="center"/>
          </w:tcPr>
          <w:p>
            <w:pPr>
              <w:spacing w:after="40" w:line="360" w:lineRule="auto"/>
              <w:rPr>
                <w:rFonts w:hint="eastAsia" w:ascii="宋体" w:hAnsi="宋体" w:eastAsia="宋体" w:cs="宋体"/>
                <w:vertAlign w:val="baseline"/>
              </w:rPr>
            </w:pPr>
            <w:r>
              <w:rPr>
                <w:rFonts w:hint="eastAsia" w:ascii="宋体" w:hAnsi="宋体" w:eastAsia="宋体" w:cs="宋体"/>
                <w:b w:val="0"/>
                <w:color w:val="0D0D0D"/>
                <w:sz w:val="18"/>
              </w:rPr>
              <w:t>说明服务商角色、保存、训练、人工访问、再委托及跨境情况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1" w:type="dxa"/>
            <w:vAlign w:val="center"/>
          </w:tcPr>
          <w:p>
            <w:pPr>
              <w:spacing w:after="40" w:line="360" w:lineRule="auto"/>
              <w:rPr>
                <w:rFonts w:hint="eastAsia" w:ascii="宋体" w:hAnsi="宋体" w:eastAsia="宋体" w:cs="宋体"/>
                <w:vertAlign w:val="baseline"/>
              </w:rPr>
            </w:pPr>
            <w:r>
              <w:rPr>
                <w:rFonts w:hint="eastAsia" w:ascii="宋体" w:hAnsi="宋体" w:eastAsia="宋体" w:cs="宋体"/>
                <w:b w:val="0"/>
                <w:color w:val="0D0D0D"/>
                <w:sz w:val="18"/>
              </w:rPr>
              <w:t>最小化措施</w:t>
            </w:r>
          </w:p>
        </w:tc>
        <w:tc>
          <w:tcPr>
            <w:tcW w:w="4811" w:type="dxa"/>
            <w:vAlign w:val="center"/>
          </w:tcPr>
          <w:p>
            <w:pPr>
              <w:spacing w:after="40" w:line="360" w:lineRule="auto"/>
              <w:rPr>
                <w:rFonts w:hint="eastAsia" w:ascii="宋体" w:hAnsi="宋体" w:eastAsia="宋体" w:cs="宋体"/>
                <w:vertAlign w:val="baseline"/>
              </w:rPr>
            </w:pPr>
            <w:r>
              <w:rPr>
                <w:rFonts w:hint="eastAsia" w:ascii="宋体" w:hAnsi="宋体" w:eastAsia="宋体" w:cs="宋体"/>
                <w:b w:val="0"/>
                <w:color w:val="0D0D0D"/>
                <w:sz w:val="18"/>
              </w:rPr>
              <w:t>说明已删除或拟删除哪些非必要信息，以及是否足以解决限制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1" w:type="dxa"/>
            <w:vAlign w:val="center"/>
          </w:tcPr>
          <w:p>
            <w:pPr>
              <w:spacing w:after="40" w:line="360" w:lineRule="auto"/>
              <w:rPr>
                <w:rFonts w:hint="eastAsia" w:ascii="宋体" w:hAnsi="宋体" w:eastAsia="宋体" w:cs="宋体"/>
                <w:vertAlign w:val="baseline"/>
              </w:rPr>
            </w:pPr>
            <w:r>
              <w:rPr>
                <w:rFonts w:hint="eastAsia" w:ascii="宋体" w:hAnsi="宋体" w:eastAsia="宋体" w:cs="宋体"/>
                <w:b w:val="0"/>
                <w:color w:val="0D0D0D"/>
                <w:sz w:val="18"/>
              </w:rPr>
              <w:t>最终依据</w:t>
            </w:r>
          </w:p>
        </w:tc>
        <w:tc>
          <w:tcPr>
            <w:tcW w:w="4811" w:type="dxa"/>
            <w:vAlign w:val="center"/>
          </w:tcPr>
          <w:p>
            <w:pPr>
              <w:spacing w:after="40" w:line="360" w:lineRule="auto"/>
              <w:rPr>
                <w:rFonts w:hint="eastAsia" w:ascii="宋体" w:hAnsi="宋体" w:eastAsia="宋体" w:cs="宋体"/>
                <w:vertAlign w:val="baseline"/>
              </w:rPr>
            </w:pPr>
            <w:r>
              <w:rPr>
                <w:rFonts w:hint="eastAsia" w:ascii="宋体" w:hAnsi="宋体" w:eastAsia="宋体" w:cs="宋体"/>
                <w:b w:val="0"/>
                <w:color w:val="0D0D0D"/>
                <w:sz w:val="18"/>
              </w:rPr>
              <w:t>说明为什么允许、为什么禁止，或者为什么仍需补充事实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11" w:type="dxa"/>
            <w:vAlign w:val="center"/>
          </w:tcPr>
          <w:p>
            <w:pPr>
              <w:spacing w:after="40" w:line="360" w:lineRule="auto"/>
              <w:rPr>
                <w:rFonts w:hint="eastAsia" w:ascii="宋体" w:hAnsi="宋体" w:eastAsia="宋体" w:cs="宋体"/>
                <w:vertAlign w:val="baseline"/>
              </w:rPr>
            </w:pPr>
            <w:r>
              <w:rPr>
                <w:rFonts w:hint="eastAsia" w:ascii="宋体" w:hAnsi="宋体" w:eastAsia="宋体" w:cs="宋体"/>
                <w:b w:val="0"/>
                <w:color w:val="0D0D0D"/>
                <w:sz w:val="18"/>
              </w:rPr>
              <w:t>适用边界</w:t>
            </w:r>
          </w:p>
        </w:tc>
        <w:tc>
          <w:tcPr>
            <w:tcW w:w="4811" w:type="dxa"/>
            <w:vAlign w:val="center"/>
          </w:tcPr>
          <w:p>
            <w:pPr>
              <w:spacing w:after="40" w:line="360" w:lineRule="auto"/>
              <w:rPr>
                <w:rFonts w:hint="eastAsia" w:ascii="宋体" w:hAnsi="宋体" w:eastAsia="宋体" w:cs="宋体"/>
                <w:vertAlign w:val="baseline"/>
              </w:rPr>
            </w:pPr>
            <w:r>
              <w:rPr>
                <w:rFonts w:hint="eastAsia" w:ascii="宋体" w:hAnsi="宋体" w:eastAsia="宋体" w:cs="宋体"/>
                <w:b w:val="0"/>
                <w:color w:val="0D0D0D"/>
                <w:sz w:val="18"/>
              </w:rPr>
              <w:t>明确本结论只适用于当前案件、当前材料和当前处理方式</w:t>
            </w:r>
          </w:p>
        </w:tc>
      </w:tr>
    </w:tbl>
    <w:p>
      <w:pPr>
        <w:numPr>
          <w:ilvl w:val="0"/>
          <w:numId w:val="0"/>
        </w:numPr>
        <w:spacing w:line="360" w:lineRule="auto"/>
        <w:rPr>
          <w:rFonts w:hint="eastAsia" w:ascii="宋体" w:hAnsi="宋体" w:eastAsia="宋体" w:cs="宋体"/>
        </w:rPr>
      </w:pPr>
    </w:p>
    <w:p>
      <w:pPr>
        <w:pStyle w:val="4"/>
        <w:bidi w:val="0"/>
        <w:spacing w:line="360" w:lineRule="auto"/>
        <w:rPr>
          <w:rFonts w:hint="eastAsia" w:ascii="宋体" w:hAnsi="宋体" w:eastAsia="宋体" w:cs="宋体"/>
          <w:color w:val="0D0D0D"/>
        </w:rPr>
      </w:pPr>
      <w:r>
        <w:rPr>
          <w:rFonts w:hint="eastAsia" w:ascii="宋体" w:hAnsi="宋体" w:eastAsia="宋体" w:cs="宋体"/>
          <w:color w:val="0D0D0D"/>
          <w:lang w:val="en-US" w:eastAsia="zh-CN"/>
        </w:rPr>
        <w:t>八</w:t>
      </w:r>
      <w:r>
        <w:rPr>
          <w:rFonts w:hint="eastAsia" w:ascii="宋体" w:hAnsi="宋体" w:eastAsia="宋体" w:cs="宋体"/>
          <w:color w:val="0D0D0D"/>
        </w:rPr>
        <w:t>、不同判断状态下的处理规则</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已经确认存在明确禁止</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即</w:t>
            </w:r>
            <w:r>
              <w:rPr>
                <w:rFonts w:hint="eastAsia" w:ascii="宋体" w:hAnsi="宋体" w:eastAsia="宋体" w:cs="宋体"/>
                <w:b w:val="0"/>
                <w:color w:val="0D0D0D"/>
                <w:sz w:val="18"/>
              </w:rPr>
              <w:t>法律构成已经成立，当前行为受到直接限制</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阻止当前外部处理，并记录具体依据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存在决定性问题但事实/依据未查清</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即</w:t>
            </w:r>
            <w:r>
              <w:rPr>
                <w:rFonts w:hint="eastAsia" w:ascii="宋体" w:hAnsi="宋体" w:eastAsia="宋体" w:cs="宋体"/>
                <w:b w:val="0"/>
                <w:color w:val="0D0D0D"/>
                <w:sz w:val="18"/>
              </w:rPr>
              <w:t>目前不能合法、准确地作出允许或禁止的确定判断</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暂停当前外部处理，提出具体问题交人工核实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信息敏感但法律基础、权限和处理条件明确</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即</w:t>
            </w:r>
            <w:r>
              <w:rPr>
                <w:rFonts w:hint="eastAsia" w:ascii="宋体" w:hAnsi="宋体" w:eastAsia="宋体" w:cs="宋体"/>
                <w:b w:val="0"/>
                <w:color w:val="0D0D0D"/>
                <w:sz w:val="18"/>
              </w:rPr>
              <w:t>敏感性本身没有形成禁止</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按必要性、最小化和相应保护要求处理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可以通过删除/匿名化等方式消除问题</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即原</w:t>
            </w:r>
            <w:r>
              <w:rPr>
                <w:rFonts w:hint="eastAsia" w:ascii="宋体" w:hAnsi="宋体" w:eastAsia="宋体" w:cs="宋体"/>
                <w:b w:val="0"/>
                <w:color w:val="0D0D0D"/>
                <w:sz w:val="18"/>
              </w:rPr>
              <w:t>始材料存在问题，但处理后的数据可能不再落入限制范围</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先处理数据，再重新进行法律判断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仅有合同/服务商规则禁止</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即可</w:t>
            </w:r>
            <w:r>
              <w:rPr>
                <w:rFonts w:hint="eastAsia" w:ascii="宋体" w:hAnsi="宋体" w:eastAsia="宋体" w:cs="宋体"/>
                <w:b w:val="0"/>
                <w:color w:val="0D0D0D"/>
                <w:sz w:val="18"/>
              </w:rPr>
              <w:t>能阻止当前服务调用，但性质不必然是法律禁止</w:t>
            </w:r>
          </w:p>
        </w:tc>
        <w:tc>
          <w:tcPr>
            <w:tcW w:w="3135" w:type="dxa"/>
            <w:vAlign w:val="center"/>
          </w:tcPr>
          <w:p>
            <w:pPr>
              <w:spacing w:after="40" w:line="360" w:lineRule="auto"/>
              <w:rPr>
                <w:rFonts w:hint="eastAsia" w:ascii="宋体" w:hAnsi="宋体" w:eastAsia="宋体" w:cs="宋体"/>
                <w:color w:val="0D0D0D"/>
              </w:rPr>
            </w:pPr>
            <w:r>
              <w:rPr>
                <w:rFonts w:hint="eastAsia" w:ascii="宋体" w:hAnsi="宋体" w:eastAsia="宋体" w:cs="宋体"/>
                <w:b w:val="0"/>
                <w:color w:val="0D0D0D"/>
                <w:sz w:val="18"/>
              </w:rPr>
              <w:t>停止使用该服务，并单独记录合同/业务依据</w:t>
            </w:r>
          </w:p>
        </w:tc>
      </w:tr>
    </w:tbl>
    <w:p>
      <w:pPr>
        <w:pStyle w:val="4"/>
        <w:bidi w:val="0"/>
        <w:spacing w:line="360" w:lineRule="auto"/>
        <w:rPr>
          <w:rFonts w:hint="eastAsia" w:ascii="宋体" w:hAnsi="宋体" w:eastAsia="宋体" w:cs="宋体"/>
          <w:color w:val="0D0D0D"/>
        </w:rPr>
      </w:pPr>
      <w:r>
        <w:rPr>
          <w:rFonts w:hint="eastAsia" w:ascii="宋体" w:hAnsi="宋体" w:eastAsia="宋体" w:cs="宋体"/>
          <w:color w:val="0D0D0D"/>
          <w:lang w:val="en-US" w:eastAsia="zh-CN"/>
        </w:rPr>
        <w:t>九</w:t>
      </w:r>
      <w:r>
        <w:rPr>
          <w:rFonts w:hint="eastAsia" w:ascii="宋体" w:hAnsi="宋体" w:eastAsia="宋体" w:cs="宋体"/>
          <w:color w:val="0D0D0D"/>
        </w:rPr>
        <w:t>、主要法源</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3192"/>
        <w:gridCol w:w="31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《中华人民共和国个人信息保护法》</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第4、6、13、21、23、27</w:t>
            </w:r>
            <w:r>
              <w:rPr>
                <w:rFonts w:hint="eastAsia" w:cs="宋体"/>
                <w:b w:val="0"/>
                <w:sz w:val="18"/>
                <w:szCs w:val="18"/>
                <w:lang w:eastAsia="zh-CN"/>
              </w:rPr>
              <w:t>-</w:t>
            </w:r>
            <w:r>
              <w:rPr>
                <w:rFonts w:hint="eastAsia" w:ascii="宋体" w:hAnsi="宋体" w:eastAsia="宋体" w:cs="宋体"/>
                <w:b w:val="0"/>
                <w:sz w:val="18"/>
                <w:szCs w:val="18"/>
              </w:rPr>
              <w:t>32、38</w:t>
            </w:r>
            <w:r>
              <w:rPr>
                <w:rFonts w:hint="eastAsia" w:cs="宋体"/>
                <w:b w:val="0"/>
                <w:sz w:val="18"/>
                <w:szCs w:val="18"/>
                <w:lang w:eastAsia="zh-CN"/>
              </w:rPr>
              <w:t>-</w:t>
            </w:r>
            <w:r>
              <w:rPr>
                <w:rFonts w:hint="eastAsia" w:ascii="宋体" w:hAnsi="宋体" w:eastAsia="宋体" w:cs="宋体"/>
                <w:b w:val="0"/>
                <w:sz w:val="18"/>
                <w:szCs w:val="18"/>
              </w:rPr>
              <w:t>40、51、55</w:t>
            </w:r>
            <w:r>
              <w:rPr>
                <w:rFonts w:hint="eastAsia" w:cs="宋体"/>
                <w:b w:val="0"/>
                <w:sz w:val="18"/>
                <w:szCs w:val="18"/>
                <w:lang w:eastAsia="zh-CN"/>
              </w:rPr>
              <w:t>-</w:t>
            </w:r>
            <w:r>
              <w:rPr>
                <w:rFonts w:hint="eastAsia" w:ascii="宋体" w:hAnsi="宋体" w:eastAsia="宋体" w:cs="宋体"/>
                <w:b w:val="0"/>
                <w:sz w:val="18"/>
                <w:szCs w:val="18"/>
              </w:rPr>
              <w:t>56、59、73条</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个人信息定义与处理行为、最小化、合法基础、委托/提供、敏感信息、未成年人、跨境、影响评估、去标识化与匿名化。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《中华人民共和国民法典》</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第1032</w:t>
            </w:r>
            <w:r>
              <w:rPr>
                <w:rFonts w:hint="eastAsia" w:cs="宋体"/>
                <w:b w:val="0"/>
                <w:sz w:val="18"/>
                <w:szCs w:val="18"/>
                <w:lang w:eastAsia="zh-CN"/>
              </w:rPr>
              <w:t>-</w:t>
            </w:r>
            <w:r>
              <w:rPr>
                <w:rFonts w:hint="eastAsia" w:ascii="宋体" w:hAnsi="宋体" w:eastAsia="宋体" w:cs="宋体"/>
                <w:b w:val="0"/>
                <w:sz w:val="18"/>
                <w:szCs w:val="18"/>
              </w:rPr>
              <w:t>1035、1038条</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隐私权、私密信息、个人信息处理及非法提供的民事权利边界。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《中华人民共和国保守国家秘密法》</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第29、31条</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国家秘密在公共网络、非涉密系统中的传递、存储、处理限制。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《北京市保守国家秘密条例》</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第11、17、19、40条</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北京定密边界、非涉密设备/公共网络限制及工作秘密保护。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《中华人民共和国传染病防治法》</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第13、16条</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传染病防治信息目的限制，以及患者、携带者、疑似患者隐私与个人信息不得泄露。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《北京市突发公共卫生事件应急条例》</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第7条</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北京突发公共卫生事件应对中获取个人信息的防泄露、防滥用规则。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《中华人民共和国反不正当竞争法》</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第10条</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商业秘密定义及违反保密义务披露、使用等禁止。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最高法商业秘密司法解释</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第5、10、21条</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商业秘密保密措施、保密义务及诉讼中的具体保密措施。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jc w:val="center"/>
        </w:trPr>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《中华人民共和国律师法》</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第38条</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律师执业保密义务。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《劳动争议调解仲裁法》及《劳动人事争议仲裁办案规则》</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第26条；办案规则第22、23、25条</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不公开仲裁、卷宗构成、查阅复制权及保密规则边界。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《中华人民共和国未成年人保护法》</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第72条</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网络处理未成年人个人信息的合法、正当、必要及不满14周岁特别要求。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《网络数据安全管理条例》</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第9、12、21、22、24、29、31条</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外部网络数据处理、委托/提供、告知、同意、删除匿名化、重要数据识别与风险评估。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《促进和规范数据跨境流动规定》</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第5、7、8、10、13条</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现行个人信息/数据出境豁免、评估、标准合同/认证及规则衔接。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《北京市数字经济促进条例》</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第20、45、48条</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北京数据处理一般边界，特别是匿名化、去标识化技术需结合应用场景进行安全评估。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GB/T 37964</w:t>
            </w:r>
            <w:r>
              <w:rPr>
                <w:rFonts w:hint="eastAsia" w:cs="宋体"/>
                <w:b w:val="0"/>
                <w:sz w:val="18"/>
                <w:szCs w:val="18"/>
                <w:lang w:eastAsia="zh-CN"/>
              </w:rPr>
              <w:t>-</w:t>
            </w:r>
            <w:r>
              <w:rPr>
                <w:rFonts w:hint="eastAsia" w:ascii="宋体" w:hAnsi="宋体" w:eastAsia="宋体" w:cs="宋体"/>
                <w:b w:val="0"/>
                <w:sz w:val="18"/>
                <w:szCs w:val="18"/>
              </w:rPr>
              <w:t>2019、GB/T 42460</w:t>
            </w:r>
            <w:r>
              <w:rPr>
                <w:rFonts w:hint="eastAsia" w:cs="宋体"/>
                <w:b w:val="0"/>
                <w:sz w:val="18"/>
                <w:szCs w:val="18"/>
                <w:lang w:eastAsia="zh-CN"/>
              </w:rPr>
              <w:t>-</w:t>
            </w:r>
            <w:r>
              <w:rPr>
                <w:rFonts w:hint="eastAsia" w:ascii="宋体" w:hAnsi="宋体" w:eastAsia="宋体" w:cs="宋体"/>
                <w:b w:val="0"/>
                <w:sz w:val="18"/>
                <w:szCs w:val="18"/>
              </w:rPr>
              <w:t>2023、GB/T 45574</w:t>
            </w:r>
            <w:r>
              <w:rPr>
                <w:rFonts w:hint="eastAsia" w:cs="宋体"/>
                <w:b w:val="0"/>
                <w:sz w:val="18"/>
                <w:szCs w:val="18"/>
                <w:lang w:eastAsia="zh-CN"/>
              </w:rPr>
              <w:t>-</w:t>
            </w:r>
            <w:r>
              <w:rPr>
                <w:rFonts w:hint="eastAsia" w:ascii="宋体" w:hAnsi="宋体" w:eastAsia="宋体" w:cs="宋体"/>
                <w:b w:val="0"/>
                <w:sz w:val="18"/>
                <w:szCs w:val="18"/>
              </w:rPr>
              <w:t>2025</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相关去标识化、效果评估及敏感个人信息安全要求</w:t>
            </w:r>
          </w:p>
        </w:tc>
        <w:tc>
          <w:tcPr>
            <w:tcW w:w="3192" w:type="dxa"/>
            <w:vAlign w:val="center"/>
          </w:tcPr>
          <w:p>
            <w:pPr>
              <w:spacing w:after="20" w:line="360" w:lineRule="auto"/>
              <w:rPr>
                <w:rFonts w:hint="eastAsia" w:ascii="宋体" w:hAnsi="宋体" w:eastAsia="宋体" w:cs="宋体"/>
                <w:sz w:val="18"/>
                <w:szCs w:val="18"/>
              </w:rPr>
            </w:pPr>
            <w:r>
              <w:rPr>
                <w:rFonts w:hint="eastAsia" w:ascii="宋体" w:hAnsi="宋体" w:eastAsia="宋体" w:cs="宋体"/>
                <w:b w:val="0"/>
                <w:sz w:val="18"/>
                <w:szCs w:val="18"/>
              </w:rPr>
              <w:t>推荐性国家标准；用于技术识别、重标识风险评估和安全控制，不作为独立法律禁止依据。</w:t>
            </w:r>
          </w:p>
        </w:tc>
      </w:tr>
    </w:tbl>
    <w:p>
      <w:pPr>
        <w:pStyle w:val="165"/>
        <w:spacing w:line="360" w:lineRule="auto"/>
        <w:ind w:left="340" w:hanging="170"/>
        <w:rPr>
          <w:rFonts w:hint="eastAsia" w:ascii="宋体" w:hAnsi="宋体" w:eastAsia="宋体" w:cs="宋体"/>
          <w:color w:val="0D0D0D"/>
          <w:sz w:val="18"/>
          <w:szCs w:val="18"/>
        </w:rPr>
      </w:pPr>
    </w:p>
    <w:sectPr>
      <w:footerReference r:id="rId5" w:type="default"/>
      <w:pgSz w:w="12240" w:h="15840"/>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DejaVu Math TeX Gyre"/>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DejaVu Math TeX Gyre">
    <w:panose1 w:val="02000503000000000000"/>
    <w:charset w:val="00"/>
    <w:family w:val="auto"/>
    <w:pitch w:val="default"/>
    <w:sig w:usb0="A10000EF" w:usb1="4201F9EE" w:usb2="02000000" w:usb3="00000000" w:csb0="60000193" w:csb1="0DD40000"/>
  </w:font>
  <w:font w:name="Yu Gothic">
    <w:panose1 w:val="020B0400000000000000"/>
    <w:charset w:val="80"/>
    <w:family w:val="auto"/>
    <w:pitch w:val="default"/>
    <w:sig w:usb0="E00002FF" w:usb1="2AC7FDFF" w:usb2="00000016" w:usb3="00000000" w:csb0="200200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64274F6"/>
    <w:rsid w:val="38833BF0"/>
    <w:rsid w:val="5FBF4F90"/>
    <w:rsid w:val="6C130295"/>
    <w:rsid w:val="F7FBA202"/>
    <w:rsid w:val="FD6961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rPr>
      <w:sz w:val="24"/>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正文1"/>
    <w:qFormat/>
    <w:uiPriority w:val="0"/>
    <w:pPr>
      <w:spacing w:after="120" w:line="324" w:lineRule="auto"/>
    </w:pPr>
    <w:rPr>
      <w:rFonts w:ascii="宋体" w:hAnsi="宋体" w:eastAsia="宋体" w:cstheme="minorBidi"/>
      <w:sz w:val="21"/>
      <w:szCs w:val="22"/>
      <w:lang w:val="en-US" w:eastAsia="en-US" w:bidi="ar-SA"/>
    </w:rPr>
  </w:style>
  <w:style w:type="paragraph" w:customStyle="1" w:styleId="166">
    <w:name w:val="原文"/>
    <w:qFormat/>
    <w:uiPriority w:val="0"/>
    <w:pPr>
      <w:spacing w:after="100" w:line="288" w:lineRule="auto"/>
      <w:ind w:left="397" w:right="227"/>
    </w:pPr>
    <w:rPr>
      <w:rFonts w:ascii="宋体" w:hAnsi="宋体" w:eastAsia="宋体" w:cstheme="minorBidi"/>
      <w:sz w:val="19"/>
      <w:szCs w:val="22"/>
      <w:lang w:val="en-US" w:eastAsia="en-US" w:bidi="ar-SA"/>
    </w:rPr>
  </w:style>
  <w:style w:type="paragraph" w:customStyle="1" w:styleId="167">
    <w:name w:val="法条原文"/>
    <w:qFormat/>
    <w:uiPriority w:val="0"/>
    <w:pPr>
      <w:spacing w:after="100" w:line="300" w:lineRule="auto"/>
      <w:ind w:left="369" w:right="255"/>
    </w:pPr>
    <w:rPr>
      <w:rFonts w:ascii="宋体" w:hAnsi="宋体" w:eastAsia="宋体" w:cstheme="minorBidi"/>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管弦乐</cp:lastModifiedBy>
  <dcterms:modified xsi:type="dcterms:W3CDTF">2026-09-15T11:42:21Z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C86CE4AF48CC403CB32825F92436424F</vt:lpwstr>
  </property>
</Properties>
</file>