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Title"/>
        <w:spacing w:after="200" w:before="240" w:lineRule="auto"/>
        <w:rPr/>
      </w:pPr>
      <w:bookmarkStart w:colFirst="0" w:colLast="0" w:name="_heading=h.plxsu1nmqu48" w:id="0"/>
      <w:bookmarkEnd w:id="0"/>
      <w:r>
        <w:rPr>
          <w:rtl w:val="0"/>
        </w:rPr>
      </w:r>
    </w:p>
    <w:p w14:paraId="00000002">
      <w:pPr>
        <w:rPr/>
      </w:pPr>
      <w:r>
        <w:rPr>
          <w:rtl w:val="0"/>
        </w:rPr>
      </w:r>
    </w:p>
    <w:p w14:paraId="00000003">
      <w:pPr>
        <w:rPr/>
      </w:pPr>
      <w:r>
        <w:rPr>
          <w:rtl w:val="0"/>
        </w:rPr>
      </w:r>
    </w:p>
    <w:p w14:paraId="00000004">
      <w:pPr>
        <w:pStyle w:val="Title"/>
        <w:spacing w:after="200" w:before="240" w:lineRule="auto"/>
        <w:rPr/>
      </w:pPr>
      <w:bookmarkStart w:colFirst="0" w:colLast="0" w:name="_heading=h.iygpj3gzq5ll" w:id="1"/>
      <w:bookmarkEnd w:id="1"/>
      <w:r>
        <w:rPr/>
        <mc:AlternateContent>
          <mc:Choice Requires="wpg">
            <w:drawing>
              <wp:inline distB="57150" distT="57150" distL="57150" distR="57150">
                <wp:extent cx="1485900" cy="92432"/>
                <wp:effectExtent b="0" l="0" r="0" t="0"/>
                <wp:docPr descr="Decorative black rule used in the memo template.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51650" y="3666150"/>
                          <a:ext cx="4388700" cy="227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57150" distT="57150" distL="57150" distR="57150">
                <wp:extent cx="1485900" cy="92432"/>
                <wp:effectExtent b="0" l="0" r="0" t="0"/>
                <wp:docPr descr="Decorative black rule used in the memo template." id="1" name="image6.png"/>
                <a:graphic>
                  <a:graphicData uri="http://schemas.openxmlformats.org/drawingml/2006/picture">
                    <pic:pic>
                      <pic:nvPicPr>
                        <pic:cNvPr descr="Decorative black rule used in the memo template."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9243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p>
      <w:pPr>
        <w:pStyle w:val="Title"/>
        <w:spacing w:after="200" w:before="240" w:line="240" w:lineRule="auto"/>
        <w:rPr>
          <w:b w:val="1"/>
          <w:bCs w:val="1"/>
          <w:sz w:val="80"/>
          <w:szCs w:val="80"/>
        </w:rPr>
      </w:pPr>
      <w:r>
        <w:rPr>
          <w:b w:val="1"/>
          <w:bCs w:val="1"/>
          <w:sz w:val="80"/>
          <w:szCs w:val="80"/>
          <w:rtl w:val="0"/>
          <w:rFonts w:ascii="Hiragino Sans GB" w:hAnsi="Hiragino Sans GB" w:eastAsia="Hiragino Sans GB" w:cs="Hiragino Sans GB"/>
        </w:rPr>
        <w:t>案隐盾</w:t>
        <w:br/>
        <w:t>法律标注指南</w:t>
      </w:r>
    </w:p>
    <w:p w14:paraId="00000006">
      <w:pPr>
        <w:rPr/>
      </w:pPr>
      <w:r>
        <w:rPr>
          <w:rtl w:val="0"/>
        </w:rPr>
      </w:r>
    </w:p>
    <w:p w14:paraId="00000007">
      <w:pPr>
        <w:rPr/>
      </w:pPr>
      <w:r>
        <w:rPr>
          <w:rtl w:val="0"/>
        </w:rPr>
      </w:r>
    </w:p>
    <w:p>
      <w:pPr>
        <w:spacing w:after="200" w:lineRule="auto"/>
        <w:rPr>
          <w:color w:val="666666"/>
        </w:rPr>
      </w:pPr>
      <w:r>
        <w:rPr>
          <w:color w:val="666666"/>
          <w:rtl w:val="0"/>
          <w:rFonts w:ascii="Arial Unicode MS" w:hAnsi="Arial Unicode MS" w:eastAsia="Arial Unicode MS" w:cs="Arial Unicode MS"/>
        </w:rPr>
        <w:t>事实摘要辅助 · 披露控制 · 技术反馈闭环</w:t>
      </w:r>
    </w:p>
    <w:p w14:paraId="00000009">
      <w:pPr>
        <w:spacing w:after="200" w:lineRule="auto"/>
        <w:rPr/>
      </w:pPr>
      <w:r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330"/>
        <w:gridCol w:w="1485"/>
        <w:gridCol w:w="3150"/>
        <w:tblGridChange w:id="0">
          <w:tblGrid>
            <w:gridCol w:w="1335"/>
            <w:gridCol w:w="3330"/>
            <w:gridCol w:w="1485"/>
            <w:gridCol w:w="315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  <w:rFonts w:ascii="Hiragino Sans GB" w:hAnsi="Hiragino Sans GB" w:eastAsia="Hiragino Sans GB" w:cs="Hiragino Sans GB"/>
              </w:rPr>
              <w:t>适用人员</w:t>
            </w:r>
          </w:p>
        </w:tc>
        <w:tc>
          <w:tcPr>
            <w:tcBorders>
              <w:top w:color="e6e6e6" w:space="0" w:sz="7" w:val="single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  <w:rFonts w:ascii="Arial Unicode MS" w:hAnsi="Arial Unicode MS" w:eastAsia="Arial Unicode MS" w:cs="Arial Unicode MS"/>
              </w:rPr>
              <w:t>法学标注员／复核人／技术人员</w:t>
            </w:r>
          </w:p>
        </w:tc>
        <w:tc>
          <w:tcPr>
            <w:tcBorders>
              <w:top w:color="e6e6e6" w:space="0" w:sz="7" w:val="single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  <w:rFonts w:ascii="Hiragino Sans GB" w:hAnsi="Hiragino Sans GB" w:eastAsia="Hiragino Sans GB" w:cs="Hiragino Sans GB"/>
              </w:rPr>
              <w:t>版本</w:t>
            </w:r>
          </w:p>
        </w:tc>
        <w:tc>
          <w:tcPr>
            <w:tcBorders>
              <w:top w:color="e6e6e6" w:space="0" w:sz="7" w:val="single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  <w:rFonts w:ascii="Arial Unicode MS" w:hAnsi="Arial Unicode MS" w:eastAsia="Arial Unicode MS" w:cs="Arial Unicode MS"/>
              </w:rPr>
              <w:t>v0.1 · 2026-09-12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  <w:rFonts w:ascii="Hiragino Sans GB" w:hAnsi="Hiragino Sans GB" w:eastAsia="Hiragino Sans GB" w:cs="Hiragino Sans GB"/>
              </w:rPr>
              <w:t>工作范围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  <w:rFonts w:ascii="Arial Unicode MS" w:hAnsi="Arial Unicode MS" w:eastAsia="Arial Unicode MS" w:cs="Arial Unicode MS"/>
              </w:rPr>
              <w:t>现有10案的小批量内部试跑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  <w:rFonts w:ascii="Hiragino Sans GB" w:hAnsi="Hiragino Sans GB" w:eastAsia="Hiragino Sans GB" w:cs="Hiragino Sans GB"/>
              </w:rPr>
              <w:t>资料状态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  <w:rFonts w:ascii="Arial Unicode MS" w:hAnsi="Arial Unicode MS" w:eastAsia="Arial Unicode MS" w:cs="Arial Unicode MS"/>
              </w:rPr>
              <w:t>已接收；尚待双人复核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  <w:rFonts w:ascii="Hiragino Sans GB" w:hAnsi="Hiragino Sans GB" w:eastAsia="Hiragino Sans GB" w:cs="Hiragino Sans GB"/>
              </w:rPr>
              <w:t>配套文件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  <w:rFonts w:ascii="Arial Unicode MS" w:hAnsi="Arial Unicode MS" w:eastAsia="Arial Unicode MS" w:cs="Arial Unicode MS"/>
              </w:rPr>
              <w:t>法律标注工作簿（同版本）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  <w:rFonts w:ascii="Hiragino Sans GB" w:hAnsi="Hiragino Sans GB" w:eastAsia="Hiragino Sans GB" w:cs="Hiragino Sans GB"/>
              </w:rPr>
              <w:t>规则材料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  <w:rFonts w:ascii="Arial Unicode MS" w:hAnsi="Arial Unicode MS" w:eastAsia="Arial Unicode MS" w:cs="Arial Unicode MS"/>
              </w:rPr>
              <w:t>40类客体 · 60条法源记录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  <w:rFonts w:ascii="Hiragino Sans GB" w:hAnsi="Hiragino Sans GB" w:eastAsia="Hiragino Sans GB" w:cs="Hiragino Sans GB"/>
              </w:rPr>
              <w:t>本版目标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  <w:rFonts w:ascii="Arial Unicode MS" w:hAnsi="Arial Unicode MS" w:eastAsia="Arial Unicode MS" w:cs="Arial Unicode MS"/>
              </w:rPr>
              <w:t>统一标注口径，支持真实反馈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  <w:rFonts w:ascii="Hiragino Sans GB" w:hAnsi="Hiragino Sans GB" w:eastAsia="Hiragino Sans GB" w:cs="Hiragino Sans GB"/>
              </w:rPr>
              <w:t>适用边界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  <w:rFonts w:ascii="Arial Unicode MS" w:hAnsi="Arial Unicode MS" w:eastAsia="Arial Unicode MS" w:cs="Arial Unicode MS"/>
              </w:rPr>
              <w:t>不自动批准外发或公开</w:t>
            </w:r>
          </w:p>
        </w:tc>
      </w:tr>
    </w:tbl>
    <w:p w14:paraId="0000001A">
      <w:pPr>
        <w:spacing w:after="200" w:before="320" w:lineRule="auto"/>
        <w:rPr>
          <w:b w:val="1"/>
          <w:bCs w:val="1"/>
        </w:rPr>
      </w:pPr>
      <w:r>
        <w:rPr>
          <w:rtl w:val="0"/>
        </w:rPr>
      </w:r>
    </w:p>
    <w:p w14:paraId="0000001B">
      <w:pPr>
        <w:spacing w:after="200" w:before="320" w:lineRule="auto"/>
        <w:rPr>
          <w:b w:val="1"/>
          <w:bCs w:val="1"/>
        </w:rPr>
      </w:pPr>
      <w:r>
        <w:br w:type="page"/>
      </w:r>
      <w:r>
        <w:rPr>
          <w:rtl w:val="0"/>
        </w:rPr>
      </w:r>
    </w:p>
    <w:p>
      <w:pPr>
        <w:pStyle w:val="Heading1"/>
        <w:keepNext w:val="1"/>
        <w:pageBreakBefore w:val="1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使用本指南：先做一案，再形成统一口径</w:t>
      </w:r>
    </w:p>
    <w:p>
      <w:pPr>
        <w:keepNext w:val="0"/>
        <w:pageBreakBefore w:val="0"/>
        <w:pBdr>
          <w:left w:color="111111" w:space="5" w:sz="16" w:val="single"/>
        </w:pBdr>
        <w:shd w:fill="f7f7f7" w:val="clear"/>
        <w:spacing w:after="180" w:before="60" w:line="240" w:lineRule="auto"/>
        <w:ind w:left="140" w:right="140" w:firstLine="0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17"/>
          <w:szCs w:val="17"/>
          <w:rtl w:val="0"/>
        </w:rPr>
        <w:t>本版提供完整的工作口径和配套填表结构。现有资料已导入参考页；事实、披露和裁定工作区保留为空，等待真实标注。本次未执行案件模型试跑，12条预置反馈全部标为“资料审查”。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1900"/>
        <w:gridCol w:w="3450"/>
        <w:gridCol w:w="401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190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先看什么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34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对应工作簿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40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用于完成什么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19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第一至六部分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4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案件索引／来源登记／主体登记／事实标注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40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确认原文、拆分命题，保留来源冲突。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19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第七至九部分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4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披露标注／规则参考／边界规则／法源目录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40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确定必要性、精度、转换与限制。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19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第十至十一部分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4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摘要验收／技术反馈／复核裁定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40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记录真实运行差异、裁定与回归。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190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附录A：字段字典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4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8张录入工作表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40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按列名填写；受控选项以表内下拉为准。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19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附录B—D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4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填写示例／参考页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40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参考完整示例、风险目录与交付检查。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pStyle w:val="Heading2"/>
        <w:keepNext w:val="1"/>
        <w:pageBreakBefore w:val="0"/>
        <w:spacing w:after="80" w:before="14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18"/>
          <w:szCs w:val="18"/>
          <w:rtl w:val="0"/>
        </w:rPr>
        <w:t>空值约定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空白表示尚未填写；未载明表示原文未陈述该值；未提供表示材料未交付；不适用须确实不适用；待核验表示尚未获得足够证据。不能用“无”替代其中任何一种。事实状态、复核状态、披露结论使用各表自身的下拉值。</w:t>
      </w:r>
    </w:p>
    <w:p>
      <w:pPr>
        <w:pStyle w:val="Heading2"/>
        <w:keepNext w:val="1"/>
        <w:pageBreakBefore w:val="0"/>
        <w:spacing w:after="80" w:before="14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18"/>
          <w:szCs w:val="18"/>
          <w:rtl w:val="0"/>
        </w:rPr>
        <w:t>文件与权限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工作簿包含原始分类值和局部原文，应保存在项目的受控工作区。原件不改写、不覆盖；旧标注不直接覆盖。向外部服务发送何种信息，需要具体任务和接收环境的证据，不能从本指南或“已复核”标签推导授权。</w:t>
      </w:r>
    </w:p>
    <w:p>
      <w:pPr>
        <w:pStyle w:val="Heading1"/>
        <w:keepNext w:val="1"/>
        <w:pageBreakBefore w:val="1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一、指南用途与工作流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本指南服务于案隐盾的两个相邻任务：把裁判文书中的事实整理成可追溯记录，再判断哪些事实对当前摘要任务是必需、应以什么粒度和方式披露。标注员只依据材料本身，不根据常识补齐事实，不把法律评价写成案件事实。每条记录都应能回到原文位置，并能说明为何保留、概括、替换或暂不使用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主流程为：案件登记—主体登记—事实标注—披露标注—摘要验收—技术反馈。规则参考、法源目录和原始分类清单用于查证与追踪，不能代替当前案件的独立判断。先确认文书版本和来源，再填写记录；先写事实和证据状态，再做披露判断；遇到冲突或规则不明，保留不确定性并提交复核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工作簿预置现有案件、规则、法源和原始分类行，预置不等于已审核或已发布。待标注、待核验、待仲裁的内容必须走双人复核流程。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3120"/>
        <w:gridCol w:w="3120"/>
        <w:gridCol w:w="312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顺序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主表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完成标准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案件索引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确认案件、类别、文件版本和批次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主体登记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建立案件内稳定主体ID和角色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3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事实标注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记录原子命题、来源、状态和证据可得性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披露标注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分别判断必要性、粒度、动作和复核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摘要验收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把参考要求与实际输出逐项比对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6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技术反馈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记录问题、决定、修复和回归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二、现有资料、现状与边界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目前可用材料包括个人信息—个保法处理方式对应表、其他敏感客体—相应法条处理方式对照表、总法源目录、硬性禁止与人工复核回答、劳动关系确定类五个案件包、工伤医疗类五个样例及其标注表、五份样例裁判文书和本机运行状态记录。现有十案来自劳动关系及工伤医疗方向，适合小规模试跑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五个劳动案件分类表合计136条非空原始分类行，工伤医疗样例表合计244条数据行，合计380条原始分类行。这是文件中的已有行数，不是380条已由双人核验的原子事实，也不是380条金标准。原始分类清单应保留文件名、工作表、行号和原始内容，待复核后再建立正式事实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任务分工文件是工作安排，不是完成证明。当前不能据此声称100案已完成、全量规则已生效、云端调用已经成功或正式发布已解除。LOCAL_STATUS中的测试、服务、OCR、语音和外发状态均属于运行事实，状态变化须另行更新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本指南不新增法律结论。规范性内容须区分强制法律、解释或参考资料、项目内部措施。法源目录和映射表中疑似过时、摘录不全或表述有误的内容只能作为待核验引用，不能未经核对复制为规范。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不得把原始分类清单直接当作训练金标准。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不得把参考摘要、旧标注答案或模型输出放入模型原始事实输入区。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不得因解析器暂不支持.doc或.xlsx而删去原文事实或改写法律标签。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不得为填满字段而猜测日期、金额、主体身份或法律关系。</w:t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三、双人独立与仲裁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每案至少由标注员A、标注员B独立阅读和标注。独立意味着在看到对方结论前分别完成主体、事实、披露和不确定性记录；可以查阅相同原文、规则表和指南，但不能复制对方记录制造一致。两人的原始记录都要保存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分歧按记录ID和字段定位，不用“整体不同意”代替具体差异。仲裁员查看双方引用的原文和规则依据，给出裁定值、裁定理由、是否需要修改指南以及指南版本。仲裁员不能为了提高一致率而选择证据较弱的答案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分歧至少分为原文识别、法律规则适用、披露风险、工具或格式四类。前两类由法学负责人裁定；披露风险由法学与技术共同判断；工具问题由技术处理，但不能改动法律事实。裁定应写入复核裁定或技术反馈。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案件内使用稳定ID；修改增加修订号，不覆盖原值。案件索引用“案件状态”；来源、规则和法源用“核验状态”；主体、事实和披露用“复核状态”；复核裁定用“裁定状态”；摘要验收用“实测结论”；技术反馈用“处理状态”。各表下拉值和字段字典是唯一填写口径，不能把不同状态混用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合并金标准时新增批次GOLD-v0.1：为裁定采用的事实与披露结论新增记录，关联裁定ID和原A/B记录ID。A/B初标行保持原值；仅有“已裁定”状态不能证明该行就是最终采用值。技术导出只读取有裁定链的GOLD批次，保留旧版本供回溯。</w:t>
      </w:r>
    </w:p>
    <w:p>
      <w:pPr>
        <w:pStyle w:val="Heading1"/>
        <w:keepNext w:val="1"/>
        <w:pageBreakBefore w:val="1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四、原文、摘要和来源锚点分离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案件原文、人工事实标注、参考摘要、模型输入、模型输出和验收意见是六种不同对象。原文区只放原始文件及可定位文本；事实区是结构化表达；参考摘要区说明人工认为必须覆盖的事实；拟外发模型输入只能使用经核准的最小必要事实片段；本地解析输入按已登记的原文边界处理；模型输出保存实际结果；验收区逐项比对。任何一列都不能冒充另一类对象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来源锚点至少包含文件名、文件版本或哈希、页码或段落号、表名和行号（如适用）、原文短引。页码不可得时写稳定段落序号或文本定位，并说明定位方式。金额、日期和主体名称必须引用包含该值的原文，而不是只引用摘要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同一事实在起诉状、判决理由、主文、证据材料中出现时，分别建来源陈述，并注明来源层级。裁判认定、当事人主张、证人陈述和标注员推断不可混为一个事实。可用“法院认定”“原告主张”“被告抗辩”“材料未说明”等认识状态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原文、参考摘要和分类表不一致时，保留三者各自内容，建立冲突ID并写明待核查问题，不为使表格整齐而替换原文。</w:t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五、原子事实、主体、时间、金额和证据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一条事实记录只表达一个可核查命题。主体、行为或关系、客体、时间、地点、数量或金额、来源和状态可以作为同一命题的属性，但两个独立结果、两个不同金额或两个不同主体应拆开。拆分的目的，是让每个字段能够独立验收和披露，而不是把句子切得越碎越好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主体：使用主体登记中的案件内ID；记录原文称谓、角色（劳动者、用人单位、被告、工伤职工等）和主体类型。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关系或事件：用短而稳定的关系名表达，如劳动关系主张、仲裁裁决、工伤认定、停工留薪期、解除通知；不要把“应当承担责任”直接当事件。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时间：填写原文日期、日期类型和来源。起止日期拆成开始与结束；无法确定日时保留原粒度。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金额：记录币种、数值、项目、提出者或裁判层级。请求、仲裁、一审、二审金额分开记录。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证据可得性：选择已提供原件或副本、仅文书提及、未提供、无法判断、不适用；该字段说明证据是否在当前材料中，不裁定事实真伪。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事实状态只能从工作簿枚举中选择：当事人主张、对方抗辩、无争议事实、仲裁认定、一审认定、二审认定、裁判说理、证据记载、待核实、仅参考摘要。标注员推断不是事实状态；推断只能写在理由或待核实说明中，不得写成事实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争议状态：无已知争议、存在争议、来源冲突、程序阶段不同、待法学复核；用冲突ID连接相关记录。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3120"/>
        <w:gridCol w:w="3120"/>
        <w:gridCol w:w="312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情况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正确做法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禁止做法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多个程序金额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分别记录项目和程序层级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只留一个涉案金额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日期冲突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保留双方来源并建冲突ID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自行选最终日期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关系与责任并存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分别记录关系类型和责任依据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由责任推定劳动关系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条件性文字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保留条件状态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把如存在改成已发生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跨度与指代：原文片段覆盖足以判断主体、否定词、条件和数值的最短文本。跨句指代引用两处锚点；同一段涉及多个主体或两个独立结果时拆行。标题、脚注、附件表格中的标识信息也要检查，不能只标正文。</w:t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六、已有案例中的校准点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LA002中，文书段落记录劳动关系为2015年9月1日至2020年6月30日；二审裁判说理另出现9月25日，参考摘要也出现9月25日或9月1日差异。应分别记录来源，不得把9月25日直接定为最终日期；技术输出只保留一个日期时，作为来源冲突反馈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LA005中出现2026年6月25日送达通知与2025年6月26日待岗开始等信息。日期的年份和事件含义要按原文核对，不能用常识自动修正。其请求69302.50元、仲裁62403.86元、一审61834.46元等程序金额也要分别登记并保留提出者和层级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工伤医疗样例2既有既往生效仲裁裁决未确认劳动关系，又有工伤认定或保险责任内容；违法分包场景的责任承担也不当然等于一般劳动关系成立。关系类型、工伤认定、责任承担和程序效力必须分开。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工伤医疗样例5的B10为44614，Excel显示为常规数值。按日期序列可能对应2022年2月22日，但只有上下文和原件共同证实后才能标日期；证实前保留原始数值、格式和待核验状态。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这些例子说明填写方法和回归点，不代表已经完成真实试跑，也不构成新的法律结论。</w:t>
      </w:r>
    </w:p>
    <w:p>
      <w:pPr>
        <w:pStyle w:val="Heading1"/>
        <w:keepNext w:val="1"/>
        <w:pageBreakBefore w:val="1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七、必要性、转换动作和风险类型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任务必要性回答“这项信息对当前摘要是否需要”；转换动作回答“需要时怎样呈现”；风险类型回答“为何需要保护或复核”。三者分别填写。必要不等于原样公开，敏感也不等于一律删除；结论要结合任务、角色、上下文和条件。必要性只能选：必须、条件必要、不必要、待判断；动作只能选：保留、假名化、概括、删除、待定。人工复核是独立流程字段，不是动作。粒度应填写具体精度，例如主体是否保留案件内标识、日期精确到日或月、金额原数或区间，不要用粒度代替动作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两张敏感客体表提供了共40类风险类型的既有映射。应选择源表行和风险ID，按原表记录处理方式、条件和核验状态，不凭印象改写。发现遗漏、冲突或当前任务确有新风险时，可先选待复核并记录理由；经法学裁定后可以版本化新增风险类型，不得未经裁定直接加入数据集。案件内化名只改变呈现标识，不等于删除主体在案件中的关系。LA001出现默认删除但结果写成“劳动者_A”，应拆开检查是删除原姓名、保留案件内主体，还是删除整条事实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必要性：必须、条件必要、不必要、待判断；必须要写支持的具体判断，条件必要要写触发条件。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粒度：填写具体精度和范围，不与动作混写。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动作：保留、假名化、概括、删除、待定。人工复核另填复核状态和理由。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依据：引用个人信息表、其他敏感客体表、法源目录或项目规则的记录ID；待核验时同步标记。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条件满足：已满足、未满足、未知、不适用。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处理环境：本地内部、拟境内受托处理、拟向其他处理者提供、拟公开、拟跨境、待确认。</w:t>
      </w:r>
    </w:p>
    <w:p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限制性质：法律限制、程序措施、合同限制、服务商规则、项目控制、无已知限制、待确认。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假名化不等于匿名化：案件内代称与角色关系应保持一致，原名映射只在本地保存。日期、地点、岗位和事件组合仍可能识别个人。不能仅因去掉姓名就标为不受个人信息规则约束。该项为项目工作口径；具体法律术语按已核验法源使用。</w:t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八、法源层级、禁止、复核和未知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规则性质标记为法律或法规强制要求、司法解释或权威解释、项目内部保护措施、参考建议、待核验。强制要求决定合规底线，项目措施可以设置更严格的处理，参考建议只能辅助判断。层级不明时不能升级为强制规则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硬性禁止须记录触发条件、触发证据、禁止对象和范围；人工复核须记录原因、引用记录ID和下一步状态。未知表示材料不足以确认事实、条件或规则，不是“无”或“不重要”。来源冲突须记录双方、锚点、当前裁定和裁定人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硬性禁止、人工复核回答中的提示语和记录要求属于项目工作规则，需与法源条款分开存放。系统命中禁止或复核条件时应给出可解释原因和规则ID，不应只显示失败。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资料中存在待核验摘录。例如个人信息表关于个保法第十三条的引文存在遗漏和编号偏移；总法源目录中的律师法条文版本也可能受2026年修订影响。核验完成前不得把有问题的摘录复制为规范答案；使用已核对法源时注明版本和生效日期。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2200"/>
        <w:gridCol w:w="716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20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核验顺序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716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必须记录的内容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2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1 保护对象与事实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1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对象是否成立，来源锚点是什么，哪些事实尚未知。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2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2 当前处理行为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1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本地、受托处理、向其他处理者提供、公开或跨境；实际接收方和数据流向。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2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3 权限与约束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1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谁有权决定处理，授权范围，程序措施、合同、服务商条件的有效内容。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20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4 最小化后的判断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16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拟删除或概括什么；处理后是否仍落入限制范围；条件是否已满足。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2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5 结论与说明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1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明确禁止则阻止当前处理；关键事实未知则待补事实；能解决时记录最小化后复核范围。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九、摘要最小必要与防止虚构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参考摘要是为当前任务保留足以理解争点、程序位置、结果及依据的最小事实集合。每项摘要要求在摘要验收表中链接事实记录并说明必要理由。与任务无关的联系方式、精确住址、内部编号或敏感细节，除非任务和规则明确需要，不应进入摘要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摘要必须区分主张、认定和未知。使用限定语，不能把当事人主张改写成法院认定，也不能把标注员推断写成裁判结论。金额和日期带上项目、程序阶段或主体。像“如原材料中存在”这样的表述只是检查项或条件提示，不得作为已发生事实进入摘要；条件未确认时应写待核实或不写入事实摘要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模型输出新增主体、日期、金额、因果关系、责任结论或法律依据时，标为虚构或越权，标出实际输出位置，并说明核对哪些来源后仍未找到支持。已判定删除或条件禁止的内容重新出现时，标为披露错误。事实必须有来源，摘要必须有事实链接。</w:t>
      </w:r>
    </w:p>
    <w:p>
      <w:pPr>
        <w:pStyle w:val="Heading1"/>
        <w:keepNext w:val="1"/>
        <w:pageBreakBefore w:val="1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十、真实试跑与技术反馈闭环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需要使用已有案例进行真实试跑，再修改指南。第一批建议从十案选取3至5案，覆盖日期冲突、多个程序金额、关系与责任区分、条件性文字和敏感主体转换。试跑使用真实原文、当前解析器和当前规则包；开始前记录代码版本、规则版本、文书版本和输入清单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每案由法学标注员形成事实和披露标注候选，技术用同一输入运行，双方在摘要验收表逐项比对。无论候选金标准是否已经审核，真实运行产生的差异都可以记录为观察。技术反馈至少填写案件ID、记录ID或摘要要求ID、反馈来源、错误类型、实际值、期望值、来源锚点、法律问题、优先级、反馈状态、处理人、决定、修复版本和回归结果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错误类型严格使用工作簿枚举：原始资料问题、标注边界不清、法律规则待核验、解析错误、抽取遗漏或错配、转换过度或不足、摘要遗漏或虚构、权限或门禁错误、输入答案污染、数据覆盖不足。反馈来源使用资料审查、真实试跑、人工标注分歧、回归测试。候选金标准待审核时，错误可先记为观察或待分析，不提前定性为模型错误。正确标注不能为迁就程序缺陷而改变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一轮结束后，法学负责人修改字段定义、规则条件、示例或复核门槛；技术负责人修复解析、映射、输入隔离或输出控制。每次修改增加指南和规则版本，并用已修案例及一个新案回归。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3120"/>
        <w:gridCol w:w="3120"/>
        <w:gridCol w:w="312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类别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识别方式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处理人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代码/管线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已核准事实未被提取、传递或输出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技术修复并回归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规则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规则ID、条件或层级映射错误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法学核定后技术更新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来源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文件、版本或锚点丢失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补来源登记并检查导入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标注歧义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指南允许多种理解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仲裁并修改示例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格式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字段缺失或枚举非法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312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技术修复，不改事实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建议首批校准集为LA-002、LA-005、GS-002、GS-005，另外6案作为保留评估集。此划分是试跑安排，不是独立盲测证明；材料已被阅读或用于修订时，应如实记录使用历史。同案重复文件和相邻程序材料不得跨组。第一轮不训练模型，先验证解析、事实、转换、摘要和反馈链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技术每次交付：运行ID；代码提交和未提交差异；解析器、模型、提示词与规则版本；实际输入文件及哈希；实际输出与日志定位；是否尝试外发、是否发生发送的分别证据；错误明细；修复与重跑结果。环境无法运行时记录阻断及缺失依赖，不编造成功结果。</w:t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十一、验收、发布、版本和交接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通过验收至少需要：来源可定位；主体ID一致；事实有认识状态和证据可得性；日期、金额和程序层级没有无依据合并；争议和未知没有被抹平；披露动作有必要性、依据和理由；参考摘要要求均有事实链接；输出没有未解释的虚构、越权、禁止内容；双人分歧有仲裁记录。自动计数只能提示缺项，不能替代人工批准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内部标注包经历候选、内部试跑和复核定版；这些是工作阶段，表内仍使用各表自己的下拉状态。内部试跑可以使用保留冲突和待核验标记的标注包，前提是其输入、输出、日志和访问范围可控；内部试跑批准与真实外发许可是两个独立门槛。法律规则待核验、关键来源无法读取或冲突未裁定，不一概禁止内部试跑，但须在摘要和验收中保留相应状态。真实外发另行通过权限、处理环境、服务商、跨境和证据核验后才能许可。LOCAL_STATUS中的服务、依赖和外发状态应作为发布核查项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修改指南字段、枚举、规则、解析器、模型输入或输出策略，都要更新版本号、变更说明、受影响案件和回归结果。旧标注保留其当时的规则引用，不能静默覆盖。复盘关注重复分歧和各风险类型覆盖，不能只看一致率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法学侧交付案件范围、事实字段、主体角色、40类风险源表对应、规则层级、禁止和复核条件，以及带记录ID、锚点、规则ID、理由、状态和版本的候选金标准。技术侧交付解析事实、输入快照、输出、字段差异、错误分类、运行版本、复现配置、修复和回归结果。双方能用案件ID和记录ID互相定位，才算完成交接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工作簿固定包含15张表：开始、案件索引、来源登记、主体登记、事实标注、披露标注、复核裁定、摘要验收、技术反馈、规则参考、边界规则、法源目录、原始分类清单、填写示例、标注选项。</w:t>
      </w:r>
    </w:p>
    <w:p>
      <w:pPr>
        <w:pStyle w:val="Heading1"/>
        <w:keepNext w:val="1"/>
        <w:pageBreakBefore w:val="1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附录A｜工作簿字段字典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所有数据表第5行为列名，第6行起填写。下面按Excel列序说明8张工作表；“质检提示”由公式生成。原始参考页保留来源列，核验状态与修订列另行填写。表头批注也包含同一说明。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必填规则：创建记录后，必须填写记录ID、案件ID、标注人/评价人、来源和该表的核心判断。未实际运行时，运行ID与输出不得伪造；按“未试跑”状态保留。复核人和裁定日期在真实裁定后才填写。具体不适用需说明，不能用随意占位通过质检。</w:t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A1  案件索引</w:t>
      </w:r>
    </w:p>
    <w:p>
      <w:pPr>
        <w:keepNext w:val="1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已有10案登记；已接收不等于已复核。用途分组是首轮建议，可调整并记录原因。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2750"/>
        <w:gridCol w:w="661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7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Excel列与字段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66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填写口径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A  案件ID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沿用LA-001至005；医疗样例固定GS-001至005，不能混号。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B  类别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案件归类，不等于所有争议已覆盖。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C  现有原件或标注包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来源登记中的文件名或材料ID。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D  参考摘要位置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记录与原文的分界，进入输入前须复核。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E  原始分类行数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仅原始清单非空信息类型行计数，非金标准事实数。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F  数据集用途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同一案件全部版本归同一组。</w:t>
              <w:br/>
              <w:t>选项：校准集、保留评估集、扩展候选、暂不入集。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G  主要核验点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预置问题来自资料审查，非模型实测。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H  任务目的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本轮固定为事实摘要辅助与披露控制。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I  地区与程序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从文书核验；无记载填未载明。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J  标注员A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分配后填真实内部账号或编号。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K  标注员B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须与A不同，独立初标。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L  复核人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处理分歧和审核结论。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M  案件状态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通过复核裁定后才能设为已复核。</w:t>
              <w:br/>
              <w:t>选项：待标注、标注中、待复核、已复核、暂缓。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N  指南版本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本轮v0.1，修改须留版本。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O  备注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完成条件、问题ID及限制。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A2  来源登记</w:t>
      </w:r>
    </w:p>
    <w:p>
      <w:pPr>
        <w:keepNext w:val="1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材料登记和版本追溯；原件与参考摘要分开登记。原文件保持只读。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2750"/>
        <w:gridCol w:w="661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7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Excel列与字段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66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填写口径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A  材料ID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唯一编号，新增衍生文件另编号。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B  案件ID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规则资料填GLOBAL，案件填索引ID。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C  文件名或包内路径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保留准确文件名；包内文件写完整层级。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D  来源用途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原件/参考摘要/已有分类分离。</w:t>
              <w:br/>
              <w:t>选项：原始材料、已有参考摘要、已有分类、混合材料待分离、规则资料、状态证据、任务分工、模型输出、补充材料。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E  SHA256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原文件哈希；未计算留待技术补齐，不猜。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F  来源版本或日期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资料接收版本及日期。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G  输入边界或衍生关系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描述剔除参考摘要、表格、说明的范围。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H  技术处理状态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转换、分离、OCR是否完成及验证状态。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I  核验状态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未核验不能作为已审核材料。</w:t>
              <w:br/>
              <w:t>选项：待核验、核验中、已核验、有冲突、暂不适用。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J  核验人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实际完成后填写。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K  本地定位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受控相对路径或原位置；不填公开下载链接。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A3  主体登记</w:t>
      </w:r>
    </w:p>
    <w:p>
      <w:pPr>
        <w:keepNext w:val="1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一案一套主体ID；同一主体多角色写角色对应的程序阶段。原名映射仅限本地。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2750"/>
        <w:gridCol w:w="661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7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Excel列与字段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66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填写口径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A  主体记录ID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例如LA-001-E001-A，单行唯一。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B  案件ID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必须存在于案件索引。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C  主体ID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例如LA-001-P01，跨文书同主体复用。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D  原名及别名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仅照原文登记，不反向识别某某。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E  主体类型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公司与自然人不能因清单错标而合并。</w:t>
              <w:br/>
              <w:t>选项：自然人、法人或组织、机关或机构、主体不明。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F  角色及程序阶段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如劳动者；一审原告、二审被上诉人。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G  稳定代称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如劳动者_A、公司_B，全案一致。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H  来源材料ID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关联来源登记。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I  来源锚点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含锚点类型、段落或单元格及短引文。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J  合并或拆分依据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同名不自动同人；歧义保留多个主体。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K  标注人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独立填写，不共享初标答案。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L  批次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例如B01-A。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M  复核状态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初标后进入待复核。</w:t>
              <w:br/>
              <w:t>选项：待标注、待复核、有分歧、已裁定、已撤回。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N  质检提示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系统公式，仅检查部分格式，不代表法律审核。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A4  事实标注</w:t>
      </w:r>
    </w:p>
    <w:p>
      <w:pPr>
        <w:keepNext w:val="1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一行一项可核对命题；各标注员独立记录。证据被提及与证据实际提供分别判断。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2750"/>
        <w:gridCol w:w="661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7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Excel列与字段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66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填写口径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A  标注记录ID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例如LA-002-F001-A；每位标注员不同，单行唯一。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B  案件ID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必须存在于案件索引。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C  事实组ID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复核时对齐同一命题，例如LA-002-F001；未对齐可先用自编ID。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D  来源材料ID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真实原件或衍生正文材料ID，不能以摘要替代。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E  来源锚点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例如抽取文本05_02.txt P20；不是原Word页码。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F  原文片段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短引文保留否定、条件和上下文指代。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G  事实类型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为后续结构化接口提供分类。</w:t>
              <w:br/>
              <w:t>选项：实体属性、主体关系、事件、日期期间、金额、证据描述、程序事项、裁判结果。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H  主体ID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关联主体登记；多个主体用分号。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I  事实命题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中性描述一件事，不能夹入未获支持的推断。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J  陈述主体或裁判机构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谁主张、谁认定，不能留空。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K  事实状态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主张/认定/说理分开。</w:t>
              <w:br/>
              <w:t>选项：当事人主张、对方抗辩、无争议事实、仲裁认定、一审认定、二审认定、裁判说理、证据记载、待核实、仅参考摘要。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L  程序阶段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仲裁、一审、二审；前案与本案分开。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M  时间原值及规范值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保留原值→YYYY-MM-DD；不完整日期保持精度。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N  金额币种及口径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如62403.86元；仲裁裁决金额；税前未知。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O  证据可得性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判决提及银行流水不等于已经提供流水。</w:t>
              <w:br/>
              <w:t>选项：已提供原件或副本、仅文书提及、未提供、无法判断、不适用。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P  关联证据或命题ID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证明/反驳/依赖关系，写清方向。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Q  争议或冲突ID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与技术反馈或复核裁定关联，无冲突填无。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  任务必要性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事实层的摘要必要性，不等于允许外传。</w:t>
              <w:br/>
              <w:t>选项：必须、条件必要、不必要、待判断。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S  条件或判断理由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为何必要/不必要，条件必要须写触发条件。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T  标注人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填写内部编号。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U  批次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例如B01-A；不能覆盖B的初标。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V  复核状态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裁定前不设已裁定。</w:t>
              <w:br/>
              <w:t>选项：待标注、待复核、有分歧、已裁定、已撤回。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W  质检提示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只查ID、来源、立场等结构缺漏。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A5  披露标注</w:t>
      </w:r>
    </w:p>
    <w:p>
      <w:pPr>
        <w:keepNext w:val="1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一行对应一个信息片段×任务×接收环境；必要性、精度、转换和限制分别填写。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2750"/>
        <w:gridCol w:w="661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7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Excel列与字段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66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填写口径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A  披露记录ID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例如LA-001-D001-A，单行唯一。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B  案件ID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必须存在于案件索引。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C  关联事实或主体ID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可填多个，用分号；纯无关隐私可只关联主体。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D  来源材料ID与锚点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应可直接定位被处理的片段。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E  待处理原值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仅本地保存；禁止为举例补全匿名身份。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F  保护对象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引用规则参考编号并说明对象；允许多重属性。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G  任务目的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本轮事实摘要；新用途需另行判断。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H  任务必要性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不得直接沿用必须保留等混合标签。</w:t>
              <w:br/>
              <w:t>选项：必须、条件必要、不必要、待判断。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I  保留精度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如仅主体角色、年月、必要日期、争议金额。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J  转换动作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复核是流程，不是转换动作。</w:t>
              <w:br/>
              <w:t>选项：保留、假名化、概括、删除、待定。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K  期望处理结果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写出精确预期文本；删除填不进入输出，并指明删除范围。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L  触发条件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写可验证条件，不能只写视情况。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M  条件满足情况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未知不能按已满足处理。</w:t>
              <w:br/>
              <w:t>选项：已满足、未满足、未知、不适用。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N  处理环境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本地/受托/提供/公开/跨境分开。</w:t>
              <w:br/>
              <w:t>选项：本地内部、拟境内受托处理、拟向其他处理者提供、拟公开、拟跨境、待确认。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O  权限与服务条件证据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授权范围、接收方角色、保存训练访问等证据；缺则未提供。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P  限制性质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法律、合同、程序、项目控制分别定位。</w:t>
              <w:br/>
              <w:t>选项：法律限制、程序措施、合同限制、服务商规则、项目控制、无已知限制、待确认。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Q  规则与法源ID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R-PI/R-OT/BND/LAW编号及具体条款版本。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  拟披露结论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条件通过仍需技术执行核验，不自动发送。</w:t>
              <w:br/>
              <w:t>选项：仅本地待核验、条件通过待执行核验、禁止当前处理、待补事实、不适用。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S  复核问题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具体缺哪项事实、权限、法源或环境证据。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T  标注人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填写内部编号。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U  批次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与事实初标批次对应。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V  复核状态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结论由复核裁定表确认。</w:t>
              <w:br/>
              <w:t>选项：待标注、待复核、有分歧、已裁定、已撤回。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W  质检提示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检查条件和结果等格式缺漏，不能替代法律判断。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A6  复核裁定</w:t>
      </w:r>
    </w:p>
    <w:p>
      <w:pPr>
        <w:keepNext w:val="1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保留A/B原始意见；每个分歧一行，必须给理由、适用范围及回写位置。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2750"/>
        <w:gridCol w:w="661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7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Excel列与字段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66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填写口径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A  裁定ID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例如ADJ-001。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B  案件ID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规则问题填GLOBAL。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C  关联记录ID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事实、披露、摘要或规则记录ID，分号分隔。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D  问题类型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事实分歧、边界分歧、法律依据或数据质量。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E  A意见及记录ID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原样保存关键差异。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F  B意见及记录ID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不能由A代填B意见。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G  确认事实与未知项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分开写已确认和待补。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H  裁定结果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决定采用/并列/不确定/退回，给可执行值。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I  裁定理由及依据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来源锚点、规则版本与适用条件。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J  适用范围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当前案或可推广规则；不能默认全案外发授权。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K  回写表及记录ID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落实修改的具体位置。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L  复核人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有权限的实际复核人。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M  裁定日期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实际日期YYYY-MM-DD。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N  指南版本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本次依据的版本。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O  裁定状态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未解决可需补材料。</w:t>
              <w:br/>
              <w:t>选项：待裁定、需补材料、已裁定、撤回重审。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P  质检提示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已裁定须具备人、日期、结果和理由。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A7  摘要验收</w:t>
      </w:r>
    </w:p>
    <w:p>
      <w:pPr>
        <w:keepNext w:val="1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先写期望要求，真实试跑后再填实际输出；不同运行ID分别记录，不能覆盖。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2750"/>
        <w:gridCol w:w="661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7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Excel列与字段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66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填写口径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A  验收记录ID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例如GS-002-S001。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B  案件ID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同案件多条验收要求。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C  运行ID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未试跑留空；由技术提供可复现编号。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D  验收维度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每行只评一个可判定要求。</w:t>
              <w:br/>
              <w:t>选项：核心事实覆盖、事实有据、主体一致、程序与立场、日期金额准确、争议保留、最小必要、隐私泄漏、保密限制、可追溯性。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E  关联金标准事实ID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仅采用经裁定事实；未审核的标注不能作定论。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F  期望要求与允许表达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写必须出现/不得出现/须注明争议，允许语义等价。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G  参考摘要位置与版本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已有摘要只供参照，错误需登记反馈。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H  实际输出位置及片段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真实运行后填写；不把示例冒充输出。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I  实测结论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未试跑与无法评价不同。</w:t>
              <w:br/>
              <w:t>选项：未试跑、通过、不通过、无法评价。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J  错误及理由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说明遗漏、幻觉或不适用原因。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K  关联反馈ID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有问题时关联技术反馈。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L  评价人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实际人工评估人。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M  指南与规则版本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记录对应版本。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N  质检提示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通过须有运行、实际证据和评价人。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A8  技术反馈</w:t>
      </w:r>
    </w:p>
    <w:p>
      <w:pPr>
        <w:keepNext w:val="1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预置资料审查问题不算实跑结果。技术填证据，法学答规则和标签，重跑后才能关闭。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2750"/>
        <w:gridCol w:w="661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7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Excel列与字段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66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填写口径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A  反馈ID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FB-001起，单行唯一。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B  案件ID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全局规则填GLOBAL。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C  反馈来源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资料审查与真实试跑分开。</w:t>
              <w:br/>
              <w:t>选项：资料审查、真实试跑、人工标注分歧、回归测试。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D  运行ID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无运行填未试跑，不造日志。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E  代码模型规则版本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真实试跑必须记录commit/工作区差异、模型和规则。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F  关联记录或来源锚点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指向原始单元格、段落、事实或披露ID。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G  实际观察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只写观察到的现象。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H  期望行为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给可验收要求，不只说效果不好。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I  错误类型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先定位问题层，不把资料错误记为模型错误。</w:t>
              <w:br/>
              <w:t>选项：原始资料问题、标注边界不清、法律规则待核验、解析错误、抽取遗漏或错配、转换过度或不足、摘要遗漏或虚构、权限或门禁错误、输入答案污染、数据覆盖不足。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J  优先级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P0阻断放行，P1影响核心，P2一般。</w:t>
              <w:br/>
              <w:t>选项：P0阻断、P1重要、P2一般。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K  待法学回答的问题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具体可回答的问题，法条适用/标签/范围。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L  法学裁定及修改位置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填ADJ-ID、规则或标签修订位置。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M  技术修复及版本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记录修改点及可复现版本。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N  负责人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待分配时留空。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O  处理状态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关闭前必须有重跑或复核证据。</w:t>
              <w:br/>
              <w:t>选项：待分析、待法学、待技术、待补材料、待重跑、已验证关闭、暂缓。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P  重跑ID与证据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保留原运行，新增重跑ID；资料问题可填复核证据。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Q  关闭结论与日期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实际核验后填写。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75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  质检提示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61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已验证关闭须存在证据及关闭结论。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附录B｜完整填写示范与边界案例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以下DEMO为合成教学材料，不属于现有10案，不进入金标准统计或模型事实输入。真实案例示例只说明处理方法，尚未作正式法学裁定。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2000"/>
        <w:gridCol w:w="736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00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工作表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736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可对照填写的一条记录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来源登记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材料ID=DEMO-SRC-01；来源用途=原始材料；输入正文=“劳动者称3月工资尚欠5000元。”；版本=DEMO-v1；来源锚点=示例文本第1句。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主体登记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主体记录ID=DEMO-E001-A；案件ID=DEMO；主体ID=DEMO-P01；原称=劳动者；角色=劳动者，程序未载明；稳定代称=劳动者_A；来源=DEMO-SRC-01/第1句；标注人=A；批次=演示；复核状态=待复核。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事实标注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标注记录ID=DEMO-F001-A；事实组ID=DEMO-F001；案件ID=DEMO；来源=DEMO-SRC-01/第1句；原文片段=全句；类型=金额；主体=DEMO-P01；命题=劳动者_A主张3月工资尚欠5000元；陈述主体=劳动者_A；事实状态=当事人主张；时间=3月，年份未载明；金额=5000元，工资欠款主张；证据可得性=未提供；必要性=必须；理由=工资请求核心事实；批次=演示；复核状态=待复核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披露标注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披露记录ID=DEMO-D001-A；关联事实=DEMO-F001；原值=主体原称；对象=姓名或称谓；任务=事实摘要；必要性=必须（主体角色）；精度=角色代称；动作=假名化；期望结果=劳动者_A；条件=任务需要区分主体；条件满足=已满足；环境=本地内部；外部权限证据=未提供；限制性质=项目控制；规则=R-PI-01（待核验）；拟披露结论=仅本地待核验；问题=外部接收条件未核验；复核状态=待复核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摘要验收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记录ID=DEMO-S001；维度=程序与立场；期望=应表述“劳动者_A主张”，不得写成法院认定欠款；运行ID与实际输出留空；实测结论=未试跑。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技术反馈与复核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将来真实输出如丢失“主张”，技术再建立运行记录、附实际输出、来源和期望要求；法学确认口径后写裁定ID与回写位置。没有真实运行或裁定时，演示中不填写通过、已裁定或已验证关闭。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演示案未注册在真实“案件索引”，因此直接复制演示ID到正式工作区会触发案件ID提示，这是预期行为。学习时使用工作簿“填写示例”，真实标注必须替换为已登记案件及其证据。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2400"/>
        <w:gridCol w:w="696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40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真实问题锚点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696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标注边界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4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LA-002 / FB-005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9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分三行保存仲裁09-01、一审09-01、二审说理09-25；同一冲突ID；来源分别为抽取05_02.txt P15/P20/P23；参考摘要不是消除原文冲突的授权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40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GS-005 / FB-010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696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如原材料中存在只形成候选检查规则；若未找到出现锚点，不建已出现事实，不计入漏识别分母；未提供不能写无；经完整检查未出现才可判负例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4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GS-002 / FB-011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69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前案不成立劳动关系；工伤责任另列。保留前案、行政认定、本案说理的来源与时间；承担责任不是劳动关系成立的同义标签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pStyle w:val="Heading1"/>
        <w:keepNext w:val="1"/>
        <w:pageBreakBefore w:val="0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附录C｜40类对象与原始规则入口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这是既有法学表的对象索引，不是自动放行清单。规则正文、原摘录、原建议和复核触发点完整保存在“规则参考”；硬性禁止与冲突问答保存在“边界规则”。每次引用还须核验当前对象、主体、行为、版本、权限和条件。</w:t>
      </w:r>
    </w:p>
    <w:p>
      <w:pPr>
        <w:pStyle w:val="Heading2"/>
        <w:keepNext w:val="1"/>
        <w:pageBreakBefore w:val="0"/>
        <w:spacing w:after="80" w:before="14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18"/>
          <w:szCs w:val="18"/>
          <w:rtl w:val="0"/>
        </w:rPr>
        <w:t>个人信息表：25类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2000"/>
        <w:gridCol w:w="736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00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规则ID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736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原表对象名称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R-PI-01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姓名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R-PI-02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身份证件号码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R-PI-03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住址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R-PI-04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手机号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R-PI-05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电子邮箱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R-PI-06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出生日期/年龄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R-PI-07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银行账号/银行卡号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R-PI-08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工资/奖金金额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R-PI-09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社保账号/缴费记录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R-PI-10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医疗健康信息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R-PI-11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工伤认定/劳动能力鉴定结果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R-PI-12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生育/孕产健康信息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R-PI-13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指纹/人脸等生物识别信息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R-PI-14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行踪轨迹/精确定位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R-PI-15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宗教信仰/特定身份信息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R-PI-16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不满14周岁未成年人信息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R-PI-17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家庭成员信息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R-PI-18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聊天账号/微信号/社交账号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R-PI-19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考勤/打卡时间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R-PI-20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绩效考核/奖惩记录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R-PI-21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录音/录像及其中的人声、肖像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R-PI-22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银行流水中的交易对手/其他账户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R-PI-23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税号/个税申报信息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R-PI-24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证人信息/第三方联系人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R-PI-25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离职/解除原因中的健康或家庭情况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pStyle w:val="Heading2"/>
        <w:keepNext w:val="1"/>
        <w:pageBreakBefore w:val="0"/>
        <w:spacing w:after="80" w:before="14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18"/>
          <w:szCs w:val="18"/>
          <w:rtl w:val="0"/>
        </w:rPr>
        <w:t>其他敏感客体表：15类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2000"/>
        <w:gridCol w:w="736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00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规则ID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736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原表对象名称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R-OT-01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企业商业秘密—技术信息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R-OT-02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企业商业秘密—经营信息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R-OT-03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商业秘密载体及保密措施材料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R-OT-04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未公开财务经营资料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R-OT-05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招投标及采购保密资料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R-OT-06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医疗病历、病案资料（作为特殊证据客体）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R-OT-07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医疗鉴定/职业病鉴定原始材料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R-OT-08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个人征信报告/信用信息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R-OT-09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企业征信/企业信用报告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R-OT-10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国家秘密材料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R-OT-11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工作秘密及机关内部敏感材料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R-OT-12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法院/仲裁机构采取保密措施的诉讼材料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R-OT-13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第三方保密协议及合同保密条款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R-OT-14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电子数据原始载体及取证镜像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0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R-OT-15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3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未公开调查、审计及内部合规材料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分类迁移原则：保留原始行ID与原文；一条旧行可拆成多个事实和披露记录；条件清单可以只关联规则。不得通过直接把“必须保留”映射为保留、把“条件保留”映射为无条件保留完成迁移。</w:t>
      </w:r>
    </w:p>
    <w:p>
      <w:pPr>
        <w:pStyle w:val="Heading1"/>
        <w:keepNext w:val="1"/>
        <w:pageBreakBefore w:val="1"/>
        <w:spacing w:after="200" w:before="32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22"/>
          <w:szCs w:val="22"/>
          <w:rtl w:val="0"/>
        </w:rPr>
        <w:t>附录D｜验收、版本与法源核验记录</w:t>
      </w:r>
    </w:p>
    <w:tbl>
      <w:tblPr>
        <w:tblStyle w:val="Table3"/>
        <w:tblW w:w="9360" w:type="dxa"/>
        <w:jc w:val="left"/>
        <w:tblLayout w:type="fixed"/>
        <w:tblLook w:val="0400"/>
      </w:tblPr>
      <w:tblGrid>
        <w:gridCol w:w="2100"/>
        <w:gridCol w:w="7260"/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10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检验项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726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Hiragino Sans GB" w:cs="Hiragino Sans GB" w:eastAsia="Hiragino Sans GB" w:hAnsi="Hiragino Sans GB"/>
                <w:b w:val="1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>内部标注包的通过条件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1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来源和输入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2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十案清单一致；同案去重；输入原文与答案分离；正文转换可定位；未提供附件单列。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1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标注完整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2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关键命题覆盖；主张/认定/说理可区分；时间、金额、主体关系有来源；未知与冲突未抹平。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1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双人和裁定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2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A/B记录独立保存；分歧有裁定或明确的未解决状态；GOLD批次有可追溯采用依据。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210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披露最小化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  <w:tcW w:w="7260"/>
          </w:tcPr>
          <w:p>
            <w:pPr>
              <w:keepNext w:val="1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动作有精度、期望文本和条件；规则性质清楚；未查清的权限与环境不会被当成满足。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210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运行与反馈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5F5F5" w:val="clear"/>
            <w:tcMar>
              <w:top w:w="100.0" w:type="dxa"/>
              <w:bottom w:w="100.0" w:type="dxa"/>
            </w:tcMar>
            <w:vAlign w:val="center"/>
            <w:tcW w:w="7260"/>
          </w:tcPr>
          <w:p>
            <w:pPr>
              <w:keepNext w:val="0"/>
              <w:keepLines w:val="1"/>
              <w:pageBreakBefore w:val="0"/>
              <w:spacing w:after="40" w:before="4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实际输入输出、运行版本可复现；资料问题与系统错误分开；P0问题未验证关闭时不得批准相应外部处理。</w:t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pStyle w:val="Heading2"/>
        <w:keepNext w:val="1"/>
        <w:pageBreakBefore w:val="0"/>
        <w:spacing w:after="80" w:before="14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18"/>
          <w:szCs w:val="18"/>
          <w:rtl w:val="0"/>
        </w:rPr>
        <w:t>建议记录的试跑指标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核心事实覆盖率=正确覆盖的经复核必需事实数÷经复核必需事实总数；事实有据率=可由来源支持的输出命题数÷全部输出命题数；转换正确率=符合已裁定处理要求的片段数÷本轮已裁定待评片段数。分母为0或金标准未完成时写无法评价。单列主体错配、关键日期金额错误、隐私或禁止内容出现数，不能用平均分抵消阻断问题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双人一致率分别按事实命题和披露字段报告；未对齐事实先由复核人对齐再计分。记录样本量、案型、规则类别、未评价项和错误明细。首轮10案只用于诊断与校准，不能据此声称已达到稳定上线准确率。以上指标为建议的人工复盘方法，工作簿未自动计算这些语义指标。</w:t>
      </w:r>
    </w:p>
    <w:p>
      <w:pPr>
        <w:pStyle w:val="Heading2"/>
        <w:keepNext w:val="1"/>
        <w:pageBreakBefore w:val="0"/>
        <w:spacing w:after="80" w:before="14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18"/>
          <w:szCs w:val="18"/>
          <w:rtl w:val="0"/>
        </w:rPr>
        <w:t>版本与技术接入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文件名使用项目_类型_版本，原件只读；新增修订记录受影响的事实ID、规则ID、问题ID和重跑ID。修改枚举必须同时更新指南、标注选项、下拉验证、技术映射及回归。工作簿是交接格式，本次未验证可直接导入现有系统；技术应先完成字段映射和导入校验，未支持的法律字段单独保留，不丢弃。</w:t>
      </w:r>
    </w:p>
    <w:p>
      <w:pPr>
        <w:pStyle w:val="Heading2"/>
        <w:keepNext w:val="1"/>
        <w:pageBreakBefore w:val="1"/>
        <w:spacing w:after="80" w:before="140" w:line="240" w:lineRule="auto"/>
        <w:rPr/>
      </w:pPr>
      <w:r>
        <w:rPr>
          <w:rFonts w:ascii="Hiragino Sans GB" w:cs="Hiragino Sans GB" w:eastAsia="Hiragino Sans GB" w:hAnsi="Hiragino Sans GB"/>
          <w:b w:val="1"/>
          <w:bCs w:val="1"/>
          <w:i w:val="0"/>
          <w:iCs w:val="0"/>
          <w:color w:val="111111"/>
          <w:sz w:val="18"/>
          <w:szCs w:val="18"/>
          <w:rtl w:val="0"/>
        </w:rPr>
        <w:t>资料与法源核验边界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本版依据本对话已读取的法学附件及其提取副本，保留两份映射表40类对象、总法源目录60行、问答正文及4表、10案380条原始分类和相关裁判文本。任务分工用于确定交接职责；本机状态用于说明测试与外发边界，均不证明工作已完成。两份控制文件原微信临时路径本次不可用，工作簿登记为待补原件哈希；其已读内容仅作历史上下文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已抽查的官方依据如下；这不是对60条法源的逐条法律审定。法源表保留原摘录，核验提示明确疑点，待法学负责人填写核验结论。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［1］《中华人民共和国个人信息保护法》，2021年通过、2021-11-01施行；工业和信息化部转载全文，检索于2026-09-12。第13条应保留“同意”这一合法基础及其与其他基础的关系；表内遗漏、编号偏移不得沿用。https://www.miit.gov.cn/jgsj/zfs/fl/art/2022/art_515a4b20c12f430eab54bb4f56d89f56.html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［2］全国人大常委会关于修改《中华人民共和国律师法》的决定，2026-08-28受权发布，2026-09-01施行；检索于2026-09-12。根据新增条文顺延，原第38条对应现第41条属于条次映射判断，仍须对照整编文本和适用期间复核。https://www.xinhuanet.com/politics/20260828/1dfbd0eeae8745b6a6960c9891e33f69/c.html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111"/>
          <w:sz w:val="18"/>
          <w:szCs w:val="18"/>
          <w:rtl w:val="0"/>
        </w:rPr>
        <w:t>本版没有替团队签署任何法学复核、技术验收或外发许可。正式采用时，复核人应在工作簿登记依据、适用范围、姓名或内部编号及实际日期。</w:t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tabs>
        <w:tab w:val="right" w:leader="none" w:pos="9214"/>
      </w:tabs>
      <w:rPr>
        <w:color w:val="999999"/>
        <w:sz w:val="18"/>
        <w:szCs w:val="18"/>
        <w:rFonts w:ascii="Arial Unicode MS" w:hAnsi="Arial Unicode MS" w:eastAsia="Arial Unicode MS" w:cs="Arial Unicode MS"/>
      </w:rPr>
    </w:pPr>
    <w:r>
      <w:rPr>
        <w:color w:val="999999"/>
        <w:sz w:val="18"/>
        <w:szCs w:val="18"/>
        <w:rtl w:val="0"/>
        <w:rFonts w:ascii="Arial Unicode MS" w:hAnsi="Arial Unicode MS" w:eastAsia="Arial Unicode MS" w:cs="Arial Unicode MS"/>
      </w:rPr>
      <w:t xml:space="preserve">内部试跑资料 · 2026-09-12</w:t>
      <w:tab/>
    </w:r>
    <w:r>
      <w:rPr>
        <w:color w:val="999999"/>
        <w:sz w:val="18"/>
        <w:szCs w:val="18"/>
        <w:rFonts w:ascii="Arial Unicode MS" w:hAnsi="Arial Unicode MS" w:eastAsia="Arial Unicode MS" w:cs="Arial Unicode MS"/>
      </w:rPr>
      <w:fldChar w:fldCharType="begin"/>
      <w:instrText xml:space="preserve">PAGE</w:instrText>
      <w:fldChar w:fldCharType="separate"/>
      <w:fldChar w:fldCharType="end"/>
    </w:r>
    <w:r>
      <w:rPr>
        <w:rtl w:val="0"/>
        <w:rFonts w:ascii="Arial Unicode MS" w:hAnsi="Arial Unicode MS" w:eastAsia="Arial Unicode MS" w:cs="Arial Unicode MS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jc w:val="right"/>
      <w:rPr>
        <w:color w:val="999999"/>
        <w:sz w:val="24"/>
        <w:szCs w:val="24"/>
        <w:rFonts w:ascii="Arial Unicode MS" w:hAnsi="Arial Unicode MS" w:eastAsia="Arial Unicode MS" w:cs="Arial Unicode MS"/>
      </w:rPr>
    </w:pPr>
    <w:r>
      <w:rPr>
        <w:color w:val="999999"/>
        <w:sz w:val="18"/>
        <w:szCs w:val="18"/>
        <w:rtl w:val="0"/>
        <w:rFonts w:ascii="Arial Unicode MS" w:hAnsi="Arial Unicode MS" w:eastAsia="Arial Unicode MS" w:cs="Arial Unicode MS"/>
      </w:rPr>
      <w:t xml:space="preserve">案隐盾 · 法律标注指南 · v0.1</w:t>
    </w:r>
    <w:r>
      <w:rPr>
        <w:rtl w:val="0"/>
        <w:rFonts w:ascii="Arial Unicode MS" w:hAnsi="Arial Unicode MS" w:eastAsia="Arial Unicode MS" w:cs="Arial Unicode MS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