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511F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sz w:val="36"/>
          <w:szCs w:val="36"/>
        </w:rPr>
      </w:pPr>
      <w:r>
        <w:rPr>
          <w:sz w:val="36"/>
          <w:szCs w:val="36"/>
        </w:rPr>
        <w:t>匿名化材料向大模型及境外服务传输的风险分析</w:t>
      </w:r>
    </w:p>
    <w:p w14:paraId="3D9EFBD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8"/>
          <w:szCs w:val="28"/>
        </w:rPr>
      </w:pPr>
      <w:r>
        <w:rPr>
          <w:sz w:val="28"/>
          <w:szCs w:val="28"/>
        </w:rPr>
        <w:t>一、匿名化材料自身的风险</w:t>
      </w:r>
    </w:p>
    <w:p w14:paraId="77DE1F6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42" w:firstLineChars="200"/>
        <w:textAlignment w:val="auto"/>
      </w:pPr>
      <w:r>
        <w:t>风险一：匿名化失效与身份重新识别</w:t>
      </w:r>
    </w:p>
    <w:p w14:paraId="7A98ECB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风险机制：删除姓名、身份证号等直接标识符，并不意味着材料中不再包含可识别信息。案件时间、地点、职业、特殊经历等准标识符仍可能与公开资料关联，使原本匿名化的材料重新指向特定个人。</w:t>
      </w:r>
    </w:p>
    <w:p w14:paraId="079DBDF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ascii="宋体" w:hAnsi="宋体" w:eastAsia="宋体" w:cs="宋体"/>
          <w:sz w:val="24"/>
          <w:szCs w:val="24"/>
        </w:rPr>
      </w:pPr>
      <w:r>
        <w:t>案例：</w:t>
      </w:r>
      <w:r>
        <w:rPr>
          <w:rFonts w:ascii="宋体" w:hAnsi="宋体" w:eastAsia="宋体" w:cs="宋体"/>
          <w:sz w:val="24"/>
          <w:szCs w:val="24"/>
        </w:rPr>
        <w:t>2024年，</w:t>
      </w:r>
      <w:r>
        <w:rPr>
          <w:rFonts w:hint="default" w:ascii="Times New Roman" w:hAnsi="Times New Roman" w:eastAsia="宋体" w:cs="Times New Roman"/>
          <w:sz w:val="24"/>
          <w:szCs w:val="24"/>
        </w:rPr>
        <w:t>Nyffenegger、Stürmer 和 Niklaus 在 Findings of NAACL 2024 发表论文 Anonymity at Risk? Assessing Re-Identification Capabilities of Large Language Models in Court Decisions。研究</w:t>
      </w:r>
      <w:r>
        <w:rPr>
          <w:rFonts w:ascii="宋体" w:hAnsi="宋体" w:eastAsia="宋体" w:cs="宋体"/>
          <w:sz w:val="24"/>
          <w:szCs w:val="24"/>
        </w:rPr>
        <w:t>人员使用实际法律数据检验大模型的重新识别能力，并构建匿名化维基百科数据集进行进一步测试。研究发现，尽管模型在维基百科数据集上表现出较高的重新识别能力，但即使是表现最好的模型，在法院裁判文书上的识别也存在明显困难。</w:t>
      </w:r>
    </w:p>
    <w:p w14:paraId="46E7C26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风险后果：匿名化材料可能通过外部信息关联而重新暴露当事人身份，导致个人隐私、诉讼经历或其他敏感事实被识别。</w:t>
      </w:r>
    </w:p>
    <w:p w14:paraId="3FE0E1C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42" w:firstLineChars="200"/>
        <w:textAlignment w:val="auto"/>
      </w:pPr>
      <w:r>
        <w:t>风险二：多份材料关联后导致信息暴露</w:t>
      </w:r>
    </w:p>
    <w:p w14:paraId="06F0122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风险机制：单份材料可能不足以识别个人，但多份材料之间的共同字段可以形成关联线索。不同文件中的工作经历、工资记录、时间节点和案件事实一旦被合并分析，可能拼接出原本被分散隐藏的信息。</w:t>
      </w:r>
    </w:p>
    <w:p w14:paraId="1DE0742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pPr>
      <w:r>
        <w:t>案例：跨平台匿名用户关联研究。</w:t>
      </w:r>
    </w:p>
    <w:p w14:paraId="518DEC5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pPr>
      <w:r>
        <w:t>李志恒在《跨境人工智能去匿名化个人信息行为的刑法规制困境与出路》中引用了2026年苏黎世联邦理工学院与 Anthropic 的相关研究，称研究人员利用大语言模型将 Hacker News 上的匿名用户与 LinkedIn 上的真实身份进行匹配，实验中的最高精确率达到90%。这一结果反映的是特定实验条件下的跨平台身份匹配能力，不能直接推断所有匿名数据都具有相同的识别率。</w:t>
      </w:r>
    </w:p>
    <w:p w14:paraId="5F03F20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ascii="宋体" w:hAnsi="宋体" w:eastAsia="宋体" w:cs="宋体"/>
          <w:sz w:val="24"/>
          <w:szCs w:val="24"/>
        </w:rPr>
      </w:pPr>
      <w:r>
        <w:t>风险后果：</w:t>
      </w:r>
      <w:r>
        <w:rPr>
          <w:rFonts w:ascii="宋体" w:hAnsi="宋体" w:eastAsia="宋体" w:cs="宋体"/>
          <w:sz w:val="24"/>
          <w:szCs w:val="24"/>
        </w:rPr>
        <w:t>原本分别存储、分别脱敏的信息可能被整合为个人画像，使个人的收入、职业经历、社会关系等信息在未经预期的情况下被关联或推断。</w:t>
      </w:r>
    </w:p>
    <w:p w14:paraId="1B1C089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后续思路：</w:t>
      </w:r>
      <w:r>
        <w:rPr>
          <w:rFonts w:ascii="宋体" w:hAnsi="宋体" w:eastAsia="宋体" w:cs="宋体"/>
          <w:sz w:val="24"/>
          <w:szCs w:val="24"/>
        </w:rPr>
        <w:t>对多份劳动争议材料进行联合分析时，应当</w:t>
      </w:r>
      <w:r>
        <w:rPr>
          <w:rFonts w:ascii="宋体" w:hAnsi="宋体" w:eastAsia="宋体" w:cs="宋体"/>
          <w:b/>
          <w:bCs/>
          <w:sz w:val="24"/>
          <w:szCs w:val="24"/>
        </w:rPr>
        <w:t>评估合并后的识别风险</w:t>
      </w:r>
      <w:r>
        <w:rPr>
          <w:rFonts w:ascii="宋体" w:hAnsi="宋体" w:eastAsia="宋体" w:cs="宋体"/>
          <w:sz w:val="24"/>
          <w:szCs w:val="24"/>
        </w:rPr>
        <w:t>，而不只是逐份检查脱敏结果。</w:t>
      </w:r>
    </w:p>
    <w:p w14:paraId="4AE62AB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42" w:firstLineChars="200"/>
        <w:textAlignment w:val="auto"/>
      </w:pPr>
      <w:r>
        <w:t>风险三：敏感事实及隐含属性被推断</w:t>
      </w:r>
    </w:p>
    <w:p w14:paraId="08A7C83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风险机制： 即使无法识别当事人的真实姓名，材料仍可能揭示其健康状况、经济条件、工作能力、家庭关系或其他敏感属性。匿名化处理不能自动消除文本本身所承载的敏感事实。</w:t>
      </w:r>
    </w:p>
    <w:p w14:paraId="3BFD3AE9">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案例： 意大利个人数据保护机构于2023年3月31日对 ChatGPT 采取临时限制措施并启动调查。监管机构在公告中讨论了用户数据的收集、信息告知、处理依据及利用个人数据训练算法等问题。该事件反映了生成式 AI 服务处理个人数据所涉及的隐私治理风险，但并不直接证明 ChatGPT 已经从匿名化材料中推断出特定用户的敏感属性。</w:t>
      </w:r>
    </w:p>
    <w:p w14:paraId="7219E78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风险后果： 即使个人身份没有直接暴露，仍可能因敏感属性被推断而受到隐私侵扰或不合理评价。</w:t>
      </w:r>
    </w:p>
    <w:p w14:paraId="223934A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3" w:firstLineChars="200"/>
        <w:textAlignment w:val="auto"/>
      </w:pPr>
      <w:r>
        <w:t>二、向大模型提交材料后产生的风险</w:t>
      </w:r>
    </w:p>
    <w:p w14:paraId="0032D98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42" w:firstLineChars="200"/>
        <w:textAlignment w:val="auto"/>
      </w:pPr>
      <w:r>
        <w:t>风险四：敏感材料进入第三方处理环境的风险</w:t>
      </w:r>
    </w:p>
    <w:p w14:paraId="06AFADE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ascii="宋体" w:hAnsi="宋体" w:eastAsia="宋体" w:cs="宋体"/>
          <w:sz w:val="24"/>
          <w:szCs w:val="24"/>
        </w:rPr>
      </w:pPr>
      <w:r>
        <w:t>风险机制：</w:t>
      </w:r>
      <w:r>
        <w:rPr>
          <w:rFonts w:ascii="宋体" w:hAnsi="宋体" w:eastAsia="宋体" w:cs="宋体"/>
          <w:sz w:val="24"/>
          <w:szCs w:val="24"/>
        </w:rPr>
        <w:t>用户向大模型提交材料后，数据将进入服务商的处理环境。即使材料已经匿名化，也可能残留企业经营信息、未公开技术信息或其他保密内容。匿名化个人信息并不等于商业秘密、案件材料及其他敏感内容均已得到保护。</w:t>
      </w:r>
    </w:p>
    <w:p w14:paraId="0640E94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pPr>
      <w:r>
        <w:t>案例：三星员工向 ChatGPT 提交内部敏感资料。</w:t>
      </w:r>
    </w:p>
    <w:p w14:paraId="715F31A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pPr>
      <w:r>
        <w:t>据彭博社2023年5月2日报道，三星电子员工曾向 ChatGPT 上传内部源代码等敏感资料。三星担忧提交给外部 AI 平台的数据可能存储于外部服务器，难以取回或删除，并可能面临进一步披露风险，因此限制员工使用相关生成式 AI 工具。报道能够证明内部资料被提交给外部服务，但不能据此认定这些资料后来已经被其他用户获取。</w:t>
      </w:r>
    </w:p>
    <w:p w14:paraId="610370A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ascii="宋体" w:hAnsi="宋体" w:eastAsia="宋体" w:cs="宋体"/>
          <w:sz w:val="24"/>
          <w:szCs w:val="24"/>
        </w:rPr>
      </w:pPr>
      <w:r>
        <w:t>风险后果：</w:t>
      </w:r>
      <w:r>
        <w:rPr>
          <w:rFonts w:ascii="宋体" w:hAnsi="宋体" w:eastAsia="宋体" w:cs="宋体"/>
          <w:sz w:val="24"/>
          <w:szCs w:val="24"/>
        </w:rPr>
        <w:t>即使个人身份信息已被删除，材料仍可能暴露企业技术信息、案件策略、未公开争议事实或其他保密内容，导致组织信息安全风险。</w:t>
      </w:r>
    </w:p>
    <w:p w14:paraId="65177F6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后续思路：</w:t>
      </w:r>
      <w:r>
        <w:rPr>
          <w:rFonts w:ascii="宋体" w:hAnsi="宋体" w:eastAsia="宋体" w:cs="宋体"/>
          <w:sz w:val="24"/>
          <w:szCs w:val="24"/>
        </w:rPr>
        <w:t>脱敏不能只针对个人身份标识符，还应识别企业名称、客户资料、技术方案、案件策略及其他不宜向外部披露的信息。</w:t>
      </w:r>
    </w:p>
    <w:p w14:paraId="51EC13C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42" w:firstLineChars="200"/>
        <w:jc w:val="left"/>
        <w:textAlignment w:val="auto"/>
      </w:pPr>
      <w:r>
        <w:t>风险五：服务商或平台安全漏洞导致材料暴露</w:t>
      </w:r>
    </w:p>
    <w:p w14:paraId="464597D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风险机制： 即使材料已经脱敏，第三方平台仍可能因软件漏洞、访问权限配置错误或缓存管理问题发生数据暴露。匿名化可以降低材料泄露后的识别风险，但无法代替平台自身的安全防护。</w:t>
      </w:r>
    </w:p>
    <w:p w14:paraId="4C9BF41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案例： 2023年3月，</w:t>
      </w:r>
      <w:r>
        <w:rPr>
          <w:rFonts w:hint="default" w:ascii="Times New Roman" w:hAnsi="Times New Roman" w:cs="Times New Roman"/>
        </w:rPr>
        <w:t>OpenAI 官方确认，ChatGPT 发生了一起与开源库漏洞有关的数据暴露事件：部分用户可能看到其他用户的对话标题；在特定时间窗口内，少量 ChatGPT Plus 用户</w:t>
      </w:r>
      <w:r>
        <w:t>的部分支付相关信息也可能被其他用户看到</w:t>
      </w:r>
      <w:r>
        <w:rPr>
          <w:rFonts w:hint="eastAsia"/>
          <w:lang w:eastAsia="zh-CN"/>
        </w:rPr>
        <w:t>。</w:t>
      </w:r>
      <w:r>
        <w:rPr>
          <w:rFonts w:ascii="宋体" w:hAnsi="宋体" w:eastAsia="宋体" w:cs="宋体"/>
          <w:sz w:val="24"/>
          <w:szCs w:val="24"/>
        </w:rPr>
        <w:t>官方说明指出，受影响信息可能包括姓名、电子邮箱、账单地址以及部分信用卡信息。</w:t>
      </w:r>
      <w:r>
        <w:t>。</w:t>
      </w:r>
    </w:p>
    <w:p w14:paraId="27B43AA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风险后果： 脱敏后的案件事实、企业信息及残留的个人信息仍可能因第三方系统的安全漏洞而被非授权人员获取。</w:t>
      </w:r>
    </w:p>
    <w:p w14:paraId="5257739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eastAsiaTheme="minorEastAsia"/>
          <w:lang w:val="en-US" w:eastAsia="zh-CN"/>
        </w:rPr>
      </w:pPr>
      <w:r>
        <w:rPr>
          <w:rFonts w:hint="eastAsia"/>
          <w:lang w:val="en-US" w:eastAsia="zh-CN"/>
        </w:rPr>
        <w:t>后续思路：应将匿名化质量与平台安全性</w:t>
      </w:r>
      <w:r>
        <w:rPr>
          <w:rFonts w:hint="eastAsia"/>
          <w:b/>
          <w:bCs/>
          <w:lang w:val="en-US" w:eastAsia="zh-CN"/>
        </w:rPr>
        <w:t>分别评估</w:t>
      </w:r>
      <w:r>
        <w:rPr>
          <w:rFonts w:hint="eastAsia"/>
          <w:lang w:val="en-US" w:eastAsia="zh-CN"/>
        </w:rPr>
        <w:t>，同时关注传输加密、权限控制、日志保护及服务商的安全事件响应能力。</w:t>
      </w:r>
    </w:p>
    <w:p w14:paraId="11E8295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42" w:firstLineChars="200"/>
        <w:jc w:val="left"/>
        <w:textAlignment w:val="auto"/>
      </w:pPr>
      <w:r>
        <w:t>风险六：数据留存、二次利用与处理范围失控风险</w:t>
      </w:r>
    </w:p>
    <w:p w14:paraId="696D379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风险机制：</w:t>
      </w:r>
      <w:r>
        <w:rPr>
          <w:rFonts w:ascii="宋体" w:hAnsi="宋体" w:eastAsia="宋体" w:cs="宋体"/>
          <w:sz w:val="24"/>
          <w:szCs w:val="24"/>
        </w:rPr>
        <w:t>材料进入大模型服务后，可能涉及服务端留存、日志记录、缓存、备份或其他处理活动。实际保存期限、训练用途及后续使用范围取决于服务商政策、产品类型、账户配置和具体部署方式。若项目方无法掌握这些安排，就难以判断材料是否超出原定目的继续被处理。</w:t>
      </w:r>
    </w:p>
    <w:p w14:paraId="16E0895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案例：</w:t>
      </w:r>
      <w:r>
        <w:rPr>
          <w:rFonts w:ascii="宋体" w:hAnsi="宋体" w:eastAsia="宋体" w:cs="宋体"/>
          <w:sz w:val="24"/>
          <w:szCs w:val="24"/>
        </w:rPr>
        <w:t>意大利数据保护机构对 ChatGPT 采取临时限制措施</w:t>
      </w:r>
    </w:p>
    <w:p w14:paraId="1CC376C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2023年3月31日，意大利个人数据保护机构对 ChatGPT 采取临时限制措施并启动调查，涉及用户个人数据的收集、处理依据、信息告知及相关数据处理问题。该事件反映出，生成式 AI 服务的数据处理方式、透明度和个人信息保护安排需要受到审查。它并不能证明所有输入材料都会被留存或用于模型训练。</w:t>
      </w:r>
    </w:p>
    <w:p w14:paraId="5AFECF8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ascii="宋体" w:hAnsi="宋体" w:eastAsia="宋体" w:cs="宋体"/>
          <w:sz w:val="24"/>
          <w:szCs w:val="24"/>
        </w:rPr>
      </w:pPr>
      <w:r>
        <w:t>风险后果：</w:t>
      </w:r>
      <w:r>
        <w:rPr>
          <w:rFonts w:ascii="宋体" w:hAnsi="宋体" w:eastAsia="宋体" w:cs="宋体"/>
          <w:sz w:val="24"/>
          <w:szCs w:val="24"/>
        </w:rPr>
        <w:t>原本仅为完成某项法律分析而提交的材料，可能因留存或其他后续处理而超出项目预期的使用范围，增加被再次访问、利用或泄露的机会。</w:t>
      </w:r>
    </w:p>
    <w:p w14:paraId="136D899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后续思路：提交材料前应核实服务商的数据留存、训练使用、删除机制及下游处理安排，避免将“已脱敏”直接等同于“后续处理没有风险”。</w:t>
      </w:r>
    </w:p>
    <w:p w14:paraId="7724220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3" w:firstLineChars="200"/>
        <w:textAlignment w:val="auto"/>
      </w:pPr>
      <w:r>
        <w:t>三、跨境传输及后续使用产生的风险</w:t>
      </w:r>
    </w:p>
    <w:p w14:paraId="70D1576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42" w:firstLineChars="200"/>
        <w:textAlignment w:val="auto"/>
        <w:rPr>
          <w:rFonts w:hint="default" w:eastAsia="宋体"/>
          <w:lang w:val="en-US" w:eastAsia="zh-CN"/>
        </w:rPr>
      </w:pPr>
      <w:r>
        <w:t>风险七：跨境流转后数据控制能力</w:t>
      </w:r>
      <w:r>
        <w:rPr>
          <w:rFonts w:hint="eastAsia"/>
          <w:lang w:val="en-US" w:eastAsia="zh-CN"/>
        </w:rPr>
        <w:t>与结果回流风险</w:t>
      </w:r>
    </w:p>
    <w:p w14:paraId="0946098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风险机制：</w:t>
      </w:r>
      <w:r>
        <w:rPr>
          <w:rFonts w:ascii="宋体" w:hAnsi="宋体" w:eastAsia="宋体" w:cs="宋体"/>
          <w:sz w:val="24"/>
          <w:szCs w:val="24"/>
        </w:rPr>
        <w:t>数据跨境传输的风险不止在于材料被发送至境外，还包括境外服务商对材料进行关联分析、重新识别、形成衍生信息，以及后续向其他主体提供或回传分析结果。数据一旦进入多个主体参与的处理链条，原始提供方可能难以完整掌握其后续流向。</w:t>
      </w:r>
    </w:p>
    <w:p w14:paraId="700751B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rPr>
      </w:pPr>
      <w:r>
        <w:t>案例：</w:t>
      </w:r>
      <w:r>
        <w:rPr>
          <w:rFonts w:hint="default" w:ascii="Times New Roman" w:hAnsi="Times New Roman" w:cs="Times New Roman"/>
        </w:rPr>
        <w:t xml:space="preserve"> 2023年，意大利个人数据保护机构对 ChatGPT 采取临时限制措施并启动调查，涉及 OpenAI 对用户个人数据的处理。该事件说明，跨境提供的生成式 AI 服务可能面临数据处理透明度、用户权利保障和监管协调等问题。不过，该事件不能单独证明特定匿名化材料发生了跨境泄露。</w:t>
      </w:r>
    </w:p>
    <w:p w14:paraId="613B769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风险后果： 项目方可能难以准确核实材料的实际存储地点、访问情况及后续流向，从而增加安全审计、删除验证和事件调查的难度。</w:t>
      </w:r>
    </w:p>
    <w:p w14:paraId="134644B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42" w:firstLineChars="200"/>
        <w:jc w:val="left"/>
        <w:textAlignment w:val="auto"/>
      </w:pPr>
      <w:r>
        <w:t>风险八：数据长期留存与删除困难风险</w:t>
      </w:r>
    </w:p>
    <w:p w14:paraId="5BAE1CF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风险机制：</w:t>
      </w:r>
      <w:r>
        <w:rPr>
          <w:rFonts w:ascii="宋体" w:hAnsi="宋体" w:eastAsia="宋体" w:cs="宋体"/>
          <w:sz w:val="24"/>
          <w:szCs w:val="24"/>
        </w:rPr>
        <w:t>数据一旦进入外部平台，可能存在多份副本、缓存、日志或备份。即使原始提交记录可以删除，也不应未经核实就认为所有相关数据均已被彻底清除。如果匿名化后来被发现存在缺陷，或者新的外部信息使材料变得可识别，过去已经流转的数据可能难以全部撤回。</w:t>
      </w:r>
    </w:p>
    <w:p w14:paraId="60C7C63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pPr>
      <w:r>
        <w:t>案例：三星事件反映的外部存储与删除难题。</w:t>
      </w:r>
    </w:p>
    <w:p w14:paraId="259A9FC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三星限制员工使用生成式 AI 工具的报道中特别提到，提交给相关平台的数据可能存储在外部服务器上，从而增加取回和删除的难度。这一事件可以作为外部 AI 服务中数据控制问题的现实案例，但不能据此断言所有大模型平台都无法删除用户数据。</w:t>
      </w:r>
    </w:p>
    <w:p w14:paraId="2F9CA33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pPr>
      <w:r>
        <w:rPr>
          <w:rFonts w:ascii="宋体" w:hAnsi="宋体" w:eastAsia="宋体" w:cs="宋体"/>
          <w:sz w:val="24"/>
          <w:szCs w:val="24"/>
        </w:rPr>
        <w:t>期刊论文补充： 陈爱飞在《区块链个人信息保护中的数据最小化》中进一步指出，区块链的永久分布式存储、难以修改和删除等技术特性，与数据最小化要求之间存在张力。该论文讨论的是区块链场景，其观点可以帮助理解长期留存与删除困难的机制，但不应直接套用于所有大模型服务。</w:t>
      </w:r>
    </w:p>
    <w:p w14:paraId="7B5086F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ascii="宋体" w:hAnsi="宋体" w:eastAsia="宋体" w:cs="宋体"/>
          <w:sz w:val="24"/>
          <w:szCs w:val="24"/>
        </w:rPr>
      </w:pPr>
      <w:r>
        <w:t>风险后果：</w:t>
      </w:r>
      <w:r>
        <w:rPr>
          <w:rFonts w:ascii="宋体" w:hAnsi="宋体" w:eastAsia="宋体" w:cs="宋体"/>
          <w:sz w:val="24"/>
          <w:szCs w:val="24"/>
        </w:rPr>
        <w:t>数据处理方可能难以在发现风险后及时、完整地撤回材料，增加后续补救成本。</w:t>
      </w:r>
    </w:p>
    <w:p w14:paraId="71B1B6B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后续思路：</w:t>
      </w:r>
      <w:r>
        <w:rPr>
          <w:rFonts w:ascii="宋体" w:hAnsi="宋体" w:eastAsia="宋体" w:cs="宋体"/>
          <w:sz w:val="24"/>
          <w:szCs w:val="24"/>
        </w:rPr>
        <w:t>应在提交前明确数据留存期限、删除方式和备份管理要求，并核实服务商是否能够提供与项目需求相匹配的删除及留存控制机制。</w:t>
      </w:r>
    </w:p>
    <w:p w14:paraId="6C86DA1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3" w:firstLineChars="200"/>
        <w:jc w:val="left"/>
        <w:textAlignment w:val="auto"/>
        <w:rPr>
          <w:rFonts w:hint="eastAsia"/>
          <w:lang w:val="en-US" w:eastAsia="zh-CN"/>
        </w:rPr>
      </w:pPr>
      <w:r>
        <w:t>四、风险进一步扩大的系统性后果</w:t>
      </w:r>
    </w:p>
    <w:p w14:paraId="47395ED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42" w:firstLineChars="200"/>
        <w:textAlignment w:val="auto"/>
      </w:pPr>
      <w:r>
        <w:t>风险九：个人信息控制权受损与完整数字画像形成</w:t>
      </w:r>
    </w:p>
    <w:p w14:paraId="3685AA6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ascii="宋体" w:hAnsi="宋体" w:eastAsia="宋体" w:cs="宋体"/>
          <w:sz w:val="24"/>
          <w:szCs w:val="24"/>
        </w:rPr>
      </w:pPr>
      <w:r>
        <w:t>风险机制：</w:t>
      </w:r>
      <w:r>
        <w:rPr>
          <w:rFonts w:ascii="宋体" w:hAnsi="宋体" w:eastAsia="宋体" w:cs="宋体"/>
          <w:sz w:val="24"/>
          <w:szCs w:val="24"/>
        </w:rPr>
        <w:t>当匿名化数据被重新识别后，风险不一定停留在单条信息泄露，而可能扩展到不同平台、不同时间和不同语境中的信息关联。个人可能无法知悉哪些信息已被整合、哪些属性已被推断，以及这些信息将被用于何种后续决策。</w:t>
      </w:r>
      <w:r>
        <w:rPr>
          <w:rFonts w:hint="eastAsia" w:ascii="宋体" w:hAnsi="宋体" w:eastAsia="宋体" w:cs="宋体"/>
          <w:sz w:val="24"/>
          <w:szCs w:val="24"/>
          <w:lang w:val="en-US" w:eastAsia="zh-CN"/>
        </w:rPr>
        <w:tab/>
      </w:r>
      <w:r>
        <w:rPr>
          <w:rFonts w:ascii="宋体" w:hAnsi="宋体" w:eastAsia="宋体" w:cs="宋体"/>
          <w:sz w:val="24"/>
          <w:szCs w:val="24"/>
        </w:rPr>
        <w:t>论文依据： 李志恒在相关期刊论文中指出，去匿名化可能使个人在不知情的情况下失去对个人信息的控制，并可能导致不同来源的信息被整合为完整数字画像。该论述属于对潜在危害的分析，不能理解为每一次去匿名化都会形成完整画像。</w:t>
      </w:r>
    </w:p>
    <w:p w14:paraId="22B3F45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ascii="宋体" w:hAnsi="宋体" w:eastAsia="宋体" w:cs="宋体"/>
          <w:sz w:val="24"/>
          <w:szCs w:val="24"/>
        </w:rPr>
      </w:pPr>
      <w:r>
        <w:t xml:space="preserve">风险后果： </w:t>
      </w:r>
      <w:r>
        <w:rPr>
          <w:rFonts w:ascii="宋体" w:hAnsi="宋体" w:eastAsia="宋体" w:cs="宋体"/>
          <w:sz w:val="24"/>
          <w:szCs w:val="24"/>
        </w:rPr>
        <w:t>当事人可能无法及时发现、纠正或限制相关信息的使用，甚至因错误画像或敏感属性推断而受到不合理评价。</w:t>
      </w:r>
    </w:p>
    <w:p w14:paraId="4B94F8F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后续思路：</w:t>
      </w:r>
      <w:r>
        <w:rPr>
          <w:rFonts w:ascii="宋体" w:hAnsi="宋体" w:eastAsia="宋体" w:cs="宋体"/>
          <w:sz w:val="24"/>
          <w:szCs w:val="24"/>
        </w:rPr>
        <w:t>对劳动争议材料的保护不仅要关注姓名是否暴露，还应关注健康状况、收入、工作能力、家庭关系等信息是否可能在后续分析中被关联或推断。</w:t>
      </w:r>
    </w:p>
    <w:p w14:paraId="38F5975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42" w:firstLineChars="200"/>
        <w:textAlignment w:val="auto"/>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风险十：匿名化制度可信度下降与数据利用受阻</w:t>
      </w:r>
    </w:p>
    <w:p w14:paraId="4847A35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风险机制：</w:t>
      </w:r>
      <w:r>
        <w:rPr>
          <w:rFonts w:ascii="宋体" w:hAnsi="宋体" w:eastAsia="宋体" w:cs="宋体"/>
          <w:sz w:val="24"/>
          <w:szCs w:val="24"/>
        </w:rPr>
        <w:t>如果匿名化处理无法有效降低再识别风险，数据提供者可能对匿名化措施失去信心，进而减少数据共享，或采取过度保守的管理方式。风险由此可能从单个信息主体的权益受损，扩展到数据流通和 AI 应用的整体环境。</w:t>
      </w:r>
    </w:p>
    <w:p w14:paraId="51147B8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论文依据：李志恒在相关期刊论文中指出，跨境人工智能去匿名化不仅可能侵害个人权益，还可能削弱匿名化制度促进数据合法流通与利用的功能。当数据提供者因担忧隐私安全而减少共享时，人工智能产业获取高质量数据及开展创新的空间也可能受到影响。</w:t>
      </w:r>
    </w:p>
    <w:p w14:paraId="2FD1D94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风险后果：</w:t>
      </w:r>
      <w:r>
        <w:rPr>
          <w:rFonts w:ascii="宋体" w:hAnsi="宋体" w:eastAsia="宋体" w:cs="宋体"/>
          <w:sz w:val="24"/>
          <w:szCs w:val="24"/>
        </w:rPr>
        <w:t>组织可能提高数据共享门槛，增加数据处理和合规成本，进而影响法律研究、跨机构协作及 AI 应用的开展。</w:t>
      </w:r>
    </w:p>
    <w:p w14:paraId="69DE7599">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eastAsiaTheme="minorEastAsia"/>
          <w:lang w:val="en-US" w:eastAsia="zh-CN"/>
        </w:rPr>
      </w:pPr>
      <w:r>
        <w:rPr>
          <w:rFonts w:hint="eastAsia" w:ascii="宋体" w:hAnsi="宋体" w:eastAsia="宋体" w:cs="宋体"/>
          <w:sz w:val="24"/>
          <w:szCs w:val="24"/>
          <w:lang w:val="en-US" w:eastAsia="zh-CN"/>
        </w:rPr>
        <w:t>后续思路：</w:t>
      </w:r>
      <w:r>
        <w:rPr>
          <w:rFonts w:ascii="宋体" w:hAnsi="宋体" w:eastAsia="宋体" w:cs="宋体"/>
          <w:sz w:val="24"/>
          <w:szCs w:val="24"/>
        </w:rPr>
        <w:t>风险治理的目标不是一味删除信息，而是在充分保护身份和敏感事实的前提下，保留</w:t>
      </w:r>
      <w:bookmarkStart w:id="0" w:name="_GoBack"/>
      <w:bookmarkEnd w:id="0"/>
      <w:r>
        <w:rPr>
          <w:rFonts w:ascii="宋体" w:hAnsi="宋体" w:eastAsia="宋体" w:cs="宋体"/>
          <w:sz w:val="24"/>
          <w:szCs w:val="24"/>
        </w:rPr>
        <w:t>完成法律分析所必需的信息。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9C7E98"/>
    <w:rsid w:val="0A9C7E98"/>
    <w:rsid w:val="45DD622C"/>
    <w:rsid w:val="605256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937</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2026-10-25T12:19:00Z</dcterms:created>
  <dc:creator>余果果果果</dc:creator>
  <cp:lastModifiedBy>余果果果果</cp:lastModifiedBy>
  <dcterms:modified xsi:type="dcterms:W3CDTF">2026-10-26T03:57:31Z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8C06E37D4EB04920973881E5A8825DEC_11</vt:lpwstr>
  </property>
  <property fmtid="{D5CDD505-2E9C-101B-9397-08002B2CF9AE}" pid="4" name="KSOTemplateDocerSaveRecord">
    <vt:lpwstr>eyJoZGlkIjoiMWJmYmVhMGQ2YWQwOTc0ZDFkYmVkZTE0NzFkNThlYzIiLCJ1c2VySWQiOiIxNjMzMTg5Mzg3In0=</vt:lpwstr>
  </property>
</Properties>
</file>