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微软雅黑" w:hAnsi="微软雅黑" w:eastAsia="微软雅黑" w:cs="微软雅黑"/>
          <w:b/>
          <w:color w:val="225B48"/>
          <w:sz w:val="44"/>
        </w:rPr>
        <w:t>案隐盾法学侧须给出的具体内容</w:t>
      </w:r>
    </w:p>
    <w:p>
      <w:pPr>
        <w:spacing w:after="320"/>
        <w:jc w:val="center"/>
      </w:pPr>
      <w:r>
        <w:rPr>
          <w:rFonts w:ascii="微软雅黑" w:hAnsi="微软雅黑" w:eastAsia="微软雅黑" w:cs="微软雅黑"/>
          <w:b w:val="0"/>
          <w:color w:val="5C6770"/>
          <w:sz w:val="24"/>
        </w:rPr>
        <w:t>对应计算机侧事实材料  ·  先定口径，再写可落入系统的要求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材料编号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LEX-LG-REQ-2026-09-10-01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对应计算机侧材料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LEX-CS-EVID-2026-09-10-01（docs/LEX-CS-EVID-2026-09-10-01.docx）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产品版本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0.9.0rc0（待发布，非正式发行）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2026-09-10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传递路径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法学侧 → A → 计算机侧 / 对应成员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阅读前提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先读计算机侧第1节流程、第2节服务清单、第5节样例A。未对照这三件，不要先写正式外发或10案验收条文。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性质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本文列出法学必须给出的判断、填写栏和签署项。计算机不代作法律结论。吃不准就填「未知」或「暂不开放」，不要留空充作已审。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浅底单元格表示当前仓库仍为未知、待审或未做。labor_v2 仍是 draft，dispatch_allowed=false。演示规则非法源。工程基线红队 resisted 不能当作法学攻击结论。</w:t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〇、建议交付顺序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与计算机侧建议对齐：先根据已有对象出口径，再写能进系统的规则，最后才谈正式发布和10案。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2835"/>
        <w:gridCol w:w="2494"/>
        <w:gridCol w:w="2381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283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法学先交什么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必须已看到的计算机材料</w:t>
            </w:r>
          </w:p>
        </w:tc>
        <w:tc>
          <w:tcPr>
            <w:tcW w:type="dxa" w:w="238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交完之后计算机才能做什么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第一批（立即）</w:t>
            </w:r>
          </w:p>
        </w:tc>
        <w:tc>
          <w:tcPr>
            <w:tcW w:type="dxa" w:w="283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合成材料使用口径；本地/模拟/边侧/云端四条路径的用途判断；主备服务商处理条件表（查不到就标未知）；演示01/02/03验收表各填一份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流程表、服务清单、样例A外发全文、阻断样例、校核能力表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把口径写进产品说明；补服务商档案字段；按验收表修提示或门禁文案，不擅自改法源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第二批（口径稳定后）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冻结一个子场景（建议：事实摘要中的加班核对）；条件规则与精度；处理依据按主体类别；保密与禁止外发清单；法源快照与条号映射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V2草稿包 packs/labor_v2_draft.json；计算机侧第6至8节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把规则从 uncertain 改成可执行值；加班条件规则从待审草稿升为 reviewed 候选，仍不自动开通外发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第三批（正式外发前）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规则包发布签署；主备档案复核与影响评估；正式攻击者模型与阈值；真实材料授权；10案校准方案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真云一次取证（目前没有）；隔离与账号合同快照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才可能把 pack 标 published、dispatch_allowed=true。现在不要预填这一栏为「允许」</w:t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一、支撑「案例使用权限与用途判断」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计算机已提供事实。法学须对具体对象作允许/附条件/禁止，并写清依据与有效期。不能只写原则句。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1. 合成材料使用口径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对象已固定：演示01/02/03、examples/ 合成附件、data/mock_labor_v1 八条、ui-walk 截图。这些材料声明不含真实案件。法学须判断的是「在本项目中可以怎么用」，不是「它们是不是真案」。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1814"/>
        <w:gridCol w:w="1190"/>
        <w:gridCol w:w="1190"/>
        <w:gridCol w:w="1190"/>
        <w:gridCol w:w="1190"/>
        <w:gridCol w:w="1134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计算机已写明的用途</w:t>
            </w:r>
          </w:p>
        </w:tc>
        <w:tc>
          <w:tcPr>
            <w:tcW w:type="dxa" w:w="119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法学须填写：内部研发</w:t>
            </w:r>
          </w:p>
        </w:tc>
        <w:tc>
          <w:tcPr>
            <w:tcW w:type="dxa" w:w="119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教学演示</w:t>
            </w:r>
          </w:p>
        </w:tc>
        <w:tc>
          <w:tcPr>
            <w:tcW w:type="dxa" w:w="119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截图/视频</w:t>
            </w:r>
          </w:p>
        </w:tc>
        <w:tc>
          <w:tcPr>
            <w:tcW w:type="dxa" w:w="119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对外交付/论文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依据或未知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演示01 工资争议（模拟）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工作台跑通；mock 不打云端</w:t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演示02 组合线索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展示批准409</w:t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演示03 主动停止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展示材料不完整阻断</w:t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examples 合成 DOCX/扫描PDF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正式案解析与409体验</w:t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mock_labor 8条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评测冒烟；dispatch_allowed=false；标注 pending</w:t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ui-walk 截图（含合成姓名、token、本机验收口令界面）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本机目录，不进git，未进CI</w:t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 probe-edge 报告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工程五项，无法学分，写在被忽略目录</w:t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9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填写用：允许 / 附条件 / 禁止。附条件须写清条件（例如打码姓名、不得含口令、仅队内）。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2. 四条处理路径的用途判断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同一合成案会走不同路径，外发内容不同。请逐条判断，不要用「AI辅助办案」一笔带过。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360"/>
        <w:gridCol w:w="2041"/>
        <w:gridCol w:w="1360"/>
        <w:gridCol w:w="1020"/>
        <w:gridCol w:w="1134"/>
        <w:gridCol w:w="1134"/>
        <w:gridCol w:w="1134"/>
      </w:tblGrid>
      <w:tr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实际离开边侧的内容（计算机已证）</w:t>
            </w:r>
          </w:p>
        </w:tc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拟认定用途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是否允许（填）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处理依据（填）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必要性说明（填）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告知/同意（填）</w:t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本地解析/OCR/人工事实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不离开本机。原文在 .data/app/files 与 sqlite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办案材料整理（本机）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边侧抽取 MiniCPM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原文块全文发给本机 127.0.0.1:8080。演示不走此路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本机抽取候选事实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本地摘要 / 模拟摘要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不打公网。披露句只在本机网关拼回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演示或本机草稿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云端摘要 DeepSeek 主 / 百炼备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 wire：token化披露句 + 提示词。正式门禁关闭，无成功记录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可选云端生成摘要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须分别写清：劳动者、用人单位联系人、证人、家属是否适用同一依据。「履行合同所必需」不能自动覆盖对方和证人，也不能自动证明可选云端调用必要。律师点击批准不替代个人有效同意。敏感信息须单独判断，不能一律必须同意，也不能一律以办案必要免除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去标识化与匿名化不同：系统保留边侧映射，不能仅因替换成 [[LEX:P0001]] 就排除个人信息规则。律师法第41条（2026-09-01文本；旧第38条）覆盖国家秘密、商业秘密、当事人隐私及其他不愿泄露的信息，不限于直接识别自然人。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3. 服务商处理条件表（主备分填）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计算机只收集了公开网页，没有本团队合同、账号类型和控制台开关。系统复核服务商档案时，下列字段缺一不可：角色、地区、留存、删除机制、训练使用、人工访问、分包商、合同引用、影响评估、审核人、有效期、允许任务/案由/字段/传输。请按公开条款 + 本团队资料填写；查不到写「未知」，未知则正式外发保持关闭。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主槽：DeepSeek 开放平台 / deepseek-v4-flash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041"/>
        <w:gridCol w:w="2154"/>
        <w:gridCol w:w="2835"/>
        <w:gridCol w:w="2154"/>
      </w:tblGrid>
      <w:tr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档案字段</w:t>
            </w:r>
          </w:p>
        </w:tc>
        <w:tc>
          <w:tcPr>
            <w:tcW w:type="dxa" w:w="215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系统枚举或要求</w:t>
            </w:r>
          </w:p>
        </w:tc>
        <w:tc>
          <w:tcPr>
            <w:tcW w:type="dxa" w:w="283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计算机已见公开信息</w:t>
            </w:r>
          </w:p>
        </w:tc>
        <w:tc>
          <w:tcPr>
            <w:tcW w:type="dxa" w:w="215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法学填写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法律主体 / 产品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自由文本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https://api.deepseek.com/v1/chat/completions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处理角色 role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processor / independent_controller / other（不可 unknown）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协议把开发者写成下游处理者；服务商角色不能只凭「API」认定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处理地区 processing_regions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须非空。跨境另判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DeepSeek 隐私政策写在中国存储；百炼默认中国站，国际站可选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训练使用 training_use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forbidden / allowed（不可 unknown）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开放平台协议未写明训练授权；消费者隐私政策写训练且声明不覆盖下游终端用户。百炼帮助页称不用于训练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人工访问 human_access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forbidden / controlled / allowed（不可 unknown）</w:t>
            </w:r>
          </w:p>
        </w:tc>
        <w:tc>
          <w:tcPr>
            <w:tcW w:type="dxa" w:w="283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均提到执法/安全/服务商；是否读 API 正文未知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留存 retention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须非空，写期限或「按合同第×条」</w:t>
            </w:r>
          </w:p>
        </w:tc>
        <w:tc>
          <w:tcPr>
            <w:tcW w:type="dxa" w:w="283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DeepSeek：账号存续+网安法日志六月。百炼：调用数据按法规存储，正文期限未知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删除机制 deletion_mechanism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须非空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邮箱申请或控制台；本系统不能代删对方日志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分包商 subprocessor_status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none 或 declared（declared 须列名单）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类别提及，无具名清单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合同 contract_reference + version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须有引用</w:t>
            </w:r>
          </w:p>
        </w:tc>
        <w:tc>
          <w:tcPr>
            <w:tcW w:type="dxa" w:w="283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公开协议链接已列；本账号点击版本未知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影响评估 impact_assessment_reference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须有引用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仓库无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有效期 valid_until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建议填写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允许任务/案由/字段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须覆盖拟外发集合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拟用 fact_summary + labor + 披露字段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境外路线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建议：未经核验则不可选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白名单含 dashscope-intl 与 api.openai.com，不是默认双槽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备槽：阿里云百炼 / qwen3.8-flash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041"/>
        <w:gridCol w:w="2154"/>
        <w:gridCol w:w="2835"/>
        <w:gridCol w:w="2154"/>
      </w:tblGrid>
      <w:tr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档案字段</w:t>
            </w:r>
          </w:p>
        </w:tc>
        <w:tc>
          <w:tcPr>
            <w:tcW w:type="dxa" w:w="215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系统枚举或要求</w:t>
            </w:r>
          </w:p>
        </w:tc>
        <w:tc>
          <w:tcPr>
            <w:tcW w:type="dxa" w:w="283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计算机已见公开信息</w:t>
            </w:r>
          </w:p>
        </w:tc>
        <w:tc>
          <w:tcPr>
            <w:tcW w:type="dxa" w:w="215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法学填写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法律主体 / 产品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自由文本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https://dashscope.aliyuncs.com/compatible-mode/v1/chat/completions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处理角色 role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processor / independent_controller / other（不可 unknown）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协议把开发者写成下游处理者；服务商角色不能只凭「API」认定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处理地区 processing_regions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须非空。跨境另判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DeepSeek 隐私政策写在中国存储；百炼默认中国站，国际站可选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训练使用 training_use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forbidden / allowed（不可 unknown）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开放平台协议未写明训练授权；消费者隐私政策写训练且声明不覆盖下游终端用户。百炼帮助页称不用于训练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人工访问 human_access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forbidden / controlled / allowed（不可 unknown）</w:t>
            </w:r>
          </w:p>
        </w:tc>
        <w:tc>
          <w:tcPr>
            <w:tcW w:type="dxa" w:w="283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均提到执法/安全/服务商；是否读 API 正文未知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留存 retention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须非空，写期限或「按合同第×条」</w:t>
            </w:r>
          </w:p>
        </w:tc>
        <w:tc>
          <w:tcPr>
            <w:tcW w:type="dxa" w:w="283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DeepSeek：账号存续+网安法日志六月。百炼：调用数据按法规存储，正文期限未知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删除机制 deletion_mechanism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须非空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邮箱申请或控制台；本系统不能代删对方日志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分包商 subprocessor_status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none 或 declared（declared 须列名单）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类别提及，无具名清单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合同 contract_reference + version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须有引用</w:t>
            </w:r>
          </w:p>
        </w:tc>
        <w:tc>
          <w:tcPr>
            <w:tcW w:type="dxa" w:w="283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公开协议链接已列；本账号点击版本未知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影响评估 impact_assessment_reference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须有引用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仓库无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有效期 valid_until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建议填写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允许任务/案由/字段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须覆盖拟外发集合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拟用 fact_summary + labor + 披露字段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境外路线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建议：未经核验则不可选</w:t>
            </w:r>
          </w:p>
        </w:tc>
        <w:tc>
          <w:tcPr>
            <w:tcW w:type="dxa" w:w="283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白名单含 dashscope-intl 与 api.openai.com，不是默认双槽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4. 保存、访问与删除的法学要求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计算机已实现：无整案删除、无 TTL、已登录即可下载原件、备份含原件和口令哈希、业务库保存冻结请求全文。影响评估与处理记录依法至少保存三年，不等于原文、临时载荷和供应商日志全部保存三年。请分开写。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2041"/>
        <w:gridCol w:w="1474"/>
        <w:gridCol w:w="1360"/>
        <w:gridCol w:w="1417"/>
        <w:gridCol w:w="1417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现状（计算机）</w:t>
            </w:r>
          </w:p>
        </w:tc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法学要求保存多久（填）</w:t>
            </w:r>
          </w:p>
        </w:tc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谁可访问（填）</w:t>
            </w:r>
          </w:p>
        </w:tc>
        <w:tc>
          <w:tcPr>
            <w:tcW w:type="dxa" w:w="141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删除条件（填）</w:t>
            </w:r>
          </w:p>
        </w:tc>
        <w:tc>
          <w:tcPr>
            <w:tcW w:type="dxa" w:w="141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是否须先改系统（填）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原件 files/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无TTL，无删除API，登录即可下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映射与 local_text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只在边侧库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冻结外发稿 body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在 app.sqlite 披露账本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审计事件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无TTL，可导出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备份 zip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操作员自定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服务商侧副本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系统不能代删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影响评估/处理记录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仓库尚未建档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二、支撑「法律输出验收标准」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请对着系统实际会输出的东西写标准。不要要求系统去检查它目前既不计算、也不展示的项目，除非同时标明「列为下一期工程」。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5. 先冻结一个子场景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仓库 V2 草稿只把「核对加班」写成待审条件规则；一般事实摘要字段必要性全是 uncertain；时间线/证据/争点待确认。争点提取只是按字段分桶，非法学结论。请先选一个子场景签字冻结，不要同时审四类任务。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268"/>
        <w:gridCol w:w="3515"/>
        <w:gridCol w:w="1474"/>
        <w:gridCol w:w="1927"/>
      </w:tblGrid>
      <w:tr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候选项</w:t>
            </w:r>
          </w:p>
        </w:tc>
        <w:tc>
          <w:tcPr>
            <w:tcW w:type="dxa" w:w="351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系统现状</w:t>
            </w:r>
          </w:p>
        </w:tc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法学选择（择一）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选择理由（填）</w:t>
            </w:r>
          </w:p>
        </w:tc>
      </w:tr>
      <w:tr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劳动争议事实摘要 · 一般整理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演示包：假名化+按月日期+金额保持。V2：uncertain，未匹配条件则删除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劳动争议事实摘要 · 核对加班（建议优先）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有条件规则草稿：须留日历日、日性质、小时、基数、主张/否认、证据持有人；禁止默认截月或平移日历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解除经过整理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无独立规则，仅研究建议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时间线 / 证据清单 / 争点</w:t>
            </w:r>
          </w:p>
        </w:tc>
        <w:tc>
          <w:tcPr>
            <w:tcW w:type="dxa" w:w="351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本地筛选或分桶，无法律推理</w:t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6. 条件规则与精度（对着 V2 草稿改，不要另起无法入库的格式）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每条规则最少写清：任务及子目的、适用条件、受影响字段、必要性、最低精度、允许变换、禁止默认变换、不可破坏关系、法源编号、缺项策略、条件未知策略、审核人。系统已能表达这些字段。条件未知必须进复核，不能默许外发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381"/>
        <w:gridCol w:w="2608"/>
        <w:gridCol w:w="2041"/>
        <w:gridCol w:w="2154"/>
      </w:tblGrid>
      <w:tr>
        <w:tc>
          <w:tcPr>
            <w:tcW w:type="dxa" w:w="238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规则要点</w:t>
            </w:r>
          </w:p>
        </w:tc>
        <w:tc>
          <w:tcPr>
            <w:tcW w:type="dxa" w:w="260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草稿现状</w:t>
            </w:r>
          </w:p>
        </w:tc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法学裁定（填）</w:t>
            </w:r>
          </w:p>
        </w:tc>
        <w:tc>
          <w:tcPr>
            <w:tcW w:type="dxa" w:w="215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法源条号与文本日期（填）</w:t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一般摘要要不要披露主体/关系/事件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uncertain；演示包则假名化后可发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一般摘要日期精度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演示包按月泛化。加班草稿禁止截月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一般摘要金额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演示包 keep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加班：日历日 / 日性质 / 小时 / 基数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conditional，preferred=原精度，待审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加班：主张或否认不得写成无争议事实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草稿已写，待审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加班：谁持有证据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草稿 tokenize，待审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病历/工伤全文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代码无专用规则；研究建议全文留本地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混同用工多公司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代码无专用规则；研究建议分别令牌化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禁止外发词/组合线索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演示禁止「唯一」「公开获奖」。正式清单空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法源须附 2026-09-01 律师法第41条快照及旧第38条映射；加班举证责任勿把解释（二）当现行入口，解释（二）只处理适用时间。草稿摘述不是正式公布文本，发布前须换成核对过的条文快照。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7. 输出对错标准（须能打在验收表上）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计算机已会：引用是否存在、数字是否在引用句中出现、token 是否破损、直接标识正则、改写只提示不整单作废。计算机不会：主张写成认定、主体对调、证据挂错人、日期过了除斥/时效边界的法律含义。请把「必须改」和「建议改」分开，并写清是否要求本期就工程化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041"/>
        <w:gridCol w:w="2154"/>
        <w:gridCol w:w="1814"/>
        <w:gridCol w:w="1587"/>
        <w:gridCol w:w="1587"/>
      </w:tblGrid>
      <w:tr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评价项</w:t>
            </w:r>
          </w:p>
        </w:tc>
        <w:tc>
          <w:tcPr>
            <w:tcW w:type="dxa" w:w="215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系统现在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错误等级（填：阻断/必须改/建议改/可接受）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是否本期写入规则（填）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说明（填）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引用不存在或指向未披露事实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已阻断确认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摘要数字未在引用事实中出现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已阻断确认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改写或新增陈述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只标 needs_review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把「主张」写成「加班了」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未检查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劳动者与用人单位对调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未检查（硬约束草稿有，未当摘要校核）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否定/抗辩丢失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未检查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证据持有人改挂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未检查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日期截月导致期限错误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演示包会截月；加班草稿禁止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间接识别（唯一岗位+公开事件）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演示禁止词；正式无清单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读起来通顺但缺要件</w:t>
            </w:r>
          </w:p>
        </w:tc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不检查「通顺」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效用标准请写成「能否回答本子场景的任务问题」，不要写成「摘要是否流畅」。被阻断和放弃的任务也要进验收分母，避免只评成功跑通的案子。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8. 演示三案验收表（第一批就要填）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输出来源必须标明：演示01是模拟拼接，不是模型生成。02/03是阻断，没有摘要。不要用这三案给云端模型打质量分。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DEMO-01  七条披露：两枚 token、按月日期、金额12000；local_text 还原林澄/星桥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1701"/>
        <w:gridCol w:w="1134"/>
        <w:gridCol w:w="1134"/>
        <w:gridCol w:w="1360"/>
        <w:gridCol w:w="1020"/>
        <w:gridCol w:w="1020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评价项</w:t>
            </w:r>
          </w:p>
        </w:tc>
        <w:tc>
          <w:tcPr>
            <w:tcW w:type="dxa" w:w="170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输出来源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错误位置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错误等级</w:t>
            </w:r>
          </w:p>
        </w:tc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修改建议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复核人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主体关系是否仍成立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模拟拼接 · labor 0.1.0-demo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日期精度是否可接受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模拟拼接 · labor 0.1.0-demo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金额与主张表述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模拟拼接 · labor 0.1.0-demo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证据归属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模拟拼接 · labor 0.1.0-demo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不应披露却仍留下的线索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模拟拼接 · labor 0.1.0-demo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阻断原因是否成立（02/03）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模拟拼接 · labor 0.1.0-demo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DEMO-02  组合线索：唯一岗位+公开获奖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1701"/>
        <w:gridCol w:w="1134"/>
        <w:gridCol w:w="1134"/>
        <w:gridCol w:w="1360"/>
        <w:gridCol w:w="1020"/>
        <w:gridCol w:w="1020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评价项</w:t>
            </w:r>
          </w:p>
        </w:tc>
        <w:tc>
          <w:tcPr>
            <w:tcW w:type="dxa" w:w="170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输出来源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错误位置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错误等级</w:t>
            </w:r>
          </w:p>
        </w:tc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修改建议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复核人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主体关系是否仍成立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批准409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日期精度是否可接受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批准409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金额与主张表述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批准409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证据归属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批准409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不应披露却仍留下的线索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批准409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阻断原因是否成立（02/03）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批准409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DEMO-03  关键证据不完整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1701"/>
        <w:gridCol w:w="1134"/>
        <w:gridCol w:w="1134"/>
        <w:gridCol w:w="1360"/>
        <w:gridCol w:w="1020"/>
        <w:gridCol w:w="1020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评价项</w:t>
            </w:r>
          </w:p>
        </w:tc>
        <w:tc>
          <w:tcPr>
            <w:tcW w:type="dxa" w:w="170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输出来源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错误位置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错误等级</w:t>
            </w:r>
          </w:p>
        </w:tc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修改建议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复核人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主体关系是否仍成立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主动停止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日期精度是否可接受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主动停止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金额与主张表述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主动停止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证据归属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主动停止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不应披露却仍留下的线索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主动停止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阻断原因是否成立（02/03）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无摘要 · 主动停止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9. 标注与10案校准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8条 mock_labor 双人标注仍为 pending。没有标注不得生成法律可用性分数。10案校准须等：第一批口径、一个冻结子场景、以及计算机补齐对应输出（目前没有10份真实模型摘要）。半合成晋级后仍须 dispatch_allowed=false。真实文书不得入库。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041"/>
        <w:gridCol w:w="3969"/>
        <w:gridCol w:w="3175"/>
      </w:tblGrid>
      <w:tr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969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最少写清</w:t>
            </w:r>
          </w:p>
        </w:tc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法学填写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标注人 A/B 与仲裁人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具名，三人不同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先标哪几条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建议先 DEMO-01 对照 + mock_labor 开发集，不要先盲测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必要性取值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required / conditional / unnecessary / uncertain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变换取值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keep / pseudonymize / generalize / delete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10案何时开始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须写触发条件，不要先定日期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真实案卷是否进入试点</w:t>
            </w:r>
          </w:p>
        </w:tc>
        <w:tc>
          <w:tcPr>
            <w:tcW w:type="dxa" w:w="3969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须组织授权；授权范围、主体、期限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三、正式发布与门禁（第三批，现在不要勾「允许外发」）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系统发布案由包要求：status 先到 reviewed；有法源 references、审核人、审核记录；legal_status=reviewed；dispatch_allowed；published_scope；五类风险权重 entity/density/context/combination/cross_round 全部冻结。另外还要：主备服务商均 reviewed 且未过期；四类攻击达到法学承认的 resisted（不是空跑工程基线）；隔离自检通过。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154"/>
        <w:gridCol w:w="2381"/>
        <w:gridCol w:w="1701"/>
        <w:gridCol w:w="1474"/>
        <w:gridCol w:w="1474"/>
      </w:tblGrid>
      <w:tr>
        <w:tc>
          <w:tcPr>
            <w:tcW w:type="dxa" w:w="215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签署项</w:t>
            </w:r>
          </w:p>
        </w:tc>
        <w:tc>
          <w:tcPr>
            <w:tcW w:type="dxa" w:w="238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系统卡点</w:t>
            </w:r>
          </w:p>
        </w:tc>
        <w:tc>
          <w:tcPr>
            <w:tcW w:type="dxa" w:w="170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法学填写：结论</w:t>
            </w:r>
          </w:p>
        </w:tc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版本/日期</w:t>
            </w:r>
          </w:p>
        </w:tc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签署人</w:t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V2 规则包是否可标 reviewed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现为 draft.1，加班规则待审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是否允许 dispatch_allowed=true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现为 false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published_scope（适用法院/时间/任务）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空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五类风险权重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未冻结则正式云端阻断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主槽档案复核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缺合同与评估即阻断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备槽档案复核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未审核则不得纳入批准目标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正式攻击者模型与阈值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 resisted ≠ 法学背书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15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真实材料组织授权</w:t>
            </w:r>
          </w:p>
        </w:tc>
        <w:tc>
          <w:tcPr>
            <w:tcW w:type="dxa" w:w="238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仓库禁止真实案入库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四、不要写的内容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628"/>
        <w:gridCol w:w="5556"/>
      </w:tblGrid>
      <w:tr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容易提前写出来、但系统对不上的要求</w:t>
            </w:r>
          </w:p>
        </w:tc>
        <w:tc>
          <w:tcPr>
            <w:tcW w:type="dxa" w:w="555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为什么现在不要写死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「云端摘要必须达到某准确率」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没有真实云端成功记录，也没有10份模型输出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「四类攻击已通过即可外发」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当前执行器是工程基线；空辅助不得当成 resisted 的法律含义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「争点提取须识别法律关系」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现实现只是六类字段分桶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「日期一律按月即可」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与加班草稿和期限边界冲突，须按子目的分别写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「已假名化即不适用个人信息规则」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边侧保留映射，不是匿名化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「律师批准即处理合法」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批准是发送控制，不是第13条依据本身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把2017年律师法第38条当作现行条号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2026-09-01 起对应第41条</w:t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五、回传清单（交 A 时勾选）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907"/>
        <w:gridCol w:w="3061"/>
        <w:gridCol w:w="1360"/>
        <w:gridCol w:w="3855"/>
      </w:tblGrid>
      <w:tr>
        <w:tc>
          <w:tcPr>
            <w:tcW w:type="dxa" w:w="90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勾选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385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对应计算机材料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合成材料使用口径表（第1节）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第一批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CS 第5节样例与公开包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四条路径用途判断表（第2节）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第一批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CS 第1节流程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主槽处理条件表（第3节）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第一批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CS 第2至3节 DeepSeek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备槽处理条件表（第3节）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第一批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CS 第2至3节 百炼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保存访问删除要求（第4节）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第一批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CS 第4节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DEMO-01/02/03 验收表（第8节）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第一批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CS 第8至9节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子场景选择（第5节）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第二批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labor_v2_draft.json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条件规则与精度裁定（第6节）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第二批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V2 矩阵与 disclosure_rules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输出对错标准（第7节）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第二批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CS 校核能力表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标注人与10案触发条件（第9节）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第二批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data/ANNOTATION.md</w:t>
            </w:r>
          </w:p>
        </w:tc>
      </w:tr>
      <w:tr>
        <w:tc>
          <w:tcPr>
            <w:tcW w:type="dxa" w:w="90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发布与门禁签署（第三节）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第三批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governance.publish_pack_record</w:t>
            </w:r>
          </w:p>
        </w:tc>
      </w:tr>
    </w:tbl>
    <w:p/>
    <w:p>
      <w:pPr>
        <w:spacing w:before="360"/>
        <w:jc w:val="center"/>
      </w:pPr>
      <w:r>
        <w:rPr>
          <w:rFonts w:ascii="微软雅黑" w:hAnsi="微软雅黑" w:eastAsia="微软雅黑" w:cs="微软雅黑"/>
          <w:b w:val="0"/>
          <w:color w:val="5C6770"/>
          <w:sz w:val="20"/>
        </w:rPr>
        <w:t>（全文完。本文是法学须交付内容的清单与填空，不构成已完成审核或允许外发。）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LEX-LG-REQ-2026-09-10-01  ·  对应 LEX-CS-EVID-2026-09-10-01  ·  法学须给出的内容，非计算机代填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