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B97E7">
      <w:pPr>
        <w:pStyle w:val="3"/>
        <w:bidi w:val="0"/>
        <w:spacing w:line="300" w:lineRule="auto"/>
        <w:rPr>
          <w:color w:val="0D0D0D"/>
        </w:rPr>
      </w:pPr>
      <w:r>
        <w:rPr>
          <w:color w:val="0D0D0D"/>
        </w:rPr>
        <w:t>硬性禁止</w:t>
      </w:r>
      <w:r>
        <w:rPr>
          <w:color w:val="0D0D0D"/>
        </w:rPr>
        <w:t>情形</w:t>
      </w:r>
      <w:r>
        <w:rPr>
          <w:color w:val="0D0D0D"/>
        </w:rPr>
        <w:t>、必须人工复核</w:t>
      </w:r>
      <w:r>
        <w:rPr>
          <w:color w:val="0D0D0D"/>
        </w:rPr>
        <w:t>情形</w:t>
      </w:r>
      <w:r>
        <w:rPr>
          <w:color w:val="0D0D0D"/>
        </w:rPr>
        <w:t>及规则冲突处理要求</w:t>
      </w:r>
    </w:p>
    <w:p w14:paraId="13F302B8">
      <w:pPr>
        <w:pStyle w:val="4"/>
        <w:bidi w:val="0"/>
        <w:spacing w:line="300" w:lineRule="auto"/>
        <w:rPr>
          <w:rFonts w:hint="default"/>
          <w:color w:val="0D0D0D"/>
        </w:rPr>
      </w:pPr>
      <w:r>
        <w:rPr>
          <w:color w:val="0D0D0D"/>
        </w:rPr>
        <w:t>一、法律上坚决不能外发，需要同时满足以下条件：</w:t>
      </w:r>
    </w:p>
    <w:p w14:paraId="65607BBF">
      <w:pPr>
        <w:pStyle w:val="164"/>
        <w:spacing w:line="300" w:lineRule="auto"/>
        <w:rPr>
          <w:color w:val="0D0D0D"/>
        </w:rPr>
      </w:pPr>
      <w:r>
        <w:rPr>
          <w:rFonts w:hint="default"/>
          <w:color w:val="0D0D0D"/>
        </w:rPr>
        <w:t>1.</w:t>
      </w:r>
      <w:r>
        <w:rPr>
          <w:color w:val="0D0D0D"/>
        </w:rPr>
        <w:t>存在明确的受法律保护对象，而不是仅凭业务标签判断。</w:t>
      </w:r>
    </w:p>
    <w:p w14:paraId="6506CF67">
      <w:pPr>
        <w:pStyle w:val="164"/>
        <w:spacing w:line="300" w:lineRule="auto"/>
        <w:rPr>
          <w:color w:val="0D0D0D"/>
        </w:rPr>
      </w:pPr>
      <w:r>
        <w:rPr>
          <w:rFonts w:hint="default"/>
          <w:color w:val="0D0D0D"/>
        </w:rPr>
        <w:t>2.</w:t>
      </w:r>
      <w:r>
        <w:rPr>
          <w:color w:val="0D0D0D"/>
        </w:rPr>
        <w:t>法律规范或具体有效措施直接禁止当前的外部提供、披露、传输或处理行为。</w:t>
      </w:r>
    </w:p>
    <w:p w14:paraId="76149CA9">
      <w:pPr>
        <w:pStyle w:val="164"/>
        <w:spacing w:line="300" w:lineRule="auto"/>
        <w:rPr>
          <w:color w:val="0D0D0D"/>
        </w:rPr>
      </w:pPr>
      <w:r>
        <w:rPr>
          <w:rFonts w:hint="default"/>
          <w:color w:val="0D0D0D"/>
        </w:rPr>
        <w:t>3.</w:t>
      </w:r>
      <w:r>
        <w:rPr>
          <w:color w:val="0D0D0D"/>
        </w:rPr>
        <w:t>该规范确实适用于当前主体、当前材料和当前处理方式。</w:t>
      </w:r>
    </w:p>
    <w:p w14:paraId="3440C9A8">
      <w:pPr>
        <w:pStyle w:val="164"/>
        <w:spacing w:line="300" w:lineRule="auto"/>
        <w:rPr>
          <w:color w:val="0D0D0D"/>
        </w:rPr>
      </w:pPr>
      <w:r>
        <w:rPr>
          <w:rFonts w:hint="default"/>
          <w:color w:val="0D0D0D"/>
        </w:rPr>
        <w:t>4.</w:t>
      </w:r>
      <w:r>
        <w:rPr>
          <w:color w:val="0D0D0D"/>
        </w:rPr>
        <w:t>删除无关内容、去除直接标识符、缩小范围等普通脱敏措施仍不能使当前行为脱离禁止范围；若经合法匿名化后已经不再涉及受禁止对象，应重新判断。</w:t>
      </w:r>
    </w:p>
    <w:p w14:paraId="6D4B8515">
      <w:pPr>
        <w:pStyle w:val="4"/>
        <w:bidi w:val="0"/>
        <w:spacing w:line="300" w:lineRule="auto"/>
        <w:rPr>
          <w:color w:val="0D0D0D"/>
        </w:rPr>
      </w:pPr>
      <w:r>
        <w:rPr>
          <w:color w:val="0D0D0D"/>
        </w:rPr>
        <w:t>二、硬性禁止情形</w:t>
      </w:r>
    </w:p>
    <w:p w14:paraId="604E4209">
      <w:pPr>
        <w:pStyle w:val="5"/>
        <w:bidi w:val="0"/>
        <w:spacing w:line="300" w:lineRule="auto"/>
        <w:rPr>
          <w:color w:val="0D0D0D"/>
        </w:rPr>
      </w:pPr>
      <w:r>
        <w:rPr>
          <w:color w:val="0D0D0D"/>
        </w:rPr>
        <w:t>（一）国家秘密：已经确认涉密且当前处理方式不符合保密要求</w:t>
      </w:r>
    </w:p>
    <w:p w14:paraId="4D6B3E78">
      <w:pPr>
        <w:pStyle w:val="164"/>
        <w:spacing w:line="300" w:lineRule="auto"/>
        <w:rPr>
          <w:color w:val="0D0D0D"/>
        </w:rPr>
      </w:pPr>
      <w:r>
        <w:rPr>
          <w:color w:val="0D0D0D"/>
        </w:rPr>
        <w:t>现行《中华人民共和国保守国家秘密法》对国家秘密的传递、存储、处理设置了专门的保密要求。已经确认属于国家秘密的信息，如果拟使用的外部模型、通信链路、信息系统或设备不具备法律及国家保密规定、标准要求的保密条件，不得通过该方式处理。</w:t>
      </w:r>
    </w:p>
    <w:p w14:paraId="454247BF">
      <w:pPr>
        <w:pStyle w:val="164"/>
        <w:spacing w:line="300" w:lineRule="auto"/>
        <w:rPr>
          <w:color w:val="0D0D0D"/>
        </w:rPr>
      </w:pPr>
      <w:r>
        <w:rPr>
          <w:color w:val="0D0D0D"/>
        </w:rPr>
        <w:t>注意：不是“政府文件”“内部材料”“重要材料”就当然属于国家秘密。国家秘密必须有法定的秘密属性和相应确定程序。</w:t>
      </w:r>
    </w:p>
    <w:p w14:paraId="1FCC4EE9">
      <w:pPr>
        <w:pStyle w:val="164"/>
        <w:spacing w:line="300" w:lineRule="auto"/>
        <w:rPr>
          <w:color w:val="0D0D0D"/>
        </w:rPr>
      </w:pPr>
      <w:r>
        <w:rPr>
          <w:color w:val="0D0D0D"/>
        </w:rPr>
        <w:t>国家秘密的判断分成两层：是否真的属于国家秘密；当前外部处理环境是否符合涉密处理要求。前者不确定或后者不确定，均不宜直接断言禁止，而应先核实。</w:t>
      </w:r>
    </w:p>
    <w:p w14:paraId="546134EA">
      <w:pPr>
        <w:pStyle w:val="5"/>
        <w:bidi w:val="0"/>
        <w:spacing w:line="300" w:lineRule="auto"/>
        <w:rPr>
          <w:color w:val="0D0D0D"/>
        </w:rPr>
      </w:pPr>
      <w:r>
        <w:rPr>
          <w:color w:val="0D0D0D"/>
        </w:rPr>
        <w:t>（二）传染病患者、病原携带者、疑似患者的个人隐私、个人信息：法律明确禁止披露的范围</w:t>
      </w:r>
    </w:p>
    <w:p w14:paraId="7FD725F1">
      <w:pPr>
        <w:pStyle w:val="164"/>
        <w:spacing w:line="300" w:lineRule="auto"/>
        <w:rPr>
          <w:color w:val="0D0D0D"/>
        </w:rPr>
      </w:pPr>
      <w:r>
        <w:rPr>
          <w:color w:val="0D0D0D"/>
        </w:rPr>
        <w:t>现行《传染病防治法》第十六条规定，任何单位或者个人不得歧视传染病患者、病原携带者和疑似患者，不得泄露其个人隐私、个人信息。</w:t>
      </w:r>
    </w:p>
    <w:p w14:paraId="7B6C96AC">
      <w:pPr>
        <w:pStyle w:val="164"/>
        <w:spacing w:line="300" w:lineRule="auto"/>
        <w:rPr>
          <w:color w:val="0D0D0D"/>
        </w:rPr>
      </w:pPr>
      <w:r>
        <w:rPr>
          <w:color w:val="0D0D0D"/>
        </w:rPr>
        <w:t>当上传材料已经能够确认：第一，信息主体属于该条所列特定主体；第二，拟发送的内容属于其个人隐私或个人信息；第三，当前行为属于向外部处理主体披露；此时存在直接的禁止性依据。</w:t>
      </w:r>
    </w:p>
    <w:p w14:paraId="5B0C7232">
      <w:pPr>
        <w:pStyle w:val="164"/>
        <w:spacing w:line="300" w:lineRule="auto"/>
        <w:rPr>
          <w:color w:val="0D0D0D"/>
        </w:rPr>
      </w:pPr>
      <w:r>
        <w:rPr>
          <w:color w:val="0D0D0D"/>
        </w:rPr>
        <w:t>如果材料只有“患病”“传染病史”“长期病假”等模糊表述，无法确定是否属于第十六条的特定主体和保护范围，不能仅凭疾病名称直接认定禁止，应核实具体法律构成。</w:t>
      </w:r>
    </w:p>
    <w:p w14:paraId="4F515867">
      <w:pPr>
        <w:pStyle w:val="164"/>
        <w:spacing w:line="300" w:lineRule="auto"/>
        <w:rPr>
          <w:color w:val="0D0D0D"/>
        </w:rPr>
      </w:pPr>
      <w:r>
        <w:rPr>
          <w:color w:val="0D0D0D"/>
        </w:rPr>
        <w:t>注意：第十三条的目的限制，即传染病防治相关个人信息处理具有特殊目的边界。案件事实摘要通常属于劳动争议法律服务目的，不能直接把传染病防治领域的信息处理规则机械套用到所有劳动争议医疗信息上。</w:t>
      </w:r>
    </w:p>
    <w:p w14:paraId="72260181">
      <w:pPr>
        <w:pStyle w:val="5"/>
        <w:bidi w:val="0"/>
        <w:spacing w:line="300" w:lineRule="auto"/>
        <w:rPr>
          <w:color w:val="0D0D0D"/>
        </w:rPr>
      </w:pPr>
      <w:r>
        <w:rPr>
          <w:color w:val="0D0D0D"/>
        </w:rPr>
        <w:t>（三）法院、仲裁机构采取了具体保密措施，并明确限制向当前第三方提供</w:t>
      </w:r>
    </w:p>
    <w:p w14:paraId="084F7461">
      <w:pPr>
        <w:pStyle w:val="164"/>
        <w:spacing w:line="300" w:lineRule="auto"/>
        <w:rPr>
          <w:color w:val="0D0D0D"/>
        </w:rPr>
      </w:pPr>
      <w:r>
        <w:rPr>
          <w:color w:val="0D0D0D"/>
        </w:rPr>
        <w:t>劳动争议仲裁和民事诉讼均存在涉及国家秘密、商业秘密、个人隐私时不公开审理或采取保密措施的制度。</w:t>
      </w:r>
    </w:p>
    <w:p w14:paraId="5300F8D9">
      <w:pPr>
        <w:pStyle w:val="164"/>
        <w:spacing w:line="300" w:lineRule="auto"/>
        <w:rPr>
          <w:color w:val="0D0D0D"/>
        </w:rPr>
      </w:pPr>
      <w:r>
        <w:rPr>
          <w:color w:val="0D0D0D"/>
        </w:rPr>
        <w:t>可能构成硬性禁止的是：针对具体案件或具体材料已经存在明确、有效的保密措施，而且该措施的内容足以覆盖当前向外部AI服务商提供的行为。例如明确限制特定材料的接触、复制、披露范围，或者要求仅特定主体在保密条件下阅看，而当前外部服务商不在允许范围内。</w:t>
      </w:r>
    </w:p>
    <w:p w14:paraId="458CC912">
      <w:pPr>
        <w:pStyle w:val="164"/>
        <w:spacing w:line="300" w:lineRule="auto"/>
        <w:rPr>
          <w:color w:val="0D0D0D"/>
        </w:rPr>
      </w:pPr>
      <w:r>
        <w:rPr>
          <w:color w:val="0D0D0D"/>
        </w:rPr>
        <w:t>“不公开审理”“属于正卷”“涉商业秘密”这些标签本身不足以构成硬性禁止。必须找到具体的限制内容，并确认它确实限制当前第三方提供行为。</w:t>
      </w:r>
    </w:p>
    <w:p w14:paraId="3E464FD0">
      <w:pPr>
        <w:pStyle w:val="5"/>
        <w:bidi w:val="0"/>
        <w:spacing w:line="300" w:lineRule="auto"/>
        <w:rPr>
          <w:color w:val="0D0D0D"/>
        </w:rPr>
      </w:pPr>
      <w:r>
        <w:rPr>
          <w:color w:val="0D0D0D"/>
        </w:rPr>
        <w:t>（四）商业秘密</w:t>
      </w:r>
      <w:r>
        <w:rPr>
          <w:rFonts w:hint="default"/>
          <w:color w:val="0D0D0D"/>
        </w:rPr>
        <w:t>+</w:t>
      </w:r>
      <w:r>
        <w:rPr>
          <w:color w:val="0D0D0D"/>
        </w:rPr>
        <w:t>明确禁止向当前第三方披露的有效保密义务</w:t>
      </w:r>
    </w:p>
    <w:p w14:paraId="4DDC10BF">
      <w:pPr>
        <w:pStyle w:val="164"/>
        <w:spacing w:line="300" w:lineRule="auto"/>
        <w:rPr>
          <w:color w:val="0D0D0D"/>
        </w:rPr>
      </w:pPr>
      <w:r>
        <w:rPr>
          <w:color w:val="0D0D0D"/>
        </w:rPr>
        <w:t>《反不正当竞争法》现行规定禁止违反保密义务或者违反权利人有关保守商业秘密的要求，披露、使用或者允许他人使用所掌握的商业秘密。</w:t>
      </w:r>
    </w:p>
    <w:p w14:paraId="23B53C69">
      <w:pPr>
        <w:pStyle w:val="164"/>
        <w:spacing w:line="300" w:lineRule="auto"/>
        <w:rPr>
          <w:color w:val="0D0D0D"/>
        </w:rPr>
      </w:pPr>
      <w:r>
        <w:rPr>
          <w:color w:val="0D0D0D"/>
        </w:rPr>
        <w:t>在劳动争议中，常见于竞业限制、离职争议、客户名单、技术资料、源代码、报价体系、经营数据等材料。判断时应先确认是否满足商业秘密构成，再确认是否存在有效的保密义务，以及该义务是否明确禁止向当前第三方提供。</w:t>
      </w:r>
    </w:p>
    <w:p w14:paraId="72DB5535">
      <w:pPr>
        <w:pStyle w:val="164"/>
        <w:spacing w:line="300" w:lineRule="auto"/>
        <w:rPr>
          <w:color w:val="0D0D0D"/>
        </w:rPr>
      </w:pPr>
      <w:r>
        <w:rPr>
          <w:color w:val="0D0D0D"/>
        </w:rPr>
        <w:t>只有当</w:t>
      </w:r>
      <w:r>
        <w:rPr>
          <w:color w:val="0D0D0D"/>
          <w:u w:val="single"/>
        </w:rPr>
        <w:t>商业秘密属性、有效保密义务/明确禁止、当前第三方不在允许范围、不存在合法授权或例外</w:t>
      </w:r>
      <w:r>
        <w:rPr>
          <w:color w:val="0D0D0D"/>
        </w:rPr>
        <w:t>四项条件均成立时，才有充分理由认定当前外部提供受到明确禁止。</w:t>
      </w:r>
    </w:p>
    <w:p w14:paraId="36A2348C">
      <w:pPr>
        <w:pStyle w:val="5"/>
        <w:bidi w:val="0"/>
        <w:spacing w:line="300" w:lineRule="auto"/>
        <w:rPr>
          <w:color w:val="0D0D0D"/>
        </w:rPr>
      </w:pPr>
      <w:r>
        <w:rPr>
          <w:color w:val="0D0D0D"/>
        </w:rPr>
        <w:t>（五）其他法律明确禁止当前披露行为的特殊情形</w:t>
      </w:r>
    </w:p>
    <w:p w14:paraId="420CD458">
      <w:pPr>
        <w:pStyle w:val="164"/>
        <w:spacing w:line="300" w:lineRule="auto"/>
        <w:rPr>
          <w:color w:val="0D0D0D"/>
        </w:rPr>
      </w:pPr>
      <w:r>
        <w:rPr>
          <w:color w:val="0D0D0D"/>
        </w:rPr>
        <w:t>劳动争议案件可能出现其他特别法保护对象，例如特定行业、特定行政管理活动中的法定保密信息。此类情形不能建立一个脱离具体法律构成的敏感信息大类。应当做到一类一法、一种行为对应具体禁止条款。</w:t>
      </w:r>
    </w:p>
    <w:p w14:paraId="3FCE40DB">
      <w:pPr>
        <w:pStyle w:val="164"/>
        <w:spacing w:line="300" w:lineRule="auto"/>
        <w:rPr>
          <w:color w:val="0D0D0D"/>
        </w:rPr>
      </w:pPr>
      <w:r>
        <w:rPr>
          <w:color w:val="0D0D0D"/>
        </w:rPr>
        <w:t>如果系统无法确认特别法的适用对象、适用行为或事实前提，不应直接认定为禁止，而应进入依据人工核实程序。</w:t>
      </w:r>
    </w:p>
    <w:p w14:paraId="0F402478">
      <w:pPr>
        <w:pStyle w:val="4"/>
        <w:bidi w:val="0"/>
        <w:spacing w:line="300" w:lineRule="auto"/>
        <w:rPr>
          <w:rFonts w:hint="default"/>
          <w:color w:val="0D0D0D"/>
        </w:rPr>
      </w:pPr>
      <w:r>
        <w:rPr>
          <w:color w:val="0D0D0D"/>
        </w:rPr>
        <w:t>三、以下信息不能仅凭类别直接认定为坚决不能外发</w:t>
      </w:r>
      <w:r>
        <w:rPr>
          <w:color w:val="0D0D0D"/>
        </w:rPr>
        <w:t>，应进一步判断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700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30A85D3E">
            <w:pPr>
              <w:spacing w:after="40" w:line="300" w:lineRule="auto"/>
              <w:rPr>
                <w:rFonts w:hint="default"/>
                <w:b/>
                <w:bCs/>
                <w:color w:val="0D0D0D"/>
                <w:sz w:val="18"/>
                <w:szCs w:val="18"/>
                <w:highlight w:val="none"/>
              </w:rPr>
            </w:pPr>
            <w:r>
              <w:rPr>
                <w:b/>
                <w:bCs/>
                <w:color w:val="0D0D0D"/>
                <w:sz w:val="18"/>
                <w:szCs w:val="18"/>
                <w:highlight w:val="none"/>
              </w:rPr>
              <w:t>信息</w:t>
            </w:r>
            <w:r>
              <w:rPr>
                <w:rFonts w:hint="default"/>
                <w:b/>
                <w:bCs/>
                <w:color w:val="0D0D0D"/>
                <w:sz w:val="18"/>
                <w:szCs w:val="18"/>
                <w:highlight w:val="none"/>
              </w:rPr>
              <w:t>/材料</w:t>
            </w:r>
          </w:p>
        </w:tc>
        <w:tc>
          <w:tcPr>
            <w:tcW w:w="3135" w:type="dxa"/>
            <w:vAlign w:val="center"/>
          </w:tcPr>
          <w:p w14:paraId="7BFDFD42">
            <w:pPr>
              <w:spacing w:after="40" w:line="300" w:lineRule="auto"/>
              <w:rPr>
                <w:rFonts w:hint="default"/>
                <w:color w:val="0D0D0D"/>
                <w:highlight w:val="none"/>
              </w:rPr>
            </w:pPr>
            <w:r>
              <w:rPr>
                <w:rFonts w:hint="default"/>
                <w:b/>
                <w:bCs/>
                <w:color w:val="0D0D0D"/>
                <w:sz w:val="18"/>
                <w:szCs w:val="18"/>
                <w:highlight w:val="none"/>
              </w:rPr>
              <w:t>可能存疑的地方</w:t>
            </w:r>
          </w:p>
        </w:tc>
        <w:tc>
          <w:tcPr>
            <w:tcW w:w="3135" w:type="dxa"/>
            <w:vAlign w:val="center"/>
          </w:tcPr>
          <w:p w14:paraId="01D7BE18">
            <w:pPr>
              <w:spacing w:after="40" w:line="300" w:lineRule="auto"/>
              <w:rPr>
                <w:rFonts w:hint="default"/>
                <w:b/>
                <w:bCs/>
                <w:color w:val="0D0D0D"/>
                <w:sz w:val="18"/>
                <w:szCs w:val="18"/>
                <w:highlight w:val="none"/>
              </w:rPr>
            </w:pPr>
            <w:r>
              <w:rPr>
                <w:b/>
                <w:bCs/>
                <w:color w:val="0D0D0D"/>
                <w:sz w:val="18"/>
                <w:szCs w:val="18"/>
                <w:highlight w:val="none"/>
              </w:rPr>
              <w:t>进一步判断的具体内容</w:t>
            </w:r>
          </w:p>
        </w:tc>
      </w:tr>
      <w:tr w14:paraId="6219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3135" w:type="dxa"/>
            <w:vAlign w:val="center"/>
          </w:tcPr>
          <w:p w14:paraId="79E4F192">
            <w:pPr>
              <w:spacing w:after="40" w:line="300" w:lineRule="auto"/>
              <w:rPr>
                <w:color w:val="0D0D0D"/>
                <w:highlight w:val="none"/>
              </w:rPr>
            </w:pPr>
            <w:r>
              <w:rPr>
                <w:rFonts w:ascii="宋体" w:hAnsi="宋体" w:eastAsia="宋体"/>
                <w:b w:val="0"/>
                <w:color w:val="0D0D0D"/>
                <w:sz w:val="18"/>
                <w:highlight w:val="none"/>
              </w:rPr>
              <w:t>医疗健康、职业病信息</w:t>
            </w:r>
          </w:p>
        </w:tc>
        <w:tc>
          <w:tcPr>
            <w:tcW w:w="3135" w:type="dxa"/>
            <w:vAlign w:val="center"/>
          </w:tcPr>
          <w:p w14:paraId="238841FD">
            <w:pPr>
              <w:spacing w:after="40" w:line="300" w:lineRule="auto"/>
              <w:rPr>
                <w:color w:val="0D0D0D"/>
                <w:highlight w:val="none"/>
              </w:rPr>
            </w:pPr>
            <w:r>
              <w:rPr>
                <w:rFonts w:ascii="宋体" w:hAnsi="宋体" w:eastAsia="宋体"/>
                <w:b w:val="0"/>
                <w:color w:val="0D0D0D"/>
                <w:sz w:val="18"/>
                <w:highlight w:val="none"/>
              </w:rPr>
              <w:t>属于敏感个人信息，处理条件更严格，但劳动争议中的必要事实并非当然禁止处理</w:t>
            </w:r>
          </w:p>
        </w:tc>
        <w:tc>
          <w:tcPr>
            <w:tcW w:w="3135" w:type="dxa"/>
            <w:vAlign w:val="center"/>
          </w:tcPr>
          <w:p w14:paraId="1B7E847C">
            <w:pPr>
              <w:spacing w:after="40" w:line="300" w:lineRule="auto"/>
              <w:rPr>
                <w:color w:val="0D0D0D"/>
                <w:highlight w:val="none"/>
              </w:rPr>
            </w:pPr>
            <w:r>
              <w:rPr>
                <w:rFonts w:ascii="宋体" w:hAnsi="宋体" w:eastAsia="宋体"/>
                <w:b w:val="0"/>
                <w:color w:val="0D0D0D"/>
                <w:sz w:val="18"/>
                <w:highlight w:val="none"/>
              </w:rPr>
              <w:t>是否必要、处理基础、是否需要特殊授权、是否存在特别披露限制、能否删除无关病历细节</w:t>
            </w:r>
          </w:p>
        </w:tc>
      </w:tr>
      <w:tr w14:paraId="093A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5DB131BA">
            <w:pPr>
              <w:spacing w:after="40" w:line="300" w:lineRule="auto"/>
              <w:rPr>
                <w:color w:val="0D0D0D"/>
                <w:highlight w:val="none"/>
              </w:rPr>
            </w:pPr>
            <w:r>
              <w:rPr>
                <w:rFonts w:ascii="宋体" w:hAnsi="宋体" w:eastAsia="宋体"/>
                <w:b w:val="0"/>
                <w:color w:val="0D0D0D"/>
                <w:sz w:val="18"/>
                <w:highlight w:val="none"/>
              </w:rPr>
              <w:t>严重传染病相关信息</w:t>
            </w:r>
          </w:p>
        </w:tc>
        <w:tc>
          <w:tcPr>
            <w:tcW w:w="3135" w:type="dxa"/>
            <w:vAlign w:val="center"/>
          </w:tcPr>
          <w:p w14:paraId="0A346FF9">
            <w:pPr>
              <w:spacing w:after="40" w:line="300" w:lineRule="auto"/>
              <w:rPr>
                <w:color w:val="0D0D0D"/>
                <w:highlight w:val="none"/>
              </w:rPr>
            </w:pPr>
            <w:r>
              <w:rPr>
                <w:rFonts w:ascii="宋体" w:hAnsi="宋体" w:eastAsia="宋体"/>
                <w:b w:val="0"/>
                <w:color w:val="0D0D0D"/>
                <w:sz w:val="18"/>
                <w:highlight w:val="none"/>
              </w:rPr>
              <w:t>只有满足特定主体、受保护信息和当前披露行为等法律构成，才能适用明确禁止；疾病标签本身不够</w:t>
            </w:r>
          </w:p>
        </w:tc>
        <w:tc>
          <w:tcPr>
            <w:tcW w:w="3135" w:type="dxa"/>
            <w:vAlign w:val="center"/>
          </w:tcPr>
          <w:p w14:paraId="7A5571D2">
            <w:pPr>
              <w:spacing w:after="40" w:line="300" w:lineRule="auto"/>
              <w:rPr>
                <w:color w:val="0D0D0D"/>
                <w:highlight w:val="none"/>
              </w:rPr>
            </w:pPr>
            <w:r>
              <w:rPr>
                <w:rFonts w:ascii="宋体" w:hAnsi="宋体" w:eastAsia="宋体"/>
                <w:b w:val="0"/>
                <w:color w:val="0D0D0D"/>
                <w:sz w:val="18"/>
                <w:highlight w:val="none"/>
              </w:rPr>
              <w:t>是否属于患者/携带者/疑似患者，披露内容是否属于其个人隐私/个人信息</w:t>
            </w:r>
          </w:p>
        </w:tc>
      </w:tr>
      <w:tr w14:paraId="07FE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794B8D5D">
            <w:pPr>
              <w:spacing w:after="40" w:line="300" w:lineRule="auto"/>
              <w:rPr>
                <w:color w:val="0D0D0D"/>
                <w:highlight w:val="none"/>
              </w:rPr>
            </w:pPr>
            <w:r>
              <w:rPr>
                <w:rFonts w:ascii="宋体" w:hAnsi="宋体" w:eastAsia="宋体"/>
                <w:b w:val="0"/>
                <w:color w:val="0D0D0D"/>
                <w:sz w:val="18"/>
                <w:highlight w:val="none"/>
              </w:rPr>
              <w:t>商业秘密</w:t>
            </w:r>
          </w:p>
        </w:tc>
        <w:tc>
          <w:tcPr>
            <w:tcW w:w="3135" w:type="dxa"/>
            <w:vAlign w:val="center"/>
          </w:tcPr>
          <w:p w14:paraId="352E3F54">
            <w:pPr>
              <w:spacing w:after="40" w:line="300" w:lineRule="auto"/>
              <w:rPr>
                <w:color w:val="0D0D0D"/>
                <w:highlight w:val="none"/>
              </w:rPr>
            </w:pPr>
            <w:r>
              <w:rPr>
                <w:rFonts w:ascii="宋体" w:hAnsi="宋体" w:eastAsia="宋体"/>
                <w:b w:val="0"/>
                <w:color w:val="0D0D0D"/>
                <w:sz w:val="18"/>
                <w:highlight w:val="none"/>
              </w:rPr>
              <w:t>法律重点禁止非法获取、披露、使用及违反保密义务等行为，并非规定商业秘密绝对不得被任何第三方处理</w:t>
            </w:r>
          </w:p>
        </w:tc>
        <w:tc>
          <w:tcPr>
            <w:tcW w:w="3135" w:type="dxa"/>
            <w:vAlign w:val="center"/>
          </w:tcPr>
          <w:p w14:paraId="1F2F2EFF">
            <w:pPr>
              <w:spacing w:after="40" w:line="300" w:lineRule="auto"/>
              <w:rPr>
                <w:color w:val="0D0D0D"/>
                <w:highlight w:val="none"/>
              </w:rPr>
            </w:pPr>
            <w:r>
              <w:rPr>
                <w:rFonts w:ascii="宋体" w:hAnsi="宋体" w:eastAsia="宋体"/>
                <w:b w:val="0"/>
                <w:color w:val="0D0D0D"/>
                <w:sz w:val="18"/>
                <w:highlight w:val="none"/>
              </w:rPr>
              <w:t>商业秘密是否成立、保密义务内容、第三方提供权限、必要性</w:t>
            </w:r>
          </w:p>
        </w:tc>
      </w:tr>
      <w:tr w14:paraId="6AEB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3135" w:type="dxa"/>
            <w:vAlign w:val="center"/>
          </w:tcPr>
          <w:p w14:paraId="304B4E83">
            <w:pPr>
              <w:spacing w:after="40" w:line="300" w:lineRule="auto"/>
              <w:rPr>
                <w:color w:val="0D0D0D"/>
                <w:highlight w:val="none"/>
              </w:rPr>
            </w:pPr>
            <w:r>
              <w:rPr>
                <w:rFonts w:ascii="宋体" w:hAnsi="宋体" w:eastAsia="宋体"/>
                <w:b w:val="0"/>
                <w:color w:val="0D0D0D"/>
                <w:sz w:val="18"/>
                <w:highlight w:val="none"/>
              </w:rPr>
              <w:t>工资、社保、银行账户等信息</w:t>
            </w:r>
          </w:p>
        </w:tc>
        <w:tc>
          <w:tcPr>
            <w:tcW w:w="3135" w:type="dxa"/>
            <w:vAlign w:val="center"/>
          </w:tcPr>
          <w:p w14:paraId="544CAAD6">
            <w:pPr>
              <w:spacing w:after="40" w:line="300" w:lineRule="auto"/>
              <w:rPr>
                <w:color w:val="0D0D0D"/>
                <w:highlight w:val="none"/>
              </w:rPr>
            </w:pPr>
            <w:r>
              <w:rPr>
                <w:rFonts w:ascii="宋体" w:hAnsi="宋体" w:eastAsia="宋体"/>
                <w:b w:val="0"/>
                <w:color w:val="0D0D0D"/>
                <w:sz w:val="18"/>
                <w:highlight w:val="none"/>
              </w:rPr>
              <w:t>通常属于个人信息，其中部分属于敏感个人信息，但法律并非一概禁止为合法目的处理</w:t>
            </w:r>
          </w:p>
        </w:tc>
        <w:tc>
          <w:tcPr>
            <w:tcW w:w="3135" w:type="dxa"/>
            <w:vAlign w:val="center"/>
          </w:tcPr>
          <w:p w14:paraId="6923B18B">
            <w:pPr>
              <w:spacing w:after="40" w:line="300" w:lineRule="auto"/>
              <w:rPr>
                <w:color w:val="0D0D0D"/>
                <w:highlight w:val="none"/>
              </w:rPr>
            </w:pPr>
            <w:r>
              <w:rPr>
                <w:rFonts w:ascii="宋体" w:hAnsi="宋体" w:eastAsia="宋体"/>
                <w:b w:val="0"/>
                <w:color w:val="0D0D0D"/>
                <w:sz w:val="18"/>
                <w:highlight w:val="none"/>
              </w:rPr>
              <w:t>任务必要性、合法处理基础、最小化程度、外部处理条件</w:t>
            </w:r>
          </w:p>
        </w:tc>
      </w:tr>
      <w:tr w14:paraId="6F3F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3CFBD59B">
            <w:pPr>
              <w:spacing w:after="40" w:line="300" w:lineRule="auto"/>
              <w:rPr>
                <w:color w:val="0D0D0D"/>
                <w:highlight w:val="none"/>
              </w:rPr>
            </w:pPr>
            <w:r>
              <w:rPr>
                <w:rFonts w:ascii="宋体" w:hAnsi="宋体" w:eastAsia="宋体"/>
                <w:b w:val="0"/>
                <w:color w:val="0D0D0D"/>
                <w:sz w:val="18"/>
                <w:highlight w:val="none"/>
              </w:rPr>
              <w:t>诉讼/仲裁材料</w:t>
            </w:r>
          </w:p>
        </w:tc>
        <w:tc>
          <w:tcPr>
            <w:tcW w:w="3135" w:type="dxa"/>
            <w:vAlign w:val="center"/>
          </w:tcPr>
          <w:p w14:paraId="71E08517">
            <w:pPr>
              <w:spacing w:after="40" w:line="300" w:lineRule="auto"/>
              <w:rPr>
                <w:color w:val="0D0D0D"/>
                <w:highlight w:val="none"/>
              </w:rPr>
            </w:pPr>
            <w:r>
              <w:rPr>
                <w:rFonts w:ascii="宋体" w:hAnsi="宋体" w:eastAsia="宋体"/>
                <w:b w:val="0"/>
                <w:color w:val="0D0D0D"/>
                <w:sz w:val="18"/>
                <w:highlight w:val="none"/>
              </w:rPr>
              <w:t>案件材料存在保密规则，但查阅、复制、提供给第三方是不同法律行为</w:t>
            </w:r>
          </w:p>
        </w:tc>
        <w:tc>
          <w:tcPr>
            <w:tcW w:w="3135" w:type="dxa"/>
            <w:vAlign w:val="center"/>
          </w:tcPr>
          <w:p w14:paraId="422786C4">
            <w:pPr>
              <w:spacing w:after="40" w:line="300" w:lineRule="auto"/>
              <w:rPr>
                <w:color w:val="0D0D0D"/>
                <w:highlight w:val="none"/>
              </w:rPr>
            </w:pPr>
            <w:r>
              <w:rPr>
                <w:rFonts w:ascii="宋体" w:hAnsi="宋体" w:eastAsia="宋体"/>
                <w:b w:val="0"/>
                <w:color w:val="0D0D0D"/>
                <w:sz w:val="18"/>
                <w:highlight w:val="none"/>
              </w:rPr>
              <w:t>具体保密措施、授权范围、第三方角色</w:t>
            </w:r>
          </w:p>
        </w:tc>
      </w:tr>
      <w:tr w14:paraId="3281E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731602AA">
            <w:pPr>
              <w:spacing w:after="40" w:line="300" w:lineRule="auto"/>
              <w:rPr>
                <w:color w:val="0D0D0D"/>
                <w:highlight w:val="none"/>
              </w:rPr>
            </w:pPr>
            <w:r>
              <w:rPr>
                <w:rFonts w:ascii="宋体" w:hAnsi="宋体" w:eastAsia="宋体"/>
                <w:b w:val="0"/>
                <w:color w:val="0D0D0D"/>
                <w:sz w:val="18"/>
                <w:highlight w:val="none"/>
              </w:rPr>
              <w:t>律师执业中知悉的信息</w:t>
            </w:r>
          </w:p>
        </w:tc>
        <w:tc>
          <w:tcPr>
            <w:tcW w:w="3135" w:type="dxa"/>
            <w:vAlign w:val="center"/>
          </w:tcPr>
          <w:p w14:paraId="475FBEEB">
            <w:pPr>
              <w:spacing w:after="40" w:line="300" w:lineRule="auto"/>
              <w:rPr>
                <w:color w:val="0D0D0D"/>
                <w:highlight w:val="none"/>
              </w:rPr>
            </w:pPr>
            <w:r>
              <w:rPr>
                <w:rFonts w:ascii="宋体" w:hAnsi="宋体" w:eastAsia="宋体"/>
                <w:b w:val="0"/>
                <w:color w:val="0D0D0D"/>
                <w:sz w:val="18"/>
                <w:highlight w:val="none"/>
              </w:rPr>
              <w:t>律师负有严格保密义务，但不能把保密义务无限扩大解释成任何技术服务商均不得接触</w:t>
            </w:r>
          </w:p>
        </w:tc>
        <w:tc>
          <w:tcPr>
            <w:tcW w:w="3135" w:type="dxa"/>
            <w:vAlign w:val="center"/>
          </w:tcPr>
          <w:p w14:paraId="32A03BC4">
            <w:pPr>
              <w:spacing w:after="40" w:line="300" w:lineRule="auto"/>
              <w:rPr>
                <w:color w:val="0D0D0D"/>
                <w:highlight w:val="none"/>
              </w:rPr>
            </w:pPr>
            <w:r>
              <w:rPr>
                <w:rFonts w:ascii="宋体" w:hAnsi="宋体" w:eastAsia="宋体"/>
                <w:b w:val="0"/>
                <w:color w:val="0D0D0D"/>
                <w:sz w:val="18"/>
                <w:highlight w:val="none"/>
              </w:rPr>
              <w:t>办案必要性、第三方身份、授权、保密安排、服务商处理条件</w:t>
            </w:r>
          </w:p>
        </w:tc>
      </w:tr>
      <w:tr w14:paraId="7816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4B46DECC">
            <w:pPr>
              <w:spacing w:after="40" w:line="300" w:lineRule="auto"/>
              <w:rPr>
                <w:color w:val="0D0D0D"/>
                <w:highlight w:val="none"/>
              </w:rPr>
            </w:pPr>
            <w:r>
              <w:rPr>
                <w:rFonts w:ascii="宋体" w:hAnsi="宋体" w:eastAsia="宋体"/>
                <w:b w:val="0"/>
                <w:color w:val="0D0D0D"/>
                <w:sz w:val="18"/>
                <w:highlight w:val="none"/>
              </w:rPr>
              <w:t>境外AI服务</w:t>
            </w:r>
          </w:p>
        </w:tc>
        <w:tc>
          <w:tcPr>
            <w:tcW w:w="3135" w:type="dxa"/>
            <w:vAlign w:val="center"/>
          </w:tcPr>
          <w:p w14:paraId="7A18046C">
            <w:pPr>
              <w:spacing w:after="40" w:line="300" w:lineRule="auto"/>
              <w:rPr>
                <w:color w:val="0D0D0D"/>
                <w:highlight w:val="none"/>
              </w:rPr>
            </w:pPr>
            <w:r>
              <w:rPr>
                <w:rFonts w:ascii="宋体" w:hAnsi="宋体" w:eastAsia="宋体"/>
                <w:b w:val="0"/>
                <w:color w:val="0D0D0D"/>
                <w:sz w:val="18"/>
                <w:highlight w:val="none"/>
              </w:rPr>
              <w:t>可能产生跨境个人信息处理，但境外服务商身份本身不等于已经发生跨境传输</w:t>
            </w:r>
          </w:p>
        </w:tc>
        <w:tc>
          <w:tcPr>
            <w:tcW w:w="3135" w:type="dxa"/>
            <w:vAlign w:val="center"/>
          </w:tcPr>
          <w:p w14:paraId="61E51C84">
            <w:pPr>
              <w:spacing w:after="40" w:line="300" w:lineRule="auto"/>
              <w:rPr>
                <w:color w:val="0D0D0D"/>
                <w:highlight w:val="none"/>
              </w:rPr>
            </w:pPr>
            <w:r>
              <w:rPr>
                <w:rFonts w:ascii="宋体" w:hAnsi="宋体" w:eastAsia="宋体"/>
                <w:b w:val="0"/>
                <w:color w:val="0D0D0D"/>
                <w:sz w:val="18"/>
                <w:highlight w:val="none"/>
              </w:rPr>
              <w:t>实际数据流向、境外访问、存储地点、适用跨境机制</w:t>
            </w:r>
          </w:p>
        </w:tc>
      </w:tr>
      <w:tr w14:paraId="6541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73DE77C5">
            <w:pPr>
              <w:spacing w:after="40" w:line="300" w:lineRule="auto"/>
              <w:rPr>
                <w:rFonts w:hint="default" w:ascii="宋体" w:hAnsi="宋体" w:eastAsia="宋体"/>
                <w:b w:val="0"/>
                <w:color w:val="0D0D0D"/>
                <w:sz w:val="18"/>
                <w:highlight w:val="none"/>
              </w:rPr>
            </w:pPr>
            <w:r>
              <w:rPr>
                <w:b w:val="0"/>
                <w:color w:val="0D0D0D"/>
                <w:sz w:val="18"/>
                <w:highlight w:val="yellow"/>
              </w:rPr>
              <w:t>未成年人个人信息</w:t>
            </w:r>
          </w:p>
        </w:tc>
        <w:tc>
          <w:tcPr>
            <w:tcW w:w="3135" w:type="dxa"/>
            <w:vAlign w:val="center"/>
          </w:tcPr>
          <w:p w14:paraId="685E958D">
            <w:pPr>
              <w:spacing w:after="40" w:line="300" w:lineRule="auto"/>
              <w:rPr>
                <w:rFonts w:hint="default" w:ascii="宋体" w:hAnsi="宋体" w:eastAsia="宋体"/>
                <w:b w:val="0"/>
                <w:color w:val="0D0D0D"/>
                <w:sz w:val="18"/>
                <w:highlight w:val="none"/>
              </w:rPr>
            </w:pPr>
            <w:r>
              <w:rPr>
                <w:b w:val="0"/>
                <w:color w:val="0D0D0D"/>
                <w:sz w:val="18"/>
                <w:highlight w:val="none"/>
              </w:rPr>
              <w:t>不满</w:t>
            </w:r>
            <w:r>
              <w:rPr>
                <w:rFonts w:hint="default"/>
                <w:b w:val="0"/>
                <w:color w:val="0D0D0D"/>
                <w:sz w:val="18"/>
                <w:highlight w:val="none"/>
              </w:rPr>
              <w:t>14周岁个人信息属于敏感个人信息，未成年人个人信息受到特殊保护，但法律并非简单规定“所有涉及未成年人信息均不得向任何第三方处理”</w:t>
            </w:r>
          </w:p>
        </w:tc>
        <w:tc>
          <w:tcPr>
            <w:tcW w:w="3135" w:type="dxa"/>
            <w:vAlign w:val="center"/>
          </w:tcPr>
          <w:p w14:paraId="3E220ADB">
            <w:pPr>
              <w:spacing w:after="40" w:line="300" w:lineRule="auto"/>
              <w:rPr>
                <w:rFonts w:hint="default" w:ascii="宋体" w:hAnsi="宋体" w:eastAsia="宋体"/>
                <w:b w:val="0"/>
                <w:color w:val="0D0D0D"/>
                <w:sz w:val="18"/>
                <w:highlight w:val="none"/>
              </w:rPr>
            </w:pPr>
            <w:r>
              <w:rPr>
                <w:b w:val="0"/>
                <w:color w:val="0D0D0D"/>
                <w:sz w:val="18"/>
                <w:highlight w:val="none"/>
              </w:rPr>
              <w:t>年龄、信息类型、处理目的、合法处理基础、是否存在特别司法</w:t>
            </w:r>
            <w:r>
              <w:rPr>
                <w:rFonts w:hint="default"/>
                <w:b w:val="0"/>
                <w:color w:val="0D0D0D"/>
                <w:sz w:val="18"/>
                <w:highlight w:val="none"/>
              </w:rPr>
              <w:t>/行政规则、当前第三方处理关系</w:t>
            </w:r>
          </w:p>
        </w:tc>
      </w:tr>
    </w:tbl>
    <w:p w14:paraId="379BBB5E">
      <w:pPr>
        <w:pStyle w:val="4"/>
        <w:bidi w:val="0"/>
        <w:spacing w:line="300" w:lineRule="auto"/>
        <w:rPr>
          <w:color w:val="0D0D0D"/>
        </w:rPr>
      </w:pPr>
      <w:r>
        <w:rPr>
          <w:color w:val="0D0D0D"/>
        </w:rPr>
        <w:t>四、必须人工复核的情形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AEB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340B8B43">
            <w:pPr>
              <w:spacing w:after="40" w:line="300" w:lineRule="auto"/>
              <w:rPr>
                <w:rFonts w:hint="default"/>
                <w:b/>
                <w:bCs/>
                <w:color w:val="0D0D0D"/>
                <w:sz w:val="18"/>
                <w:szCs w:val="18"/>
              </w:rPr>
            </w:pPr>
            <w:r>
              <w:rPr>
                <w:b/>
                <w:bCs/>
                <w:color w:val="0D0D0D"/>
                <w:sz w:val="18"/>
                <w:szCs w:val="18"/>
              </w:rPr>
              <w:t>情形</w:t>
            </w:r>
          </w:p>
        </w:tc>
        <w:tc>
          <w:tcPr>
            <w:tcW w:w="3135" w:type="dxa"/>
            <w:vAlign w:val="center"/>
          </w:tcPr>
          <w:p w14:paraId="69EAF46E">
            <w:pPr>
              <w:spacing w:after="40" w:line="300" w:lineRule="auto"/>
              <w:rPr>
                <w:rFonts w:hint="default"/>
                <w:b/>
                <w:bCs/>
                <w:color w:val="0D0D0D"/>
                <w:sz w:val="18"/>
                <w:szCs w:val="18"/>
              </w:rPr>
            </w:pPr>
            <w:r>
              <w:rPr>
                <w:b/>
                <w:bCs/>
                <w:color w:val="0D0D0D"/>
                <w:sz w:val="18"/>
                <w:szCs w:val="18"/>
              </w:rPr>
              <w:t>可能存疑的地方</w:t>
            </w:r>
          </w:p>
        </w:tc>
        <w:tc>
          <w:tcPr>
            <w:tcW w:w="3135" w:type="dxa"/>
            <w:vAlign w:val="center"/>
          </w:tcPr>
          <w:p w14:paraId="49962AEA">
            <w:pPr>
              <w:spacing w:after="40" w:line="300" w:lineRule="auto"/>
              <w:rPr>
                <w:rFonts w:hint="default"/>
                <w:b/>
                <w:bCs/>
                <w:color w:val="0D0D0D"/>
                <w:sz w:val="18"/>
                <w:szCs w:val="18"/>
              </w:rPr>
            </w:pPr>
            <w:r>
              <w:rPr>
                <w:b/>
                <w:bCs/>
                <w:color w:val="0D0D0D"/>
                <w:sz w:val="18"/>
                <w:szCs w:val="18"/>
              </w:rPr>
              <w:t>人工复核的具体内容</w:t>
            </w:r>
          </w:p>
        </w:tc>
      </w:tr>
      <w:tr w14:paraId="1C2B3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15166FC9">
            <w:pPr>
              <w:spacing w:after="40" w:line="300" w:lineRule="auto"/>
              <w:rPr>
                <w:color w:val="0D0D0D"/>
              </w:rPr>
            </w:pPr>
            <w:r>
              <w:rPr>
                <w:rFonts w:ascii="宋体" w:hAnsi="宋体" w:eastAsia="宋体"/>
                <w:b w:val="0"/>
                <w:color w:val="0D0D0D"/>
                <w:sz w:val="18"/>
              </w:rPr>
              <w:t>特别法是否适用无法确认</w:t>
            </w:r>
          </w:p>
        </w:tc>
        <w:tc>
          <w:tcPr>
            <w:tcW w:w="3135" w:type="dxa"/>
            <w:vAlign w:val="center"/>
          </w:tcPr>
          <w:p w14:paraId="7504E254">
            <w:pPr>
              <w:spacing w:after="40" w:line="300" w:lineRule="auto"/>
              <w:rPr>
                <w:color w:val="0D0D0D"/>
              </w:rPr>
            </w:pPr>
            <w:r>
              <w:rPr>
                <w:rFonts w:ascii="宋体" w:hAnsi="宋体" w:eastAsia="宋体"/>
                <w:b w:val="0"/>
                <w:color w:val="0D0D0D"/>
                <w:sz w:val="18"/>
              </w:rPr>
              <w:t>同一事实可能同时涉及劳动法、个保法、传染病防治等规则</w:t>
            </w:r>
          </w:p>
        </w:tc>
        <w:tc>
          <w:tcPr>
            <w:tcW w:w="3135" w:type="dxa"/>
            <w:vAlign w:val="center"/>
          </w:tcPr>
          <w:p w14:paraId="03696E7C">
            <w:pPr>
              <w:spacing w:after="40" w:line="300" w:lineRule="auto"/>
              <w:rPr>
                <w:color w:val="0D0D0D"/>
              </w:rPr>
            </w:pPr>
            <w:r>
              <w:rPr>
                <w:rFonts w:ascii="宋体" w:hAnsi="宋体" w:eastAsia="宋体"/>
                <w:b w:val="0"/>
                <w:color w:val="0D0D0D"/>
                <w:sz w:val="18"/>
              </w:rPr>
              <w:t>具体法条、适用对象、适用行为、事实是否满足构成要件</w:t>
            </w:r>
          </w:p>
        </w:tc>
      </w:tr>
      <w:tr w14:paraId="155B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26D35394">
            <w:pPr>
              <w:spacing w:after="40" w:line="300" w:lineRule="auto"/>
              <w:rPr>
                <w:color w:val="0D0D0D"/>
              </w:rPr>
            </w:pPr>
            <w:r>
              <w:rPr>
                <w:rFonts w:ascii="宋体" w:hAnsi="宋体" w:eastAsia="宋体"/>
                <w:b w:val="0"/>
                <w:color w:val="0D0D0D"/>
                <w:sz w:val="18"/>
              </w:rPr>
              <w:t>处分权限不明确</w:t>
            </w:r>
          </w:p>
        </w:tc>
        <w:tc>
          <w:tcPr>
            <w:tcW w:w="3135" w:type="dxa"/>
            <w:vAlign w:val="center"/>
          </w:tcPr>
          <w:p w14:paraId="0B06C9D0">
            <w:pPr>
              <w:spacing w:after="40" w:line="300" w:lineRule="auto"/>
              <w:rPr>
                <w:color w:val="0D0D0D"/>
              </w:rPr>
            </w:pPr>
            <w:r>
              <w:rPr>
                <w:rFonts w:ascii="宋体" w:hAnsi="宋体" w:eastAsia="宋体"/>
                <w:b w:val="0"/>
                <w:color w:val="0D0D0D"/>
                <w:sz w:val="18"/>
              </w:rPr>
              <w:t>能够查看、复制案件材料不当然意味着可以向任意第三方提供</w:t>
            </w:r>
          </w:p>
        </w:tc>
        <w:tc>
          <w:tcPr>
            <w:tcW w:w="3135" w:type="dxa"/>
            <w:vAlign w:val="center"/>
          </w:tcPr>
          <w:p w14:paraId="73BAA68F">
            <w:pPr>
              <w:spacing w:after="40" w:line="300" w:lineRule="auto"/>
              <w:rPr>
                <w:color w:val="0D0D0D"/>
              </w:rPr>
            </w:pPr>
            <w:r>
              <w:rPr>
                <w:rFonts w:ascii="宋体" w:hAnsi="宋体" w:eastAsia="宋体"/>
                <w:b w:val="0"/>
                <w:color w:val="0D0D0D"/>
                <w:sz w:val="18"/>
              </w:rPr>
              <w:t>授权人、授权范围、是否包含第三方提供/委托处理、是否存在相反限制</w:t>
            </w:r>
          </w:p>
        </w:tc>
      </w:tr>
      <w:tr w14:paraId="7E1B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1E19C4CC">
            <w:pPr>
              <w:spacing w:after="40" w:line="300" w:lineRule="auto"/>
              <w:rPr>
                <w:color w:val="0D0D0D"/>
              </w:rPr>
            </w:pPr>
            <w:r>
              <w:rPr>
                <w:rFonts w:ascii="宋体" w:hAnsi="宋体" w:eastAsia="宋体"/>
                <w:b w:val="0"/>
                <w:color w:val="0D0D0D"/>
                <w:sz w:val="18"/>
              </w:rPr>
              <w:t>保密义务范围不明确</w:t>
            </w:r>
          </w:p>
        </w:tc>
        <w:tc>
          <w:tcPr>
            <w:tcW w:w="3135" w:type="dxa"/>
            <w:vAlign w:val="center"/>
          </w:tcPr>
          <w:p w14:paraId="7648CAF3">
            <w:pPr>
              <w:spacing w:after="40" w:line="300" w:lineRule="auto"/>
              <w:rPr>
                <w:color w:val="0D0D0D"/>
              </w:rPr>
            </w:pPr>
            <w:r>
              <w:rPr>
                <w:rFonts w:ascii="宋体" w:hAnsi="宋体" w:eastAsia="宋体"/>
                <w:b w:val="0"/>
                <w:color w:val="0D0D0D"/>
                <w:sz w:val="18"/>
              </w:rPr>
              <w:t>存在NDA或合同保密条款，但条款可能只限制公开披露或竞争性使用</w:t>
            </w:r>
          </w:p>
        </w:tc>
        <w:tc>
          <w:tcPr>
            <w:tcW w:w="3135" w:type="dxa"/>
            <w:vAlign w:val="center"/>
          </w:tcPr>
          <w:p w14:paraId="2679DAA9">
            <w:pPr>
              <w:spacing w:after="40" w:line="300" w:lineRule="auto"/>
              <w:rPr>
                <w:color w:val="0D0D0D"/>
              </w:rPr>
            </w:pPr>
            <w:r>
              <w:rPr>
                <w:rFonts w:ascii="宋体" w:hAnsi="宋体" w:eastAsia="宋体"/>
                <w:b w:val="0"/>
                <w:color w:val="0D0D0D"/>
                <w:sz w:val="18"/>
              </w:rPr>
              <w:t>是否禁止向当前AI服务商提供、是否允许受托处理、是否有例外</w:t>
            </w:r>
          </w:p>
        </w:tc>
      </w:tr>
      <w:tr w14:paraId="3522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32C3B3DD">
            <w:pPr>
              <w:spacing w:after="40" w:line="300" w:lineRule="auto"/>
              <w:rPr>
                <w:color w:val="0D0D0D"/>
              </w:rPr>
            </w:pPr>
            <w:r>
              <w:rPr>
                <w:rFonts w:ascii="宋体" w:hAnsi="宋体" w:eastAsia="宋体"/>
                <w:b w:val="0"/>
                <w:color w:val="0D0D0D"/>
                <w:sz w:val="18"/>
              </w:rPr>
              <w:t>司法/仲裁保密措施不明确</w:t>
            </w:r>
          </w:p>
        </w:tc>
        <w:tc>
          <w:tcPr>
            <w:tcW w:w="3135" w:type="dxa"/>
            <w:vAlign w:val="center"/>
          </w:tcPr>
          <w:p w14:paraId="6AD29B43">
            <w:pPr>
              <w:spacing w:after="40" w:line="300" w:lineRule="auto"/>
              <w:rPr>
                <w:color w:val="0D0D0D"/>
              </w:rPr>
            </w:pPr>
            <w:r>
              <w:rPr>
                <w:rFonts w:ascii="宋体" w:hAnsi="宋体" w:eastAsia="宋体"/>
                <w:b w:val="0"/>
                <w:color w:val="0D0D0D"/>
                <w:sz w:val="18"/>
              </w:rPr>
              <w:t>“不公开审理”等一般性描述无法判断是否限制当前第三方</w:t>
            </w:r>
          </w:p>
        </w:tc>
        <w:tc>
          <w:tcPr>
            <w:tcW w:w="3135" w:type="dxa"/>
            <w:vAlign w:val="center"/>
          </w:tcPr>
          <w:p w14:paraId="73B93381">
            <w:pPr>
              <w:spacing w:after="40" w:line="300" w:lineRule="auto"/>
              <w:rPr>
                <w:color w:val="0D0D0D"/>
              </w:rPr>
            </w:pPr>
            <w:r>
              <w:rPr>
                <w:rFonts w:ascii="宋体" w:hAnsi="宋体" w:eastAsia="宋体"/>
                <w:b w:val="0"/>
                <w:color w:val="0D0D0D"/>
                <w:sz w:val="18"/>
              </w:rPr>
              <w:t>具体决定、保密令、承诺书、限制接触/复制的范围</w:t>
            </w:r>
          </w:p>
        </w:tc>
      </w:tr>
      <w:tr w14:paraId="10A5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567E390E">
            <w:pPr>
              <w:spacing w:after="40" w:line="300" w:lineRule="auto"/>
              <w:rPr>
                <w:color w:val="0D0D0D"/>
              </w:rPr>
            </w:pPr>
            <w:r>
              <w:rPr>
                <w:rFonts w:ascii="宋体" w:hAnsi="宋体" w:eastAsia="宋体"/>
                <w:b w:val="0"/>
                <w:color w:val="0D0D0D"/>
                <w:sz w:val="18"/>
              </w:rPr>
              <w:t>AI服务商处理关系不明确</w:t>
            </w:r>
          </w:p>
        </w:tc>
        <w:tc>
          <w:tcPr>
            <w:tcW w:w="3135" w:type="dxa"/>
            <w:vAlign w:val="center"/>
          </w:tcPr>
          <w:p w14:paraId="069CB138">
            <w:pPr>
              <w:spacing w:after="40" w:line="300" w:lineRule="auto"/>
              <w:rPr>
                <w:color w:val="0D0D0D"/>
              </w:rPr>
            </w:pPr>
            <w:r>
              <w:rPr>
                <w:rFonts w:ascii="宋体" w:hAnsi="宋体" w:eastAsia="宋体"/>
                <w:b w:val="0"/>
                <w:color w:val="0D0D0D"/>
                <w:sz w:val="18"/>
              </w:rPr>
              <w:t>委托处理与向其他处理者提供适用规则不同</w:t>
            </w:r>
          </w:p>
        </w:tc>
        <w:tc>
          <w:tcPr>
            <w:tcW w:w="3135" w:type="dxa"/>
            <w:vAlign w:val="center"/>
          </w:tcPr>
          <w:p w14:paraId="78316F98">
            <w:pPr>
              <w:spacing w:after="40" w:line="300" w:lineRule="auto"/>
              <w:rPr>
                <w:color w:val="0D0D0D"/>
              </w:rPr>
            </w:pPr>
            <w:r>
              <w:rPr>
                <w:rFonts w:ascii="宋体" w:hAnsi="宋体" w:eastAsia="宋体"/>
                <w:b w:val="0"/>
                <w:color w:val="0D0D0D"/>
                <w:sz w:val="18"/>
              </w:rPr>
              <w:t>服务商法律角色、处理目的、保存、训练、人工访问、再委托</w:t>
            </w:r>
          </w:p>
        </w:tc>
      </w:tr>
      <w:tr w14:paraId="4170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3135" w:type="dxa"/>
            <w:vAlign w:val="center"/>
          </w:tcPr>
          <w:p w14:paraId="244A6D13">
            <w:pPr>
              <w:spacing w:after="40" w:line="300" w:lineRule="auto"/>
              <w:rPr>
                <w:color w:val="0D0D0D"/>
              </w:rPr>
            </w:pPr>
            <w:r>
              <w:rPr>
                <w:rFonts w:ascii="宋体" w:hAnsi="宋体" w:eastAsia="宋体"/>
                <w:b w:val="0"/>
                <w:color w:val="0D0D0D"/>
                <w:sz w:val="18"/>
              </w:rPr>
              <w:t>是否发生跨境处理无法确认</w:t>
            </w:r>
          </w:p>
        </w:tc>
        <w:tc>
          <w:tcPr>
            <w:tcW w:w="3135" w:type="dxa"/>
            <w:vAlign w:val="center"/>
          </w:tcPr>
          <w:p w14:paraId="51832800">
            <w:pPr>
              <w:spacing w:after="40" w:line="300" w:lineRule="auto"/>
              <w:rPr>
                <w:color w:val="0D0D0D"/>
              </w:rPr>
            </w:pPr>
            <w:r>
              <w:rPr>
                <w:rFonts w:ascii="宋体" w:hAnsi="宋体" w:eastAsia="宋体"/>
                <w:b w:val="0"/>
                <w:color w:val="0D0D0D"/>
                <w:sz w:val="18"/>
              </w:rPr>
              <w:t>境外公司、境外品牌不必然等于当前数据已经跨境</w:t>
            </w:r>
          </w:p>
        </w:tc>
        <w:tc>
          <w:tcPr>
            <w:tcW w:w="3135" w:type="dxa"/>
            <w:vAlign w:val="center"/>
          </w:tcPr>
          <w:p w14:paraId="0C60EAD4">
            <w:pPr>
              <w:spacing w:after="40" w:line="300" w:lineRule="auto"/>
              <w:rPr>
                <w:color w:val="0D0D0D"/>
              </w:rPr>
            </w:pPr>
            <w:r>
              <w:rPr>
                <w:rFonts w:ascii="宋体" w:hAnsi="宋体" w:eastAsia="宋体"/>
                <w:b w:val="0"/>
                <w:color w:val="0D0D0D"/>
                <w:sz w:val="18"/>
              </w:rPr>
              <w:t>数据实际流向、存储和访问地点、跨境机制</w:t>
            </w:r>
          </w:p>
        </w:tc>
      </w:tr>
      <w:tr w14:paraId="4A19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4D282FF3">
            <w:pPr>
              <w:spacing w:after="40" w:line="300" w:lineRule="auto"/>
              <w:rPr>
                <w:color w:val="0D0D0D"/>
              </w:rPr>
            </w:pPr>
            <w:r>
              <w:rPr>
                <w:rFonts w:ascii="宋体" w:hAnsi="宋体" w:eastAsia="宋体"/>
                <w:b w:val="0"/>
                <w:color w:val="0D0D0D"/>
                <w:sz w:val="18"/>
              </w:rPr>
              <w:t>规则之间存在真实冲突</w:t>
            </w:r>
          </w:p>
        </w:tc>
        <w:tc>
          <w:tcPr>
            <w:tcW w:w="3135" w:type="dxa"/>
            <w:vAlign w:val="center"/>
          </w:tcPr>
          <w:p w14:paraId="0BEF018A">
            <w:pPr>
              <w:spacing w:after="40" w:line="300" w:lineRule="auto"/>
              <w:rPr>
                <w:color w:val="0D0D0D"/>
              </w:rPr>
            </w:pPr>
            <w:r>
              <w:rPr>
                <w:rFonts w:ascii="宋体" w:hAnsi="宋体" w:eastAsia="宋体"/>
                <w:b w:val="0"/>
                <w:color w:val="0D0D0D"/>
                <w:sz w:val="18"/>
              </w:rPr>
              <w:t>不同规范可能分别约束不同主体或不同处理行为</w:t>
            </w:r>
          </w:p>
        </w:tc>
        <w:tc>
          <w:tcPr>
            <w:tcW w:w="3135" w:type="dxa"/>
            <w:vAlign w:val="center"/>
          </w:tcPr>
          <w:p w14:paraId="710A9E3E">
            <w:pPr>
              <w:spacing w:after="40" w:line="300" w:lineRule="auto"/>
              <w:rPr>
                <w:color w:val="0D0D0D"/>
              </w:rPr>
            </w:pPr>
            <w:r>
              <w:rPr>
                <w:rFonts w:ascii="宋体" w:hAnsi="宋体" w:eastAsia="宋体"/>
                <w:b w:val="0"/>
                <w:color w:val="0D0D0D"/>
                <w:sz w:val="18"/>
              </w:rPr>
              <w:t>各规范效力、适用范围、特别法关系、是否能通过最小化协调</w:t>
            </w:r>
          </w:p>
        </w:tc>
      </w:tr>
      <w:tr w14:paraId="5349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5CF30B1">
            <w:pPr>
              <w:spacing w:after="40" w:line="300" w:lineRule="auto"/>
              <w:rPr>
                <w:color w:val="0D0D0D"/>
              </w:rPr>
            </w:pPr>
            <w:r>
              <w:rPr>
                <w:rFonts w:ascii="宋体" w:hAnsi="宋体" w:eastAsia="宋体"/>
                <w:b w:val="0"/>
                <w:color w:val="0D0D0D"/>
                <w:sz w:val="18"/>
              </w:rPr>
              <w:t>去标识化后能否重新识别无法确认</w:t>
            </w:r>
          </w:p>
        </w:tc>
        <w:tc>
          <w:tcPr>
            <w:tcW w:w="3135" w:type="dxa"/>
            <w:vAlign w:val="center"/>
          </w:tcPr>
          <w:p w14:paraId="29B875B3">
            <w:pPr>
              <w:spacing w:after="40" w:line="300" w:lineRule="auto"/>
              <w:rPr>
                <w:color w:val="0D0D0D"/>
              </w:rPr>
            </w:pPr>
            <w:r>
              <w:rPr>
                <w:rFonts w:ascii="宋体" w:hAnsi="宋体" w:eastAsia="宋体"/>
                <w:b w:val="0"/>
                <w:color w:val="0D0D0D"/>
                <w:sz w:val="18"/>
              </w:rPr>
              <w:t>删除姓名不代表组合信息一定无法识别</w:t>
            </w:r>
          </w:p>
        </w:tc>
        <w:tc>
          <w:tcPr>
            <w:tcW w:w="3135" w:type="dxa"/>
            <w:vAlign w:val="center"/>
          </w:tcPr>
          <w:p w14:paraId="18180099">
            <w:pPr>
              <w:spacing w:after="40" w:line="300" w:lineRule="auto"/>
              <w:rPr>
                <w:color w:val="0D0D0D"/>
              </w:rPr>
            </w:pPr>
            <w:r>
              <w:rPr>
                <w:rFonts w:ascii="宋体" w:hAnsi="宋体" w:eastAsia="宋体"/>
                <w:b w:val="0"/>
                <w:color w:val="0D0D0D"/>
                <w:sz w:val="18"/>
              </w:rPr>
              <w:t>直接标识符、准标识符、组合识别风险、信息主体归属</w:t>
            </w:r>
          </w:p>
        </w:tc>
      </w:tr>
      <w:tr w14:paraId="3AF8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4F6A582A">
            <w:pPr>
              <w:spacing w:after="40" w:line="300" w:lineRule="auto"/>
              <w:rPr>
                <w:color w:val="0D0D0D"/>
              </w:rPr>
            </w:pPr>
            <w:r>
              <w:rPr>
                <w:rFonts w:ascii="宋体" w:hAnsi="宋体" w:eastAsia="宋体"/>
                <w:b w:val="0"/>
                <w:color w:val="0D0D0D"/>
                <w:sz w:val="18"/>
              </w:rPr>
              <w:t>决定性事实缺失</w:t>
            </w:r>
          </w:p>
        </w:tc>
        <w:tc>
          <w:tcPr>
            <w:tcW w:w="3135" w:type="dxa"/>
            <w:vAlign w:val="center"/>
          </w:tcPr>
          <w:p w14:paraId="61BCF2FC">
            <w:pPr>
              <w:spacing w:after="40" w:line="300" w:lineRule="auto"/>
              <w:rPr>
                <w:color w:val="0D0D0D"/>
              </w:rPr>
            </w:pPr>
            <w:r>
              <w:rPr>
                <w:rFonts w:ascii="宋体" w:hAnsi="宋体" w:eastAsia="宋体"/>
                <w:b w:val="0"/>
                <w:color w:val="0D0D0D"/>
                <w:sz w:val="18"/>
              </w:rPr>
              <w:t>法律结论所需的关键事实没有出现在当前材料中</w:t>
            </w:r>
          </w:p>
        </w:tc>
        <w:tc>
          <w:tcPr>
            <w:tcW w:w="3135" w:type="dxa"/>
            <w:vAlign w:val="center"/>
          </w:tcPr>
          <w:p w14:paraId="75F87144">
            <w:pPr>
              <w:spacing w:after="40" w:line="300" w:lineRule="auto"/>
              <w:rPr>
                <w:color w:val="0D0D0D"/>
              </w:rPr>
            </w:pPr>
            <w:r>
              <w:rPr>
                <w:rFonts w:ascii="宋体" w:hAnsi="宋体" w:eastAsia="宋体"/>
                <w:b w:val="0"/>
                <w:color w:val="0D0D0D"/>
                <w:sz w:val="18"/>
              </w:rPr>
              <w:t>补充何种事实才能完成法律判断</w:t>
            </w:r>
          </w:p>
        </w:tc>
      </w:tr>
      <w:tr w14:paraId="14FF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2A16B2C6">
            <w:pPr>
              <w:spacing w:after="40" w:line="300" w:lineRule="auto"/>
              <w:rPr>
                <w:rFonts w:ascii="宋体" w:hAnsi="宋体" w:eastAsia="宋体"/>
                <w:b w:val="0"/>
                <w:color w:val="0D0D0D"/>
                <w:sz w:val="18"/>
              </w:rPr>
            </w:pPr>
            <w:r>
              <w:rPr>
                <w:rFonts w:ascii="宋体" w:hAnsi="宋体" w:eastAsia="宋体"/>
                <w:b w:val="0"/>
                <w:color w:val="0D0D0D"/>
                <w:sz w:val="18"/>
              </w:rPr>
              <w:t>是否属于国家秘密无法确认</w:t>
            </w:r>
          </w:p>
        </w:tc>
        <w:tc>
          <w:tcPr>
            <w:tcW w:w="3135" w:type="dxa"/>
            <w:vAlign w:val="center"/>
          </w:tcPr>
          <w:p w14:paraId="7DB03D97">
            <w:pPr>
              <w:spacing w:after="40" w:line="300" w:lineRule="auto"/>
              <w:rPr>
                <w:rFonts w:ascii="宋体" w:hAnsi="宋体" w:eastAsia="宋体"/>
                <w:b w:val="0"/>
                <w:color w:val="0D0D0D"/>
                <w:sz w:val="18"/>
              </w:rPr>
            </w:pPr>
            <w:r>
              <w:rPr>
                <w:rFonts w:ascii="宋体" w:hAnsi="宋体" w:eastAsia="宋体"/>
                <w:b w:val="0"/>
                <w:color w:val="0D0D0D"/>
                <w:sz w:val="18"/>
              </w:rPr>
              <w:t>“内部”“重要”“涉政”等标签不足以证明法定秘密属性</w:t>
            </w:r>
          </w:p>
        </w:tc>
        <w:tc>
          <w:tcPr>
            <w:tcW w:w="3135" w:type="dxa"/>
            <w:vAlign w:val="center"/>
          </w:tcPr>
          <w:p w14:paraId="49513D51">
            <w:pPr>
              <w:spacing w:after="40" w:line="300" w:lineRule="auto"/>
              <w:rPr>
                <w:rFonts w:ascii="宋体" w:hAnsi="宋体" w:eastAsia="宋体"/>
                <w:b w:val="0"/>
                <w:color w:val="0D0D0D"/>
                <w:sz w:val="18"/>
              </w:rPr>
            </w:pPr>
            <w:r>
              <w:rPr>
                <w:rFonts w:ascii="宋体" w:hAnsi="宋体" w:eastAsia="宋体"/>
                <w:b w:val="0"/>
                <w:color w:val="0D0D0D"/>
                <w:sz w:val="18"/>
              </w:rPr>
              <w:t>秘密属性、定密依据、涉密等级、当前处理环境是否满足保密要求</w:t>
            </w:r>
          </w:p>
        </w:tc>
      </w:tr>
    </w:tbl>
    <w:p w14:paraId="4FF6CE84">
      <w:pPr>
        <w:pStyle w:val="4"/>
        <w:bidi w:val="0"/>
        <w:spacing w:line="300" w:lineRule="auto"/>
        <w:rPr>
          <w:color w:val="0D0D0D"/>
        </w:rPr>
      </w:pPr>
      <w:r>
        <w:rPr>
          <w:color w:val="0D0D0D"/>
        </w:rPr>
        <w:t>五、规则冲突时的处理要求</w:t>
      </w:r>
    </w:p>
    <w:p w14:paraId="7EA57A59">
      <w:pPr>
        <w:pStyle w:val="164"/>
        <w:spacing w:line="300" w:lineRule="auto"/>
        <w:rPr>
          <w:color w:val="0D0D0D"/>
        </w:rPr>
      </w:pPr>
      <w:r>
        <w:rPr>
          <w:rFonts w:hint="default"/>
          <w:color w:val="0D0D0D"/>
        </w:rPr>
        <w:t>1.</w:t>
      </w:r>
      <w:r>
        <w:rPr>
          <w:color w:val="0D0D0D"/>
        </w:rPr>
        <w:t>先确定保护对象：是个人信息、敏感个人信息、隐私、商业秘密、国家秘密，还是受到具体程序保密措施保护的材料。</w:t>
      </w:r>
    </w:p>
    <w:p w14:paraId="060B52A0">
      <w:pPr>
        <w:pStyle w:val="164"/>
        <w:spacing w:line="300" w:lineRule="auto"/>
        <w:ind w:left="283" w:hanging="283"/>
        <w:rPr>
          <w:color w:val="0D0D0D"/>
        </w:rPr>
      </w:pPr>
      <w:r>
        <w:rPr>
          <w:rFonts w:hint="default"/>
          <w:color w:val="0D0D0D"/>
        </w:rPr>
        <w:t>2.</w:t>
      </w:r>
      <w:r>
        <w:rPr>
          <w:color w:val="0D0D0D"/>
        </w:rPr>
        <w:t>再确定处理行为：是本地存储、委托处理、向其他个人信息处理者提供、公开披露，还是跨境提</w:t>
      </w:r>
    </w:p>
    <w:p w14:paraId="40FCDE06">
      <w:pPr>
        <w:pStyle w:val="164"/>
        <w:spacing w:line="300" w:lineRule="auto"/>
        <w:rPr>
          <w:color w:val="0D0D0D"/>
        </w:rPr>
      </w:pPr>
      <w:r>
        <w:rPr>
          <w:color w:val="0D0D0D"/>
        </w:rPr>
        <w:t>供。</w:t>
      </w:r>
    </w:p>
    <w:p w14:paraId="02CAF580">
      <w:pPr>
        <w:pStyle w:val="164"/>
        <w:spacing w:line="300" w:lineRule="auto"/>
        <w:ind w:left="283" w:hanging="283"/>
        <w:rPr>
          <w:color w:val="0D0D0D"/>
        </w:rPr>
      </w:pPr>
      <w:r>
        <w:rPr>
          <w:rFonts w:hint="default"/>
          <w:color w:val="0D0D0D"/>
        </w:rPr>
        <w:t>3.</w:t>
      </w:r>
      <w:r>
        <w:rPr>
          <w:color w:val="0D0D0D"/>
        </w:rPr>
        <w:t>再确定义务主体：该规则约束的是律师、律所、客户、法院/仲裁机构、AI服务商，还是其他主体。</w:t>
      </w:r>
    </w:p>
    <w:p w14:paraId="01570E58">
      <w:pPr>
        <w:pStyle w:val="164"/>
        <w:spacing w:line="300" w:lineRule="auto"/>
        <w:ind w:left="283" w:hanging="283"/>
        <w:rPr>
          <w:color w:val="0D0D0D"/>
        </w:rPr>
      </w:pPr>
      <w:r>
        <w:rPr>
          <w:rFonts w:hint="default"/>
          <w:color w:val="0D0D0D"/>
        </w:rPr>
        <w:t>4.</w:t>
      </w:r>
      <w:r>
        <w:rPr>
          <w:color w:val="0D0D0D"/>
        </w:rPr>
        <w:t>再判断处分权限：查阅权、复制权、使用权、委托处理权和向第三方提供权不能混为一谈。</w:t>
      </w:r>
    </w:p>
    <w:p w14:paraId="2F461829">
      <w:pPr>
        <w:pStyle w:val="164"/>
        <w:spacing w:line="300" w:lineRule="auto"/>
        <w:ind w:left="283" w:hanging="283"/>
        <w:rPr>
          <w:color w:val="0D0D0D"/>
        </w:rPr>
      </w:pPr>
      <w:r>
        <w:rPr>
          <w:rFonts w:hint="default"/>
          <w:color w:val="0D0D0D"/>
        </w:rPr>
        <w:t>5.</w:t>
      </w:r>
      <w:r>
        <w:rPr>
          <w:color w:val="0D0D0D"/>
        </w:rPr>
        <w:t>再确定规范关系：判断一般法、特别法、司法解释、程序规则、行政规范与合同约定各自解决什么</w:t>
      </w:r>
    </w:p>
    <w:p w14:paraId="783181D4">
      <w:pPr>
        <w:pStyle w:val="164"/>
        <w:spacing w:line="300" w:lineRule="auto"/>
        <w:rPr>
          <w:color w:val="0D0D0D"/>
        </w:rPr>
      </w:pPr>
      <w:r>
        <w:rPr>
          <w:color w:val="0D0D0D"/>
        </w:rPr>
        <w:t>问题。</w:t>
      </w:r>
    </w:p>
    <w:p w14:paraId="387B9AD2">
      <w:pPr>
        <w:pStyle w:val="164"/>
        <w:spacing w:line="300" w:lineRule="auto"/>
        <w:ind w:left="283" w:hanging="283"/>
        <w:rPr>
          <w:color w:val="0D0D0D"/>
        </w:rPr>
      </w:pPr>
      <w:r>
        <w:rPr>
          <w:rFonts w:hint="default"/>
          <w:color w:val="0D0D0D"/>
        </w:rPr>
        <w:t>6.</w:t>
      </w:r>
      <w:r>
        <w:rPr>
          <w:color w:val="0D0D0D"/>
        </w:rPr>
        <w:t>最后判断能否通过删除无关信息、去除直接标识符、减少数据范围等方式同时满足不同规则。</w:t>
      </w:r>
    </w:p>
    <w:p w14:paraId="6E2A9361">
      <w:pPr>
        <w:pStyle w:val="164"/>
        <w:spacing w:line="300" w:lineRule="auto"/>
        <w:rPr>
          <w:color w:val="0D0D0D"/>
        </w:rPr>
      </w:pPr>
      <w:r>
        <w:rPr>
          <w:color w:val="0D0D0D"/>
        </w:rPr>
        <w:t>如果冲突的决定性事实能够自动确认，就按明确规则执行；如果不能确认且会改变结论，暂停外部处理并转人工核实；不能因为存在疑问就直接把疑问写成法律禁止。</w:t>
      </w:r>
    </w:p>
    <w:p w14:paraId="51A87075">
      <w:pPr>
        <w:pStyle w:val="4"/>
        <w:bidi w:val="0"/>
        <w:spacing w:line="300" w:lineRule="auto"/>
        <w:rPr>
          <w:color w:val="0D0D0D"/>
        </w:rPr>
      </w:pPr>
      <w:r>
        <w:rPr>
          <w:color w:val="0D0D0D"/>
        </w:rPr>
        <w:t>六、法律依据不确定时，系统应该怎么回复</w:t>
      </w:r>
    </w:p>
    <w:p w14:paraId="27842643">
      <w:pPr>
        <w:pStyle w:val="165"/>
        <w:spacing w:line="300" w:lineRule="auto"/>
        <w:ind w:left="0" w:leftChars="0" w:firstLine="0" w:firstLineChars="0"/>
        <w:rPr>
          <w:color w:val="0D0D0D"/>
          <w:sz w:val="21"/>
          <w:szCs w:val="21"/>
        </w:rPr>
      </w:pPr>
      <w:r>
        <w:rPr>
          <w:color w:val="0D0D0D"/>
          <w:sz w:val="21"/>
          <w:szCs w:val="21"/>
        </w:rPr>
        <w:t>“当前材料是否可以进行外部处理暂不能确定。</w:t>
      </w:r>
      <w:r>
        <w:rPr>
          <w:color w:val="0D0D0D"/>
          <w:sz w:val="21"/>
          <w:szCs w:val="21"/>
        </w:rPr>
        <w:br w:type="textWrapping"/>
      </w:r>
      <w:r>
        <w:rPr>
          <w:color w:val="0D0D0D"/>
          <w:sz w:val="21"/>
          <w:szCs w:val="21"/>
        </w:rPr>
        <w:t>待核实事项：〔具体写明法律适用/处分权限/保密义务/外部处理条件/跨境情况/规则冲突〕。</w:t>
      </w:r>
      <w:r>
        <w:rPr>
          <w:color w:val="0D0D0D"/>
          <w:sz w:val="21"/>
          <w:szCs w:val="21"/>
        </w:rPr>
        <w:br w:type="textWrapping"/>
      </w:r>
      <w:r>
        <w:rPr>
          <w:color w:val="0D0D0D"/>
          <w:sz w:val="21"/>
          <w:szCs w:val="21"/>
        </w:rPr>
        <w:t>可能涉及依据：〔法源名称＋条款位置〕。</w:t>
      </w:r>
      <w:r>
        <w:rPr>
          <w:color w:val="0D0D0D"/>
          <w:sz w:val="21"/>
          <w:szCs w:val="21"/>
        </w:rPr>
        <w:br w:type="textWrapping"/>
      </w:r>
      <w:r>
        <w:rPr>
          <w:color w:val="0D0D0D"/>
          <w:sz w:val="21"/>
          <w:szCs w:val="21"/>
        </w:rPr>
        <w:t>目前无法确认的关键事实：〔具体事实〕。</w:t>
      </w:r>
      <w:r>
        <w:rPr>
          <w:color w:val="0D0D0D"/>
          <w:sz w:val="21"/>
          <w:szCs w:val="21"/>
        </w:rPr>
        <w:br w:type="textWrapping"/>
      </w:r>
      <w:r>
        <w:rPr>
          <w:color w:val="0D0D0D"/>
          <w:sz w:val="21"/>
          <w:szCs w:val="21"/>
        </w:rPr>
        <w:t>处理要求：在上述事项核实完成前，不将相关原始材料提交外部模型。</w:t>
      </w:r>
      <w:r>
        <w:rPr>
          <w:color w:val="0D0D0D"/>
          <w:sz w:val="21"/>
          <w:szCs w:val="21"/>
        </w:rPr>
        <w:br w:type="textWrapping"/>
      </w:r>
      <w:r>
        <w:rPr>
          <w:color w:val="0D0D0D"/>
          <w:sz w:val="21"/>
          <w:szCs w:val="21"/>
        </w:rPr>
        <w:t>人工核实后，根据核实结果重新确定是否允许外部处理以及需要采取的脱敏、最小化或其他措施。”</w:t>
      </w:r>
    </w:p>
    <w:p w14:paraId="022CCBE3">
      <w:pPr>
        <w:pStyle w:val="4"/>
        <w:bidi w:val="0"/>
        <w:spacing w:line="300" w:lineRule="auto"/>
        <w:rPr>
          <w:color w:val="0D0D0D"/>
        </w:rPr>
      </w:pPr>
      <w:r>
        <w:rPr>
          <w:color w:val="0D0D0D"/>
        </w:rPr>
        <w:t>七、已经确认存在禁止时，系统应该怎么回复</w:t>
      </w:r>
    </w:p>
    <w:p w14:paraId="1DDB67E5">
      <w:pPr>
        <w:pStyle w:val="165"/>
        <w:spacing w:line="300" w:lineRule="auto"/>
        <w:ind w:left="0" w:leftChars="0" w:firstLine="0" w:firstLineChars="0"/>
        <w:rPr>
          <w:color w:val="0D0D0D"/>
        </w:rPr>
      </w:pPr>
      <w:r>
        <w:rPr>
          <w:color w:val="0D0D0D"/>
          <w:sz w:val="21"/>
          <w:szCs w:val="21"/>
        </w:rPr>
        <w:t>“经核实，当前材料属于〔具体保护对象〕，〔具体法律/有效保密措施〕明确限制当前向外部第三方提供的行为。现有脱敏、加密或范围缩减措施不能消除该法律限制。处理要求：不得向当前外部模型提交；如需继续处理，应改用符合相应保密和安全要求的处理环境，或先取得有权主体的合法授权/解除相关限制。”</w:t>
      </w:r>
    </w:p>
    <w:p w14:paraId="1C63A5A0">
      <w:pPr>
        <w:pStyle w:val="4"/>
        <w:numPr>
          <w:ilvl w:val="0"/>
          <w:numId w:val="7"/>
        </w:numPr>
        <w:bidi w:val="0"/>
        <w:spacing w:line="300" w:lineRule="auto"/>
        <w:rPr>
          <w:color w:val="0D0D0D"/>
        </w:rPr>
      </w:pPr>
      <w:r>
        <w:rPr>
          <w:color w:val="0D0D0D"/>
        </w:rPr>
        <w:t>人工复核结论必须留下的法律依据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811"/>
        <w:gridCol w:w="4811"/>
      </w:tblGrid>
      <w:tr w14:paraId="198C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1" w:type="dxa"/>
          </w:tcPr>
          <w:p w14:paraId="6C35945A">
            <w:pPr>
              <w:numPr>
                <w:numId w:val="0"/>
              </w:numPr>
              <w:jc w:val="left"/>
              <w:rPr>
                <w:rFonts w:hint="default"/>
                <w:b/>
                <w:bCs/>
                <w:sz w:val="18"/>
                <w:szCs w:val="18"/>
                <w:vertAlign w:val="baseline"/>
              </w:rPr>
            </w:pPr>
            <w:r>
              <w:rPr>
                <w:b/>
                <w:bCs/>
                <w:sz w:val="18"/>
                <w:szCs w:val="18"/>
                <w:vertAlign w:val="baseline"/>
              </w:rPr>
              <w:t>记录项目</w:t>
            </w:r>
          </w:p>
        </w:tc>
        <w:tc>
          <w:tcPr>
            <w:tcW w:w="4811" w:type="dxa"/>
          </w:tcPr>
          <w:p w14:paraId="754BAFF4">
            <w:pPr>
              <w:numPr>
                <w:numId w:val="0"/>
              </w:numPr>
              <w:jc w:val="left"/>
              <w:rPr>
                <w:rFonts w:hint="default"/>
                <w:b/>
                <w:bCs/>
                <w:sz w:val="18"/>
                <w:szCs w:val="18"/>
                <w:vertAlign w:val="baseline"/>
              </w:rPr>
            </w:pPr>
            <w:r>
              <w:rPr>
                <w:b/>
                <w:bCs/>
                <w:sz w:val="18"/>
                <w:szCs w:val="18"/>
                <w:vertAlign w:val="baseline"/>
              </w:rPr>
              <w:t>最低要求</w:t>
            </w:r>
          </w:p>
        </w:tc>
      </w:tr>
      <w:tr w14:paraId="5FF5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1" w:type="dxa"/>
            <w:vAlign w:val="center"/>
          </w:tcPr>
          <w:p w14:paraId="30731165">
            <w:pPr>
              <w:spacing w:after="40" w:line="300" w:lineRule="auto"/>
              <w:rPr>
                <w:vertAlign w:val="baseline"/>
              </w:rPr>
            </w:pPr>
            <w:r>
              <w:rPr>
                <w:rFonts w:ascii="宋体" w:hAnsi="宋体" w:eastAsia="宋体"/>
                <w:b w:val="0"/>
                <w:color w:val="0D0D0D"/>
                <w:sz w:val="18"/>
              </w:rPr>
              <w:t>待核实事项</w:t>
            </w:r>
          </w:p>
        </w:tc>
        <w:tc>
          <w:tcPr>
            <w:tcW w:w="4811" w:type="dxa"/>
            <w:vAlign w:val="center"/>
          </w:tcPr>
          <w:p w14:paraId="624B5804">
            <w:pPr>
              <w:spacing w:after="40" w:line="300" w:lineRule="auto"/>
              <w:rPr>
                <w:vertAlign w:val="baseline"/>
              </w:rPr>
            </w:pPr>
            <w:r>
              <w:rPr>
                <w:rFonts w:ascii="宋体" w:hAnsi="宋体" w:eastAsia="宋体"/>
                <w:b w:val="0"/>
                <w:color w:val="0D0D0D"/>
                <w:sz w:val="18"/>
              </w:rPr>
              <w:t>必须是具体法律问题或事实问题，不得只写“风险较高”</w:t>
            </w:r>
          </w:p>
        </w:tc>
      </w:tr>
      <w:tr w14:paraId="3031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1" w:type="dxa"/>
            <w:vAlign w:val="center"/>
          </w:tcPr>
          <w:p w14:paraId="7370F9BF">
            <w:pPr>
              <w:spacing w:after="40" w:line="300" w:lineRule="auto"/>
              <w:rPr>
                <w:vertAlign w:val="baseline"/>
              </w:rPr>
            </w:pPr>
            <w:r>
              <w:rPr>
                <w:rFonts w:ascii="宋体" w:hAnsi="宋体" w:eastAsia="宋体"/>
                <w:b w:val="0"/>
                <w:color w:val="0D0D0D"/>
                <w:sz w:val="18"/>
              </w:rPr>
              <w:t>法源</w:t>
            </w:r>
          </w:p>
        </w:tc>
        <w:tc>
          <w:tcPr>
            <w:tcW w:w="4811" w:type="dxa"/>
            <w:vAlign w:val="center"/>
          </w:tcPr>
          <w:p w14:paraId="676D87AD">
            <w:pPr>
              <w:spacing w:after="40" w:line="300" w:lineRule="auto"/>
              <w:rPr>
                <w:vertAlign w:val="baseline"/>
              </w:rPr>
            </w:pPr>
            <w:r>
              <w:rPr>
                <w:rFonts w:ascii="宋体" w:hAnsi="宋体" w:eastAsia="宋体"/>
                <w:b w:val="0"/>
                <w:color w:val="0D0D0D"/>
                <w:sz w:val="18"/>
              </w:rPr>
              <w:t>名称、条款/位置、来源、版本或检索日期</w:t>
            </w:r>
          </w:p>
        </w:tc>
      </w:tr>
      <w:tr w14:paraId="1449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1" w:type="dxa"/>
            <w:vAlign w:val="center"/>
          </w:tcPr>
          <w:p w14:paraId="4915DA8B">
            <w:pPr>
              <w:spacing w:after="40" w:line="300" w:lineRule="auto"/>
              <w:rPr>
                <w:vertAlign w:val="baseline"/>
              </w:rPr>
            </w:pPr>
            <w:r>
              <w:rPr>
                <w:rFonts w:ascii="宋体" w:hAnsi="宋体" w:eastAsia="宋体"/>
                <w:b w:val="0"/>
                <w:color w:val="0D0D0D"/>
                <w:sz w:val="18"/>
              </w:rPr>
              <w:t>事实前提</w:t>
            </w:r>
          </w:p>
        </w:tc>
        <w:tc>
          <w:tcPr>
            <w:tcW w:w="4811" w:type="dxa"/>
            <w:vAlign w:val="center"/>
          </w:tcPr>
          <w:p w14:paraId="3071F276">
            <w:pPr>
              <w:spacing w:after="40" w:line="300" w:lineRule="auto"/>
              <w:rPr>
                <w:vertAlign w:val="baseline"/>
              </w:rPr>
            </w:pPr>
            <w:r>
              <w:rPr>
                <w:rFonts w:ascii="宋体" w:hAnsi="宋体" w:eastAsia="宋体"/>
                <w:b w:val="0"/>
                <w:color w:val="0D0D0D"/>
                <w:sz w:val="18"/>
              </w:rPr>
              <w:t>说明哪些事实已经确认、哪些尚未确认</w:t>
            </w:r>
          </w:p>
        </w:tc>
      </w:tr>
      <w:tr w14:paraId="5E89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4811" w:type="dxa"/>
            <w:vAlign w:val="center"/>
          </w:tcPr>
          <w:p w14:paraId="15A66CB1">
            <w:pPr>
              <w:spacing w:after="40" w:line="300" w:lineRule="auto"/>
              <w:rPr>
                <w:vertAlign w:val="baseline"/>
              </w:rPr>
            </w:pPr>
            <w:r>
              <w:rPr>
                <w:rFonts w:ascii="宋体" w:hAnsi="宋体" w:eastAsia="宋体"/>
                <w:b w:val="0"/>
                <w:color w:val="0D0D0D"/>
                <w:sz w:val="18"/>
              </w:rPr>
              <w:t>权限判断</w:t>
            </w:r>
          </w:p>
        </w:tc>
        <w:tc>
          <w:tcPr>
            <w:tcW w:w="4811" w:type="dxa"/>
            <w:vAlign w:val="center"/>
          </w:tcPr>
          <w:p w14:paraId="2AE4AC92">
            <w:pPr>
              <w:spacing w:after="40" w:line="300" w:lineRule="auto"/>
              <w:rPr>
                <w:vertAlign w:val="baseline"/>
              </w:rPr>
            </w:pPr>
            <w:r>
              <w:rPr>
                <w:rFonts w:ascii="宋体" w:hAnsi="宋体" w:eastAsia="宋体"/>
                <w:b w:val="0"/>
                <w:color w:val="0D0D0D"/>
                <w:sz w:val="18"/>
              </w:rPr>
              <w:t>说明谁有权处理、谁有权向第三方提供、授权范围是什么</w:t>
            </w:r>
          </w:p>
        </w:tc>
      </w:tr>
      <w:tr w14:paraId="02310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1" w:type="dxa"/>
            <w:vAlign w:val="center"/>
          </w:tcPr>
          <w:p w14:paraId="144A8506">
            <w:pPr>
              <w:spacing w:after="40" w:line="300" w:lineRule="auto"/>
              <w:rPr>
                <w:vertAlign w:val="baseline"/>
              </w:rPr>
            </w:pPr>
            <w:r>
              <w:rPr>
                <w:rFonts w:ascii="宋体" w:hAnsi="宋体" w:eastAsia="宋体"/>
                <w:b w:val="0"/>
                <w:color w:val="0D0D0D"/>
                <w:sz w:val="18"/>
              </w:rPr>
              <w:t>外部处理条件</w:t>
            </w:r>
          </w:p>
        </w:tc>
        <w:tc>
          <w:tcPr>
            <w:tcW w:w="4811" w:type="dxa"/>
            <w:vAlign w:val="center"/>
          </w:tcPr>
          <w:p w14:paraId="282FBF7F">
            <w:pPr>
              <w:spacing w:after="40" w:line="300" w:lineRule="auto"/>
              <w:rPr>
                <w:vertAlign w:val="baseline"/>
              </w:rPr>
            </w:pPr>
            <w:r>
              <w:rPr>
                <w:rFonts w:ascii="宋体" w:hAnsi="宋体" w:eastAsia="宋体"/>
                <w:b w:val="0"/>
                <w:color w:val="0D0D0D"/>
                <w:sz w:val="18"/>
              </w:rPr>
              <w:t>说明服务商角色、保存、训练、人工访问、再委托及跨境情况</w:t>
            </w:r>
          </w:p>
        </w:tc>
      </w:tr>
      <w:tr w14:paraId="67D55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1" w:type="dxa"/>
            <w:vAlign w:val="center"/>
          </w:tcPr>
          <w:p w14:paraId="3DF25071">
            <w:pPr>
              <w:spacing w:after="40" w:line="300" w:lineRule="auto"/>
              <w:rPr>
                <w:vertAlign w:val="baseline"/>
              </w:rPr>
            </w:pPr>
            <w:r>
              <w:rPr>
                <w:rFonts w:ascii="宋体" w:hAnsi="宋体" w:eastAsia="宋体"/>
                <w:b w:val="0"/>
                <w:color w:val="0D0D0D"/>
                <w:sz w:val="18"/>
              </w:rPr>
              <w:t>最小化措施</w:t>
            </w:r>
          </w:p>
        </w:tc>
        <w:tc>
          <w:tcPr>
            <w:tcW w:w="4811" w:type="dxa"/>
            <w:vAlign w:val="center"/>
          </w:tcPr>
          <w:p w14:paraId="44C713FC">
            <w:pPr>
              <w:spacing w:after="40" w:line="300" w:lineRule="auto"/>
              <w:rPr>
                <w:vertAlign w:val="baseline"/>
              </w:rPr>
            </w:pPr>
            <w:r>
              <w:rPr>
                <w:rFonts w:ascii="宋体" w:hAnsi="宋体" w:eastAsia="宋体"/>
                <w:b w:val="0"/>
                <w:color w:val="0D0D0D"/>
                <w:sz w:val="18"/>
              </w:rPr>
              <w:t>说明已删除或拟删除哪些非必要信息，以及是否足以解决限制</w:t>
            </w:r>
          </w:p>
        </w:tc>
      </w:tr>
      <w:tr w14:paraId="291C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1" w:type="dxa"/>
            <w:vAlign w:val="center"/>
          </w:tcPr>
          <w:p w14:paraId="6851EB70">
            <w:pPr>
              <w:spacing w:after="40" w:line="300" w:lineRule="auto"/>
              <w:rPr>
                <w:vertAlign w:val="baseline"/>
              </w:rPr>
            </w:pPr>
            <w:r>
              <w:rPr>
                <w:rFonts w:ascii="宋体" w:hAnsi="宋体" w:eastAsia="宋体"/>
                <w:b w:val="0"/>
                <w:color w:val="0D0D0D"/>
                <w:sz w:val="18"/>
              </w:rPr>
              <w:t>最终依据</w:t>
            </w:r>
          </w:p>
        </w:tc>
        <w:tc>
          <w:tcPr>
            <w:tcW w:w="4811" w:type="dxa"/>
            <w:vAlign w:val="center"/>
          </w:tcPr>
          <w:p w14:paraId="396D8822">
            <w:pPr>
              <w:spacing w:after="40" w:line="300" w:lineRule="auto"/>
              <w:rPr>
                <w:vertAlign w:val="baseline"/>
              </w:rPr>
            </w:pPr>
            <w:r>
              <w:rPr>
                <w:rFonts w:ascii="宋体" w:hAnsi="宋体" w:eastAsia="宋体"/>
                <w:b w:val="0"/>
                <w:color w:val="0D0D0D"/>
                <w:sz w:val="18"/>
              </w:rPr>
              <w:t>说明为什么允许、为什么禁止，或者为什么仍需补充事实</w:t>
            </w:r>
          </w:p>
        </w:tc>
      </w:tr>
      <w:tr w14:paraId="6656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1" w:type="dxa"/>
            <w:vAlign w:val="center"/>
          </w:tcPr>
          <w:p w14:paraId="28888F62">
            <w:pPr>
              <w:spacing w:after="40" w:line="300" w:lineRule="auto"/>
              <w:rPr>
                <w:vertAlign w:val="baseline"/>
              </w:rPr>
            </w:pPr>
            <w:r>
              <w:rPr>
                <w:rFonts w:ascii="宋体" w:hAnsi="宋体" w:eastAsia="宋体"/>
                <w:b w:val="0"/>
                <w:color w:val="0D0D0D"/>
                <w:sz w:val="18"/>
              </w:rPr>
              <w:t>适用边界</w:t>
            </w:r>
          </w:p>
        </w:tc>
        <w:tc>
          <w:tcPr>
            <w:tcW w:w="4811" w:type="dxa"/>
            <w:vAlign w:val="center"/>
          </w:tcPr>
          <w:p w14:paraId="6C1CE5A2">
            <w:pPr>
              <w:spacing w:after="40" w:line="300" w:lineRule="auto"/>
              <w:rPr>
                <w:vertAlign w:val="baseline"/>
              </w:rPr>
            </w:pPr>
            <w:r>
              <w:rPr>
                <w:rFonts w:ascii="宋体" w:hAnsi="宋体" w:eastAsia="宋体"/>
                <w:b w:val="0"/>
                <w:color w:val="0D0D0D"/>
                <w:sz w:val="18"/>
              </w:rPr>
              <w:t>明确本结论只适用于当前案件、当前材料和当前处理方式</w:t>
            </w:r>
          </w:p>
        </w:tc>
      </w:tr>
    </w:tbl>
    <w:p w14:paraId="43B00098">
      <w:pPr>
        <w:numPr>
          <w:numId w:val="0"/>
        </w:numPr>
      </w:pPr>
    </w:p>
    <w:p w14:paraId="26D13B8B">
      <w:pPr>
        <w:pStyle w:val="4"/>
        <w:bidi w:val="0"/>
        <w:spacing w:line="300" w:lineRule="auto"/>
        <w:rPr>
          <w:color w:val="0D0D0D"/>
        </w:rPr>
      </w:pPr>
      <w:r>
        <w:rPr>
          <w:color w:val="0D0D0D"/>
        </w:rPr>
        <w:t>九、</w:t>
      </w:r>
      <w:r>
        <w:rPr>
          <w:color w:val="0D0D0D"/>
        </w:rPr>
        <w:t>不同判断状态下的处理规则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563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089A6A76">
            <w:pPr>
              <w:spacing w:after="40" w:line="300" w:lineRule="auto"/>
              <w:rPr>
                <w:color w:val="0D0D0D"/>
              </w:rPr>
            </w:pPr>
            <w:r>
              <w:rPr>
                <w:rFonts w:ascii="宋体" w:hAnsi="宋体" w:eastAsia="宋体"/>
                <w:b w:val="0"/>
                <w:color w:val="0D0D0D"/>
                <w:sz w:val="18"/>
              </w:rPr>
              <w:t>已经确认存在明确禁止</w:t>
            </w:r>
          </w:p>
        </w:tc>
        <w:tc>
          <w:tcPr>
            <w:tcW w:w="3135" w:type="dxa"/>
            <w:vAlign w:val="center"/>
          </w:tcPr>
          <w:p w14:paraId="564A0238">
            <w:pPr>
              <w:spacing w:after="40" w:line="300" w:lineRule="auto"/>
              <w:rPr>
                <w:color w:val="0D0D0D"/>
              </w:rPr>
            </w:pPr>
            <w:r>
              <w:rPr>
                <w:b w:val="0"/>
                <w:color w:val="0D0D0D"/>
                <w:sz w:val="18"/>
              </w:rPr>
              <w:t>即</w:t>
            </w:r>
            <w:r>
              <w:rPr>
                <w:rFonts w:ascii="宋体" w:hAnsi="宋体" w:eastAsia="宋体"/>
                <w:b w:val="0"/>
                <w:color w:val="0D0D0D"/>
                <w:sz w:val="18"/>
              </w:rPr>
              <w:t>法律构成已经成立，当前行为受到直接限制</w:t>
            </w:r>
          </w:p>
        </w:tc>
        <w:tc>
          <w:tcPr>
            <w:tcW w:w="3135" w:type="dxa"/>
            <w:vAlign w:val="center"/>
          </w:tcPr>
          <w:p w14:paraId="0A159FF9">
            <w:pPr>
              <w:spacing w:after="40" w:line="300" w:lineRule="auto"/>
              <w:rPr>
                <w:color w:val="0D0D0D"/>
              </w:rPr>
            </w:pPr>
            <w:r>
              <w:rPr>
                <w:rFonts w:ascii="宋体" w:hAnsi="宋体" w:eastAsia="宋体"/>
                <w:b w:val="0"/>
                <w:color w:val="0D0D0D"/>
                <w:sz w:val="18"/>
              </w:rPr>
              <w:t>阻止当前外部处理，并记录具体依据</w:t>
            </w:r>
          </w:p>
        </w:tc>
      </w:tr>
      <w:tr w14:paraId="371E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30E5EF4C">
            <w:pPr>
              <w:spacing w:after="40" w:line="300" w:lineRule="auto"/>
              <w:rPr>
                <w:color w:val="0D0D0D"/>
              </w:rPr>
            </w:pPr>
            <w:r>
              <w:rPr>
                <w:rFonts w:ascii="宋体" w:hAnsi="宋体" w:eastAsia="宋体"/>
                <w:b w:val="0"/>
                <w:color w:val="0D0D0D"/>
                <w:sz w:val="18"/>
              </w:rPr>
              <w:t>存在决定性问题但事实/依据未查清</w:t>
            </w:r>
          </w:p>
        </w:tc>
        <w:tc>
          <w:tcPr>
            <w:tcW w:w="3135" w:type="dxa"/>
            <w:vAlign w:val="center"/>
          </w:tcPr>
          <w:p w14:paraId="33A9F387">
            <w:pPr>
              <w:spacing w:after="40" w:line="300" w:lineRule="auto"/>
              <w:rPr>
                <w:color w:val="0D0D0D"/>
              </w:rPr>
            </w:pPr>
            <w:r>
              <w:rPr>
                <w:b w:val="0"/>
                <w:color w:val="0D0D0D"/>
                <w:sz w:val="18"/>
              </w:rPr>
              <w:t>即</w:t>
            </w:r>
            <w:r>
              <w:rPr>
                <w:rFonts w:ascii="宋体" w:hAnsi="宋体" w:eastAsia="宋体"/>
                <w:b w:val="0"/>
                <w:color w:val="0D0D0D"/>
                <w:sz w:val="18"/>
              </w:rPr>
              <w:t>目前不能合法、准确地作出允许或禁止的确定判断</w:t>
            </w:r>
          </w:p>
        </w:tc>
        <w:tc>
          <w:tcPr>
            <w:tcW w:w="3135" w:type="dxa"/>
            <w:vAlign w:val="center"/>
          </w:tcPr>
          <w:p w14:paraId="534A86BF">
            <w:pPr>
              <w:spacing w:after="40" w:line="300" w:lineRule="auto"/>
              <w:rPr>
                <w:color w:val="0D0D0D"/>
              </w:rPr>
            </w:pPr>
            <w:r>
              <w:rPr>
                <w:rFonts w:ascii="宋体" w:hAnsi="宋体" w:eastAsia="宋体"/>
                <w:b w:val="0"/>
                <w:color w:val="0D0D0D"/>
                <w:sz w:val="18"/>
              </w:rPr>
              <w:t>暂停当前外部处理，提出具体问题交人工核实</w:t>
            </w:r>
          </w:p>
        </w:tc>
      </w:tr>
      <w:tr w14:paraId="39CD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124F84D7">
            <w:pPr>
              <w:spacing w:after="40" w:line="300" w:lineRule="auto"/>
              <w:rPr>
                <w:color w:val="0D0D0D"/>
              </w:rPr>
            </w:pPr>
            <w:r>
              <w:rPr>
                <w:rFonts w:ascii="宋体" w:hAnsi="宋体" w:eastAsia="宋体"/>
                <w:b w:val="0"/>
                <w:color w:val="0D0D0D"/>
                <w:sz w:val="18"/>
              </w:rPr>
              <w:t>信息敏感但法律基础、权限和处理条件明确</w:t>
            </w:r>
          </w:p>
        </w:tc>
        <w:tc>
          <w:tcPr>
            <w:tcW w:w="3135" w:type="dxa"/>
            <w:vAlign w:val="center"/>
          </w:tcPr>
          <w:p w14:paraId="10E6443E">
            <w:pPr>
              <w:spacing w:after="40" w:line="300" w:lineRule="auto"/>
              <w:rPr>
                <w:color w:val="0D0D0D"/>
              </w:rPr>
            </w:pPr>
            <w:r>
              <w:rPr>
                <w:b w:val="0"/>
                <w:color w:val="0D0D0D"/>
                <w:sz w:val="18"/>
              </w:rPr>
              <w:t>即</w:t>
            </w:r>
            <w:bookmarkStart w:id="0" w:name="_GoBack"/>
            <w:bookmarkEnd w:id="0"/>
            <w:r>
              <w:rPr>
                <w:rFonts w:ascii="宋体" w:hAnsi="宋体" w:eastAsia="宋体"/>
                <w:b w:val="0"/>
                <w:color w:val="0D0D0D"/>
                <w:sz w:val="18"/>
              </w:rPr>
              <w:t>敏感性本身没有形成禁止</w:t>
            </w:r>
          </w:p>
        </w:tc>
        <w:tc>
          <w:tcPr>
            <w:tcW w:w="3135" w:type="dxa"/>
            <w:vAlign w:val="center"/>
          </w:tcPr>
          <w:p w14:paraId="2E43DD9F">
            <w:pPr>
              <w:spacing w:after="40" w:line="300" w:lineRule="auto"/>
              <w:rPr>
                <w:color w:val="0D0D0D"/>
              </w:rPr>
            </w:pPr>
            <w:r>
              <w:rPr>
                <w:rFonts w:ascii="宋体" w:hAnsi="宋体" w:eastAsia="宋体"/>
                <w:b w:val="0"/>
                <w:color w:val="0D0D0D"/>
                <w:sz w:val="18"/>
              </w:rPr>
              <w:t>按必要性、最小化和相应保护要求处理</w:t>
            </w:r>
          </w:p>
        </w:tc>
      </w:tr>
      <w:tr w14:paraId="7722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B0170EB">
            <w:pPr>
              <w:spacing w:after="40" w:line="300" w:lineRule="auto"/>
              <w:rPr>
                <w:color w:val="0D0D0D"/>
              </w:rPr>
            </w:pPr>
            <w:r>
              <w:rPr>
                <w:rFonts w:ascii="宋体" w:hAnsi="宋体" w:eastAsia="宋体"/>
                <w:b w:val="0"/>
                <w:color w:val="0D0D0D"/>
                <w:sz w:val="18"/>
              </w:rPr>
              <w:t>可以通过删除/匿名化等方式消除问题</w:t>
            </w:r>
          </w:p>
        </w:tc>
        <w:tc>
          <w:tcPr>
            <w:tcW w:w="3135" w:type="dxa"/>
            <w:vAlign w:val="center"/>
          </w:tcPr>
          <w:p w14:paraId="6656315F">
            <w:pPr>
              <w:spacing w:after="40" w:line="300" w:lineRule="auto"/>
              <w:rPr>
                <w:color w:val="0D0D0D"/>
              </w:rPr>
            </w:pPr>
            <w:r>
              <w:rPr>
                <w:b w:val="0"/>
                <w:color w:val="0D0D0D"/>
                <w:sz w:val="18"/>
              </w:rPr>
              <w:t>即原</w:t>
            </w:r>
            <w:r>
              <w:rPr>
                <w:rFonts w:ascii="宋体" w:hAnsi="宋体" w:eastAsia="宋体"/>
                <w:b w:val="0"/>
                <w:color w:val="0D0D0D"/>
                <w:sz w:val="18"/>
              </w:rPr>
              <w:t>始材料存在问题，但处理后的数据可能不再落入限制范围</w:t>
            </w:r>
          </w:p>
        </w:tc>
        <w:tc>
          <w:tcPr>
            <w:tcW w:w="3135" w:type="dxa"/>
            <w:vAlign w:val="center"/>
          </w:tcPr>
          <w:p w14:paraId="5C805E2D">
            <w:pPr>
              <w:spacing w:after="40" w:line="300" w:lineRule="auto"/>
              <w:rPr>
                <w:color w:val="0D0D0D"/>
              </w:rPr>
            </w:pPr>
            <w:r>
              <w:rPr>
                <w:rFonts w:ascii="宋体" w:hAnsi="宋体" w:eastAsia="宋体"/>
                <w:b w:val="0"/>
                <w:color w:val="0D0D0D"/>
                <w:sz w:val="18"/>
              </w:rPr>
              <w:t>先处理数据，再重新进行法律判断</w:t>
            </w:r>
          </w:p>
        </w:tc>
      </w:tr>
      <w:tr w14:paraId="36A4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75C581B1">
            <w:pPr>
              <w:spacing w:after="40" w:line="300" w:lineRule="auto"/>
              <w:rPr>
                <w:color w:val="0D0D0D"/>
              </w:rPr>
            </w:pPr>
            <w:r>
              <w:rPr>
                <w:rFonts w:ascii="宋体" w:hAnsi="宋体" w:eastAsia="宋体"/>
                <w:b w:val="0"/>
                <w:color w:val="0D0D0D"/>
                <w:sz w:val="18"/>
              </w:rPr>
              <w:t>仅有合同/服务商规则禁止</w:t>
            </w:r>
          </w:p>
        </w:tc>
        <w:tc>
          <w:tcPr>
            <w:tcW w:w="3135" w:type="dxa"/>
            <w:vAlign w:val="center"/>
          </w:tcPr>
          <w:p w14:paraId="02CC234E">
            <w:pPr>
              <w:spacing w:after="40" w:line="300" w:lineRule="auto"/>
              <w:rPr>
                <w:color w:val="0D0D0D"/>
              </w:rPr>
            </w:pPr>
            <w:r>
              <w:rPr>
                <w:b w:val="0"/>
                <w:color w:val="0D0D0D"/>
                <w:sz w:val="18"/>
              </w:rPr>
              <w:t>即可</w:t>
            </w:r>
            <w:r>
              <w:rPr>
                <w:rFonts w:ascii="宋体" w:hAnsi="宋体" w:eastAsia="宋体"/>
                <w:b w:val="0"/>
                <w:color w:val="0D0D0D"/>
                <w:sz w:val="18"/>
              </w:rPr>
              <w:t>能阻止当前服务调用，但性质不必然是法律禁止</w:t>
            </w:r>
          </w:p>
        </w:tc>
        <w:tc>
          <w:tcPr>
            <w:tcW w:w="3135" w:type="dxa"/>
            <w:vAlign w:val="center"/>
          </w:tcPr>
          <w:p w14:paraId="3BC7658D">
            <w:pPr>
              <w:spacing w:after="40" w:line="300" w:lineRule="auto"/>
              <w:rPr>
                <w:color w:val="0D0D0D"/>
              </w:rPr>
            </w:pPr>
            <w:r>
              <w:rPr>
                <w:rFonts w:ascii="宋体" w:hAnsi="宋体" w:eastAsia="宋体"/>
                <w:b w:val="0"/>
                <w:color w:val="0D0D0D"/>
                <w:sz w:val="18"/>
              </w:rPr>
              <w:t>停止使用该服务，并单独记录合同/业务依据</w:t>
            </w:r>
          </w:p>
        </w:tc>
      </w:tr>
    </w:tbl>
    <w:p w14:paraId="20ACE262">
      <w:pPr>
        <w:pStyle w:val="4"/>
        <w:bidi w:val="0"/>
        <w:spacing w:line="300" w:lineRule="auto"/>
        <w:rPr>
          <w:color w:val="0D0D0D"/>
        </w:rPr>
      </w:pPr>
      <w:r>
        <w:rPr>
          <w:color w:val="0D0D0D"/>
        </w:rPr>
        <w:t>十、主要法源</w:t>
      </w:r>
    </w:p>
    <w:p w14:paraId="26E05DF7">
      <w:pPr>
        <w:pStyle w:val="164"/>
        <w:spacing w:line="300" w:lineRule="auto"/>
        <w:ind w:left="340" w:hanging="170"/>
        <w:rPr>
          <w:color w:val="0D0D0D"/>
        </w:rPr>
      </w:pPr>
      <w:r>
        <w:rPr>
          <w:color w:val="0D0D0D"/>
        </w:rPr>
        <w:t>《中华人民共和国个人信息保护法》：第6、13、21、23、28</w:t>
      </w:r>
      <w:r>
        <w:rPr>
          <w:rFonts w:hint="default"/>
          <w:color w:val="0D0D0D"/>
        </w:rPr>
        <w:t>-</w:t>
      </w:r>
      <w:r>
        <w:rPr>
          <w:color w:val="0D0D0D"/>
        </w:rPr>
        <w:t>31、38</w:t>
      </w:r>
      <w:r>
        <w:rPr>
          <w:rFonts w:hint="default"/>
          <w:color w:val="0D0D0D"/>
        </w:rPr>
        <w:t>-</w:t>
      </w:r>
      <w:r>
        <w:rPr>
          <w:color w:val="0D0D0D"/>
        </w:rPr>
        <w:t>41、55</w:t>
      </w:r>
      <w:r>
        <w:rPr>
          <w:rFonts w:hint="default"/>
          <w:color w:val="0D0D0D"/>
        </w:rPr>
        <w:t>-</w:t>
      </w:r>
      <w:r>
        <w:rPr>
          <w:color w:val="0D0D0D"/>
        </w:rPr>
        <w:t>56条。</w:t>
      </w:r>
    </w:p>
    <w:p w14:paraId="5EF5DBC1">
      <w:pPr>
        <w:pStyle w:val="164"/>
        <w:spacing w:line="300" w:lineRule="auto"/>
        <w:ind w:left="340" w:hanging="170"/>
        <w:rPr>
          <w:color w:val="0D0D0D"/>
        </w:rPr>
      </w:pPr>
      <w:r>
        <w:rPr>
          <w:color w:val="0D0D0D"/>
        </w:rPr>
        <w:t>《中华人民共和国保守国家秘密法》（2024年修订）：重点第二十九条、第三十一条。</w:t>
      </w:r>
    </w:p>
    <w:p w14:paraId="3AB77016">
      <w:pPr>
        <w:pStyle w:val="164"/>
        <w:spacing w:line="300" w:lineRule="auto"/>
        <w:ind w:left="340" w:hanging="170"/>
        <w:rPr>
          <w:color w:val="0D0D0D"/>
        </w:rPr>
      </w:pPr>
      <w:r>
        <w:rPr>
          <w:color w:val="0D0D0D"/>
        </w:rPr>
        <w:t>《中华人民共和国传染病防治法》（2025年修订）：重点第十三条、第十六条。</w:t>
      </w:r>
    </w:p>
    <w:p w14:paraId="533F573C">
      <w:pPr>
        <w:pStyle w:val="164"/>
        <w:spacing w:line="300" w:lineRule="auto"/>
        <w:ind w:left="340" w:hanging="170"/>
        <w:rPr>
          <w:color w:val="0D0D0D"/>
        </w:rPr>
      </w:pPr>
      <w:r>
        <w:rPr>
          <w:color w:val="0D0D0D"/>
        </w:rPr>
        <w:t>《</w:t>
      </w:r>
      <w:r>
        <w:rPr>
          <w:color w:val="0D0D0D"/>
        </w:rPr>
        <w:t>中华人民共和国反不正当竞争法》（2025年修订）：重点第十条。</w:t>
      </w:r>
    </w:p>
    <w:p w14:paraId="293913BA">
      <w:pPr>
        <w:pStyle w:val="164"/>
        <w:spacing w:line="300" w:lineRule="auto"/>
        <w:ind w:left="340" w:hanging="170"/>
        <w:rPr>
          <w:color w:val="0D0D0D"/>
        </w:rPr>
      </w:pPr>
      <w:r>
        <w:rPr>
          <w:color w:val="0D0D0D"/>
        </w:rPr>
        <w:t>《中华人民共和国律师法》：重点第三十八条。</w:t>
      </w:r>
    </w:p>
    <w:p w14:paraId="705958C7">
      <w:pPr>
        <w:pStyle w:val="164"/>
        <w:spacing w:line="300" w:lineRule="auto"/>
        <w:ind w:left="340" w:hanging="170"/>
        <w:rPr>
          <w:color w:val="0D0D0D"/>
        </w:rPr>
      </w:pPr>
      <w:r>
        <w:rPr>
          <w:color w:val="0D0D0D"/>
        </w:rPr>
        <w:t>《中华人民共和国劳动争议调解仲裁法》：重点第二十六条。</w:t>
      </w:r>
    </w:p>
    <w:p w14:paraId="68C9EB3E">
      <w:pPr>
        <w:pStyle w:val="164"/>
        <w:spacing w:line="300" w:lineRule="auto"/>
        <w:ind w:left="340" w:hanging="170"/>
        <w:rPr>
          <w:color w:val="0D0D0D"/>
        </w:rPr>
      </w:pPr>
      <w:r>
        <w:rPr>
          <w:color w:val="0D0D0D"/>
        </w:rPr>
        <w:t>《劳动人事争议仲裁办案规则》：重点第二十二条至第二十五条。</w:t>
      </w:r>
    </w:p>
    <w:p w14:paraId="6D00FCC0">
      <w:pPr>
        <w:pStyle w:val="164"/>
        <w:spacing w:line="300" w:lineRule="auto"/>
        <w:ind w:left="340" w:hanging="170"/>
        <w:rPr>
          <w:color w:val="0D0D0D"/>
        </w:rPr>
      </w:pPr>
      <w:r>
        <w:rPr>
          <w:color w:val="0D0D0D"/>
        </w:rPr>
        <w:t>《中华人民共和国未成年人保护法》：重点第四条、第七十二条。</w:t>
      </w:r>
    </w:p>
    <w:p w14:paraId="10B30A5B">
      <w:pPr>
        <w:pStyle w:val="164"/>
        <w:spacing w:line="300" w:lineRule="auto"/>
        <w:ind w:left="340" w:hanging="170"/>
        <w:rPr>
          <w:rFonts w:hint="default"/>
          <w:color w:val="0D0D0D"/>
        </w:rPr>
      </w:pPr>
      <w:r>
        <w:rPr>
          <w:color w:val="0D0D0D"/>
        </w:rPr>
        <w:t>《中华人民共和国民法典》：隐私权、个人信息保护相关规定</w:t>
      </w:r>
      <w:r>
        <w:rPr>
          <w:color w:val="0D0D0D"/>
        </w:rPr>
        <w:t>。</w:t>
      </w:r>
    </w:p>
    <w:p w14:paraId="3FAAD059">
      <w:pPr>
        <w:pStyle w:val="164"/>
        <w:spacing w:line="300" w:lineRule="auto"/>
        <w:ind w:left="340" w:hanging="170"/>
        <w:rPr>
          <w:color w:val="0D0D0D"/>
        </w:rPr>
      </w:pPr>
      <w:r>
        <w:rPr>
          <w:color w:val="0D0D0D"/>
        </w:rPr>
        <w:t>《促进和规范数据跨境流动规定》。</w:t>
      </w:r>
    </w:p>
    <w:sectPr>
      <w:footerReference r:id="rId5" w:type="default"/>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HarmonyOS Sans"/>
    <w:panose1 w:val="020B0604020202020204"/>
    <w:charset w:val="01"/>
    <w:family w:val="swiss"/>
    <w:pitch w:val="default"/>
    <w:sig w:usb0="E0002AFF" w:usb1="C0007843" w:usb2="00000009" w:usb3="00000000" w:csb0="400001FF" w:csb1="FFFF0000"/>
  </w:font>
  <w:font w:name="黑体">
    <w:altName w:val="Noto Sans CJK SC"/>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Calibri">
    <w:altName w:val="HarmonyOS Sans"/>
    <w:panose1 w:val="020F0502020204030204"/>
    <w:charset w:val="00"/>
    <w:family w:val="swiss"/>
    <w:pitch w:val="default"/>
    <w:sig w:usb0="00000000" w:usb1="00000000" w:usb2="00000009" w:usb3="00000000" w:csb0="200001FF" w:csb1="00000000"/>
  </w:font>
  <w:font w:name="书宋-简">
    <w:panose1 w:val="00000500000000000000"/>
    <w:charset w:val="86"/>
    <w:family w:val="auto"/>
    <w:pitch w:val="default"/>
    <w:sig w:usb0="A00002BF" w:usb1="18EF7CFA" w:usb2="00000016" w:usb3="00000000" w:csb0="00040001" w:csb1="00000000"/>
  </w:font>
  <w:font w:name="HarmonyOS Sans SC">
    <w:panose1 w:val="00000500000000000000"/>
    <w:charset w:val="86"/>
    <w:family w:val="auto"/>
    <w:pitch w:val="default"/>
    <w:sig w:usb0="A00002BF" w:usb1="18EF7CFA" w:usb2="00000016" w:usb3="00000000" w:csb0="00040001" w:csb1="00000000"/>
  </w:font>
  <w:font w:name="Noto Sans CJK SC">
    <w:panose1 w:val="020B0500000000000000"/>
    <w:charset w:val="86"/>
    <w:family w:val="auto"/>
    <w:pitch w:val="default"/>
    <w:sig w:usb0="30000083" w:usb1="2BDF3C10" w:usb2="00000016" w:usb3="00000000" w:csb0="602E0107" w:csb1="00000000"/>
  </w:font>
  <w:font w:name="FTToken">
    <w:panose1 w:val="05000000000000000000"/>
    <w:charset w:val="00"/>
    <w:family w:val="auto"/>
    <w:pitch w:val="default"/>
    <w:sig w:usb0="00000000" w:usb1="10000000" w:usb2="00000000" w:usb3="00000000" w:csb0="80000000" w:csb1="00000000"/>
  </w:font>
  <w:font w:name="Cambria">
    <w:altName w:val="Noto Sans Medefaidrin"/>
    <w:panose1 w:val="02040503050406030204"/>
    <w:charset w:val="00"/>
    <w:family w:val="auto"/>
    <w:pitch w:val="default"/>
    <w:sig w:usb0="00000000" w:usb1="00000000" w:usb2="00000000" w:usb3="00000000" w:csb0="0000019F" w:csb1="00000000"/>
  </w:font>
  <w:font w:name="Noto Sans Medefaidrin">
    <w:panose1 w:val="02020502060505020204"/>
    <w:charset w:val="00"/>
    <w:family w:val="auto"/>
    <w:pitch w:val="default"/>
    <w:sig w:usb0="00000001" w:usb1="02000000" w:usb2="00000000" w:usb3="00000000" w:csb0="00000001" w:csb1="00000000"/>
  </w:font>
  <w:font w:name="ＭＳ 明朝">
    <w:altName w:val="书宋-简"/>
    <w:panose1 w:val="00000000000000000000"/>
    <w:charset w:val="80"/>
    <w:family w:val="roman"/>
    <w:pitch w:val="default"/>
    <w:sig w:usb0="00000000" w:usb1="00000000" w:usb2="00000010" w:usb3="00000000" w:csb0="00020000" w:csb1="00000000"/>
  </w:font>
  <w:font w:name="ＭＳ 明朝">
    <w:altName w:val="书宋-简"/>
    <w:panose1 w:val="00000000000000000000"/>
    <w:charset w:val="86"/>
    <w:family w:val="auto"/>
    <w:pitch w:val="default"/>
    <w:sig w:usb0="00000000" w:usb1="00000000" w:usb2="00000000" w:usb3="00000000" w:csb0="00000000" w:csb1="00000000"/>
  </w:font>
  <w:font w:name="ＭＳ ゴシック">
    <w:altName w:val="书宋-简"/>
    <w:panose1 w:val="00000000000000000000"/>
    <w:charset w:val="80"/>
    <w:family w:val="modern"/>
    <w:pitch w:val="default"/>
    <w:sig w:usb0="00000000" w:usb1="00000000" w:usb2="00000010" w:usb3="00000000" w:csb0="00020000" w:csb1="00000000"/>
  </w:font>
  <w:font w:name="ＭＳ 明朝">
    <w:altName w:val="书宋-简"/>
    <w:panose1 w:val="00000000000000000000"/>
    <w:charset w:val="00"/>
    <w:family w:val="auto"/>
    <w:pitch w:val="default"/>
    <w:sig w:usb0="00000000" w:usb1="00000000" w:usb2="00000000" w:usb3="00000000" w:csb0="00000000"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Kingsoft Sign">
    <w:panose1 w:val="05050102010706020507"/>
    <w:charset w:val="00"/>
    <w:family w:val="auto"/>
    <w:pitch w:val="default"/>
    <w:sig w:usb0="00000000" w:usb1="10000000" w:usb2="00000000" w:usb3="00000000" w:csb0="00000001" w:csb1="00000000"/>
  </w:font>
  <w:font w:name="ＭＳ ゴシック">
    <w:altName w:val="书宋-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3C4DD">
    <w:pPr>
      <w:pStyle w:val="24"/>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5CF918"/>
    <w:multiLevelType w:val="singleLevel"/>
    <w:tmpl w:val="E75CF918"/>
    <w:lvl w:ilvl="0" w:tentative="0">
      <w:start w:val="8"/>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BF4F90"/>
    <w:rsid w:val="F7FBA202"/>
    <w:rsid w:val="FD6961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正文1"/>
    <w:uiPriority w:val="0"/>
    <w:pPr>
      <w:spacing w:after="120" w:line="324" w:lineRule="auto"/>
    </w:pPr>
    <w:rPr>
      <w:rFonts w:ascii="宋体" w:hAnsi="宋体" w:eastAsia="宋体" w:cstheme="minorBidi"/>
      <w:sz w:val="21"/>
      <w:szCs w:val="22"/>
      <w:lang w:val="en-US" w:eastAsia="en-US" w:bidi="ar-SA"/>
    </w:rPr>
  </w:style>
  <w:style w:type="paragraph" w:customStyle="1" w:styleId="165">
    <w:name w:val="原文"/>
    <w:qFormat/>
    <w:uiPriority w:val="0"/>
    <w:pPr>
      <w:spacing w:after="100" w:line="288" w:lineRule="auto"/>
      <w:ind w:left="397" w:right="227"/>
    </w:pPr>
    <w:rPr>
      <w:rFonts w:ascii="宋体" w:hAnsi="宋体" w:eastAsia="宋体" w:cstheme="minorBidi"/>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Office_12.9.0.28440_F1E327BC-269C-435d-A152-05C5408002CA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WPS_1724059009</cp:lastModifiedBy>
  <dcterms:modified xsi:type="dcterms:W3CDTF">2026-09-11T20:49:45Z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2052-12.9.0.28440</vt:lpwstr>
  </property>
  <property fmtid="{D5CDD505-2E9C-101B-9397-08002B2CF9AE}" pid="3" name="ICV">
    <vt:lpwstr>D59A55884172A70835DFA36AA2170F44_42</vt:lpwstr>
  </property>
</Properties>
</file>