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77C60">
      <w:pPr>
        <w:spacing w:after="0"/>
      </w:pPr>
    </w:p>
    <w:p w14:paraId="04197ADC">
      <w:pPr>
        <w:spacing w:after="0"/>
      </w:pPr>
    </w:p>
    <w:p w14:paraId="7E7BDFC0">
      <w:pPr>
        <w:spacing w:after="0"/>
      </w:pPr>
    </w:p>
    <w:p w14:paraId="7554BC54">
      <w:pPr>
        <w:spacing w:before="0" w:after="160" w:line="276" w:lineRule="auto"/>
        <w:jc w:val="center"/>
      </w:pPr>
      <w:r>
        <w:rPr>
          <w:rFonts w:ascii="Arial Unicode MS" w:hAnsi="Arial Unicode MS" w:eastAsia="Arial Unicode MS"/>
          <w:b/>
          <w:color w:val="174C43"/>
          <w:sz w:val="36"/>
        </w:rPr>
        <w:t>LexAegis</w:t>
      </w:r>
    </w:p>
    <w:p w14:paraId="40C7304A">
      <w:pPr>
        <w:spacing w:before="0" w:after="160" w:line="276" w:lineRule="auto"/>
        <w:jc w:val="center"/>
      </w:pPr>
      <w:r>
        <w:rPr>
          <w:rFonts w:ascii="Arial Unicode MS" w:hAnsi="Arial Unicode MS" w:eastAsia="Arial Unicode MS"/>
          <w:b/>
          <w:color w:val="20332F"/>
          <w:sz w:val="52"/>
        </w:rPr>
        <w:t>案隐盾法律隐私工作台</w:t>
      </w:r>
    </w:p>
    <w:p w14:paraId="798C80BD">
      <w:pPr>
        <w:spacing w:before="0" w:after="280" w:line="276" w:lineRule="auto"/>
        <w:jc w:val="center"/>
      </w:pPr>
      <w:r>
        <w:rPr>
          <w:rFonts w:ascii="Arial Unicode MS" w:hAnsi="Arial Unicode MS" w:eastAsia="Arial Unicode MS"/>
          <w:b/>
          <w:color w:val="174C43"/>
          <w:sz w:val="40"/>
        </w:rPr>
        <w:t>操作说明</w:t>
      </w:r>
    </w:p>
    <w:p w14:paraId="7A6CAA40">
      <w:pPr>
        <w:spacing w:before="0" w:after="360" w:line="276" w:lineRule="auto"/>
        <w:jc w:val="center"/>
      </w:pPr>
      <w:r>
        <w:rPr>
          <w:rFonts w:ascii="Arial Unicode MS" w:hAnsi="Arial Unicode MS" w:eastAsia="Arial Unicode MS"/>
          <w:b w:val="0"/>
          <w:color w:val="66706D"/>
          <w:sz w:val="22"/>
        </w:rPr>
        <w:t>材料与事实  ·  披露方案  ·  风险与审批  ·  摘要与回链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07E67535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FF616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w="6520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390721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内容</w:t>
            </w:r>
          </w:p>
        </w:tc>
      </w:tr>
      <w:tr w14:paraId="28EDC063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85C4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产品版本</w:t>
            </w:r>
          </w:p>
        </w:tc>
        <w:tc>
          <w:tcPr>
            <w:tcW w:w="65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5AAF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1.0</w:t>
            </w:r>
          </w:p>
        </w:tc>
      </w:tr>
      <w:tr w14:paraId="402954D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4763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文档性质</w:t>
            </w:r>
          </w:p>
        </w:tc>
        <w:tc>
          <w:tcPr>
            <w:tcW w:w="6520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A7776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系统操作说明</w:t>
            </w:r>
          </w:p>
        </w:tc>
      </w:tr>
      <w:tr w14:paraId="3BE4264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E9E0F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发布日期</w:t>
            </w:r>
          </w:p>
        </w:tc>
        <w:tc>
          <w:tcPr>
            <w:tcW w:w="65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AA9B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2026 年 9 月</w:t>
            </w:r>
          </w:p>
        </w:tc>
      </w:tr>
      <w:tr w14:paraId="79C3A12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99F1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配图来源</w:t>
            </w:r>
          </w:p>
        </w:tc>
        <w:tc>
          <w:tcPr>
            <w:tcW w:w="6520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8175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工作台功能页面截图</w:t>
            </w:r>
          </w:p>
        </w:tc>
      </w:tr>
    </w:tbl>
    <w:p w14:paraId="1AB16D3D">
      <w:pPr>
        <w:spacing w:after="160"/>
      </w:pPr>
    </w:p>
    <w:p w14:paraId="3960DB15">
      <w:pPr>
        <w:spacing w:after="160"/>
      </w:pPr>
      <w:bookmarkStart w:id="0" w:name="_GoBack"/>
      <w:bookmarkEnd w:id="0"/>
    </w:p>
    <w:p w14:paraId="64D7C73A">
      <w:pPr>
        <w:spacing w:before="0" w:after="12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本说明面向案隐盾法律隐私工作台的实际使用人员，介绍从案件建立、材料导入、事实核对、逐项披露、风险检查、人工复核、审批执行到结果回链的完整操作方法。</w:t>
      </w:r>
    </w:p>
    <w:p w14:paraId="2E8E149D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一、核心模块</w:t>
      </w:r>
    </w:p>
    <w:p w14:paraId="470CD991">
      <w:pPr>
        <w:spacing w:before="0" w:after="120" w:line="276" w:lineRule="auto"/>
        <w:ind w:firstLine="420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系统以案件工作台为主入口，并把一次处理拆成四个功能边界：材料与事实、披露方案、风险与审批、摘要与回链。法学规则、法学证据、服务商档案、隔离实验、运行配置和本地用户为案件流程提供规则、证据、服务条件和权限，不替代当前请求的具名复核与批准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195"/>
        <w:gridCol w:w="2948"/>
      </w:tblGrid>
      <w:tr w14:paraId="135DE6CD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8298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w="4195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DCB7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主要用途</w:t>
            </w:r>
          </w:p>
        </w:tc>
        <w:tc>
          <w:tcPr>
            <w:tcW w:w="294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FDD59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形成结果</w:t>
            </w:r>
          </w:p>
        </w:tc>
      </w:tr>
      <w:tr w14:paraId="4B37F987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7719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案件工作台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DCD7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管理案件、材料、事实、披露任务、风险检查和结果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BD66B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可继续处理的案件工作空间</w:t>
            </w:r>
          </w:p>
        </w:tc>
      </w:tr>
      <w:tr w14:paraId="11134D55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F091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材料与事实</w:t>
            </w:r>
          </w:p>
        </w:tc>
        <w:tc>
          <w:tcPr>
            <w:tcW w:w="419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59535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上传、解析、分段、抽取、人工校对和来源定位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F06C3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带原文锚点的事实清单</w:t>
            </w:r>
          </w:p>
        </w:tc>
      </w:tr>
      <w:tr w14:paraId="65FD748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DD69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披露方案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8EDD3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逐项判断必要性、选择处理动作并说明信息损失和残余风险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5572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可解释的最小披露内容</w:t>
            </w:r>
          </w:p>
        </w:tc>
      </w:tr>
      <w:tr w14:paraId="4BC0B0B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C159F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风险与审批</w:t>
            </w:r>
          </w:p>
        </w:tc>
        <w:tc>
          <w:tcPr>
            <w:tcW w:w="419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1FE0A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冻结完整请求，检查系统门禁，完成具名复核与批准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4F58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允许继续或明确阻断的当前请求</w:t>
            </w:r>
          </w:p>
        </w:tc>
      </w:tr>
      <w:tr w14:paraId="7B8E695E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88AF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摘要与回链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05C54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查看任务结果、引用关系、缺口和未使用事实，并回到原文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8CAA4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经人工核对的结果与审计关联</w:t>
            </w:r>
          </w:p>
        </w:tc>
      </w:tr>
      <w:tr w14:paraId="6341A94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465C7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法学与治理</w:t>
            </w:r>
          </w:p>
        </w:tc>
        <w:tc>
          <w:tcPr>
            <w:tcW w:w="419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9763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维护规则、法学证据、服务商档案、隔离实验和运行配置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2CB1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供请求检查使用的治理依据</w:t>
            </w:r>
          </w:p>
        </w:tc>
      </w:tr>
      <w:tr w14:paraId="4930153E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D072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本地用户</w:t>
            </w:r>
          </w:p>
        </w:tc>
        <w:tc>
          <w:tcPr>
            <w:tcW w:w="419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951FE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维护账号、角色和启停状态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5764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具名权限与操作主体</w:t>
            </w:r>
          </w:p>
        </w:tc>
      </w:tr>
    </w:tbl>
    <w:p w14:paraId="450D08AE">
      <w:pPr>
        <w:spacing w:after="160"/>
      </w:pPr>
    </w:p>
    <w:p w14:paraId="71140CA5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四个功能边界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3402"/>
        <w:gridCol w:w="3061"/>
      </w:tblGrid>
      <w:tr w14:paraId="62035EA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0A3F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w="170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C80476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功能边界</w:t>
            </w:r>
          </w:p>
        </w:tc>
        <w:tc>
          <w:tcPr>
            <w:tcW w:w="340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62A9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主要操作</w:t>
            </w:r>
          </w:p>
        </w:tc>
        <w:tc>
          <w:tcPr>
            <w:tcW w:w="306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43B1FD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进入下一阶段前的完成标志</w:t>
            </w:r>
          </w:p>
        </w:tc>
      </w:tr>
      <w:tr w14:paraId="69686B5D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8000A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01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2E16B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材料与事实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8BB1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导入材料、检查解析、核对事实、查看来源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F7F6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事实可回到对应原文位置</w:t>
            </w:r>
          </w:p>
        </w:tc>
      </w:tr>
      <w:tr w14:paraId="3B689848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EE5D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02</w:t>
            </w:r>
          </w:p>
        </w:tc>
        <w:tc>
          <w:tcPr>
            <w:tcW w:w="170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FFEB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披露方案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4B5B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逐项选择必要性、精度和处理动作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4C83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披露文本及理由可解释</w:t>
            </w:r>
          </w:p>
        </w:tc>
      </w:tr>
      <w:tr w14:paraId="432194DC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BA6A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03</w:t>
            </w:r>
          </w:p>
        </w:tc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9E080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风险与审批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9082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冻结请求、查看门禁、复核、审批、执行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E62A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满足当前任务的复核与批准条件</w:t>
            </w:r>
          </w:p>
        </w:tc>
      </w:tr>
      <w:tr w14:paraId="05E5AD96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202D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04</w:t>
            </w:r>
          </w:p>
        </w:tc>
        <w:tc>
          <w:tcPr>
            <w:tcW w:w="170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0A2A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摘要与回链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16376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识别结果来源、逐句对照、确认或退回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59BA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结果可回链且人工确认完成</w:t>
            </w:r>
          </w:p>
        </w:tc>
      </w:tr>
    </w:tbl>
    <w:p w14:paraId="38A26D41">
      <w:pPr>
        <w:spacing w:after="160"/>
      </w:pPr>
    </w:p>
    <w:p w14:paraId="286F681A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适用人员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82"/>
        <w:gridCol w:w="3061"/>
      </w:tblGrid>
      <w:tr w14:paraId="45AE0DA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58363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w="408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9E22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主要职责</w:t>
            </w:r>
          </w:p>
        </w:tc>
        <w:tc>
          <w:tcPr>
            <w:tcW w:w="306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0AC8E9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本说明重点</w:t>
            </w:r>
          </w:p>
        </w:tc>
      </w:tr>
      <w:tr w14:paraId="32718D4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E647C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案件操作人员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B13D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建立案件、导入材料、核对事实、形成披露方案、执行获准任务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DD84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标准流程第 1—8、10 步；功能说明中的工作台与四个边界</w:t>
            </w:r>
          </w:p>
        </w:tc>
      </w:tr>
      <w:tr w14:paraId="705F4637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4C557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法学复核人员</w:t>
            </w:r>
          </w:p>
        </w:tc>
        <w:tc>
          <w:tcPr>
            <w:tcW w:w="408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7A8A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复核事实、规则依据、披露必要性、残余风险及结果表达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1C445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风险与审批、摘要与回链、法学规则与证据</w:t>
            </w:r>
          </w:p>
        </w:tc>
      </w:tr>
      <w:tr w14:paraId="07140F73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D895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审批人员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4CBD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阅读完整请求快照，批准或拒绝当前版本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6990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风险与审批中的独立批准</w:t>
            </w:r>
          </w:p>
        </w:tc>
      </w:tr>
      <w:tr w14:paraId="2307BBD3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3E43F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管理员与运维人员</w:t>
            </w:r>
          </w:p>
        </w:tc>
        <w:tc>
          <w:tcPr>
            <w:tcW w:w="408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227A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维护账号、规则、法学证据、服务商和运行配置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8475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法学与治理、系统设置</w:t>
            </w:r>
          </w:p>
        </w:tc>
      </w:tr>
    </w:tbl>
    <w:p w14:paraId="04D2D737">
      <w:pPr>
        <w:spacing w:after="160"/>
      </w:pP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11C9259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2AD3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请先确认职责</w:t>
            </w:r>
          </w:p>
          <w:p w14:paraId="63B4938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同一人员可以在授权范围内承担多个系统角色，但操作记录仍应使用具名账号。批准当前请求与执行任务是两个独立动作。</w:t>
            </w:r>
          </w:p>
        </w:tc>
      </w:tr>
    </w:tbl>
    <w:p w14:paraId="47DA5500">
      <w:pPr>
        <w:spacing w:after="160"/>
      </w:pPr>
    </w:p>
    <w:p w14:paraId="292434C2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使用原则</w:t>
      </w:r>
    </w:p>
    <w:p w14:paraId="2D0D9171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原始材料、身份映射和内部复核信息默认保留在本地工作区；只有经过逐项确认的披露内容进入请求。</w:t>
      </w:r>
    </w:p>
    <w:p w14:paraId="23766618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事实、披露方案、风险检查、批准和执行均绑定当前材料与配置版本；关键输入变化后应新建任务并重新检查。</w:t>
      </w:r>
    </w:p>
    <w:p w14:paraId="5B426079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未运行、未完成、不确定、待复核和不可用均不等同于通过。</w:t>
      </w:r>
    </w:p>
    <w:p w14:paraId="00557D91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系统输出用于材料整理、隐私控制和审查辅助，不替代律师判断、组织授权或正式审批责任。</w:t>
      </w:r>
    </w:p>
    <w:p w14:paraId="1821ADB3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二、标准使用流程</w:t>
      </w:r>
    </w:p>
    <w:p w14:paraId="627BADB0">
      <w:pPr>
        <w:spacing w:before="0" w:after="120" w:line="276" w:lineRule="auto"/>
        <w:ind w:firstLine="420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以下流程适用于需要把案件材料整理为可控披露请求，并对结果进行来源核对的日常工作。</w:t>
      </w:r>
    </w:p>
    <w:p w14:paraId="2D175A80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第一步，登录并确认账号角色。</w:t>
      </w:r>
    </w:p>
    <w:p w14:paraId="3DA8C11D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使用管理员分配的本地账号登录。查看页面右上角的账号与角色，确认当前角色具备本次操作权限。</w:t>
      </w:r>
    </w:p>
    <w:p w14:paraId="6B5BD8A9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第二步，建立案件工作空间。</w:t>
      </w:r>
    </w:p>
    <w:p w14:paraId="386797BB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在“案件工作台”选择“新建案件”，填写便于内部识别的案件名称，并按业务要求设置案件信息。每个案件的材料、事实、身份映射和任务记录相互独立。</w:t>
      </w:r>
    </w:p>
    <w:p w14:paraId="2DC1243D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第三步，导入材料并检查解析。</w:t>
      </w:r>
    </w:p>
    <w:p w14:paraId="53C1B6EE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上传支持的文件，等待解析完成；检查材料版本、页段数量、识别提示和异常。解析完成只代表材料可读取，不代表事实已经核验。</w:t>
      </w:r>
    </w:p>
    <w:p w14:paraId="40D0CBAD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第四步，核对事实与来源。</w:t>
      </w:r>
    </w:p>
    <w:p w14:paraId="0FB9195D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运行边侧提取或人工添加事实。逐项核对主体、关系、事件、日期、金额和证据，使用“查看原文依据”确认上下文。</w:t>
      </w:r>
    </w:p>
    <w:p w14:paraId="482EB242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第五步，形成披露方案。</w:t>
      </w:r>
    </w:p>
    <w:p w14:paraId="68104DAB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选择“生成披露方案”。按任务目的为每项事实选择必要性和处理动作，检查披露文本、保留理由、信息损失及残余风险。</w:t>
      </w:r>
    </w:p>
    <w:p w14:paraId="3D389347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第六步，冻结请求并检查风险。</w:t>
      </w:r>
    </w:p>
    <w:p w14:paraId="0BCED0B5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选择“检验风险并冻结请求”。展开完整请求，核对目标、模型、规则版本、材料版本、配置版本和实际披露正文。</w:t>
      </w:r>
    </w:p>
    <w:p w14:paraId="209C6E96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第七步，完成具名人工复核。</w:t>
      </w:r>
    </w:p>
    <w:p w14:paraId="4E441016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由法学复核人员阅读事实依据、披露必要性、残余风险和系统提示，提交允许、否决或暂停意见。否决仅针对当前请求。</w:t>
      </w:r>
    </w:p>
    <w:p w14:paraId="46C31201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第八步，批准并执行当前版本。</w:t>
      </w:r>
    </w:p>
    <w:p w14:paraId="54CD94EC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由审批人员批准当前完整请求。审批完成后，由案件操作人员执行任务。审批事件不等同于请求已经离开本地。</w:t>
      </w:r>
    </w:p>
    <w:p w14:paraId="6E7FBC7A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第九步，核对结果并回链。</w:t>
      </w:r>
    </w:p>
    <w:p w14:paraId="5CE6AF32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在“摘要与回链”中确认结果来源，对照使用事实、未使用事实、缺口和来源标识；必要时返回前一阶段修改并新建任务。</w:t>
      </w:r>
    </w:p>
    <w:p w14:paraId="4896F757">
      <w:pPr>
        <w:spacing w:before="80" w:after="40"/>
      </w:pPr>
      <w:r>
        <w:rPr>
          <w:rFonts w:ascii="Arial Unicode MS" w:hAnsi="Arial Unicode MS" w:eastAsia="Arial Unicode MS"/>
          <w:b/>
          <w:color w:val="174C43"/>
          <w:sz w:val="21"/>
        </w:rPr>
        <w:t>第十步，确认、导出与归档。</w:t>
      </w:r>
    </w:p>
    <w:p w14:paraId="6681EBFB">
      <w:pPr>
        <w:spacing w:before="0" w:after="16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完成逐句复核后确认结果，并按权限导出云端视图、内部复核包或审计记录。含身份与锚点的内部复核包应按系统提示再次具名确认。</w:t>
      </w:r>
    </w:p>
    <w:p w14:paraId="7A12F305">
      <w:pPr>
        <w:spacing w:before="0" w:after="12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其他基础功能：左侧导航可进入法学规则中心、法学证据登记、服务商治理、隔离实验、运行配置和本地用户。点击右上角账号可确认当前角色；角色变更对后续请求生效。</w:t>
      </w:r>
    </w:p>
    <w:p w14:paraId="5A4B680C">
      <w:r>
        <w:br w:type="page"/>
      </w:r>
    </w:p>
    <w:p w14:paraId="4E0C6C72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三、功能使用说明</w:t>
      </w:r>
    </w:p>
    <w:p w14:paraId="40A8DDB0">
      <w:pPr>
        <w:spacing w:before="0" w:after="120" w:line="276" w:lineRule="auto"/>
        <w:ind w:firstLine="420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本章按页面组织。每一节先给出界面截图和图注，再按编号说明如何进入、看什么、点哪里。截图中的案件名称、事实内容和处理结论均为合成示例。</w:t>
      </w:r>
    </w:p>
    <w:p w14:paraId="79B6FAEF"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174C43"/>
          <w:sz w:val="27"/>
        </w:rPr>
        <w:t>登录</w:t>
      </w:r>
    </w:p>
    <w:p w14:paraId="1E7B1341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6614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61BC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 登录</w:t>
      </w:r>
    </w:p>
    <w:p w14:paraId="245D264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在受控浏览器中打开部署方提供的工作台地址。建议使用较新的 Chromium 内核浏览器，并保持页面缩放为 100%。</w:t>
      </w:r>
    </w:p>
    <w:p w14:paraId="1EDA70AF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登录页展示产品名称“案隐盾 LexAegis”和提示“让案件信息，留在合适的边界。”页面标明这是本地工作空间：输入启动终端显示的本地访问口令后，进入云边协同工作台。</w:t>
      </w:r>
    </w:p>
    <w:p w14:paraId="75EB948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在“用户名”中填写管理员分配的本地账号，在“本地访问口令”中填写对应口令，点击“进入工作台”。不要在说明文档、截图或聊天记录中保存账号口令。</w:t>
      </w:r>
    </w:p>
    <w:p w14:paraId="1DA18F8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页面底部提示“原始材料在边侧处理，云端请求经人工审批”。账号认证在本地完成，页面不展示模型服务密钥。</w:t>
      </w:r>
    </w:p>
    <w:p w14:paraId="5D237F9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登录后查看右上角账号名称和角色。若页面提示会话失效，重新登录后再继续；浏览器刷新不会改变已保存的案件记录。</w:t>
      </w:r>
    </w:p>
    <w:p w14:paraId="278778D6"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174C43"/>
          <w:sz w:val="27"/>
        </w:rPr>
        <w:t>案件工作台</w:t>
      </w:r>
    </w:p>
    <w:p w14:paraId="0C30A991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933825"/>
            <wp:effectExtent l="0" t="0" r="825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17C0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图3-2 案件工作台</w:t>
      </w:r>
    </w:p>
    <w:p w14:paraId="05C5694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登录成功后进入“案件工作台”。左侧导航用于切换案件工作台、法学规则中心、法学证据登记、服务商治理、隔离实验、运行配置和本地用户。</w:t>
      </w:r>
    </w:p>
    <w:p w14:paraId="0007FC7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主区域顶部显示工作台标题和“新建案件”。空白工作台会提示“从第一份案件材料开始”，并提供“导入 Word 材料”入口。</w:t>
      </w:r>
    </w:p>
    <w:p w14:paraId="763AFDEC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点击右上角“新建案件”，填写清晰、便于内部识别的案件名称后进入案件详情。名称用于工作台检索和审计识别，不应代替正式案号或材料版本。</w:t>
      </w:r>
    </w:p>
    <w:p w14:paraId="66CD376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页面中部的“全部案件”列出已建立案件。选择案件后，主区域显示四个功能边界；左侧或侧栏显示材料与原文，右侧上下文区域显示任务、审计和发送尝试。</w:t>
      </w:r>
    </w:p>
    <w:p w14:paraId="64DD23AE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页面底部固定展示四个功能边界卡片：01 材料与事实、02 披露方案、03 风险与审批、04 摘要与回链。这四个卡片对应一次完整处理的阶段，而不是四个互不相关的子系统。</w:t>
      </w:r>
    </w:p>
    <w:p w14:paraId="10DCA6AA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6.  若同一案件存在多个任务，应以任务编号、材料版本和请求版本区分，不要仅凭列表顺序判断先后。</w:t>
      </w: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7CACCCF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9BDB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版本绑定规则</w:t>
            </w:r>
          </w:p>
          <w:p w14:paraId="1664A01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材料、事实、披露正文、目标服务、模型、规则或运行配置发生变化时，历史请求可以保留用于追溯，但不应继续作为当前批准和执行依据。</w:t>
            </w:r>
          </w:p>
        </w:tc>
      </w:tr>
    </w:tbl>
    <w:p w14:paraId="0F46C22C">
      <w:pPr>
        <w:spacing w:after="160"/>
      </w:pPr>
    </w:p>
    <w:p w14:paraId="62A31844"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174C43"/>
          <w:sz w:val="27"/>
        </w:rPr>
        <w:t>功能中心</w:t>
      </w:r>
    </w:p>
    <w:p w14:paraId="5D66AC7D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（一）材料与事实</w:t>
      </w:r>
    </w:p>
    <w:p w14:paraId="5B4AB952">
      <w:pPr>
        <w:keepLines/>
        <w:spacing w:before="120" w:after="80"/>
        <w:jc w:val="center"/>
      </w:pPr>
      <w:r>
        <w:drawing>
          <wp:inline distT="0" distB="0" distL="114300" distR="114300">
            <wp:extent cx="5579745" cy="516445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7796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图3-3 材料与事实</w:t>
      </w:r>
    </w:p>
    <w:p w14:paraId="6932A579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进入目标案件后，打开顶部阶段页签“01 材料与事实”。页面分为三栏：左侧“原始材料”，中部“事实与证据”，右侧“依据与运行边界”。</w:t>
      </w:r>
    </w:p>
    <w:p w14:paraId="2226CF8D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在左侧选择“导入 Word 材料”，按页面提示选择 DOCX、PDF、TXT、XLSX、CSV、图片或音视频。实际可用格式以当前构建提示为准。上传后系统建立材料版本；不要通过覆盖同名文件来替代版本管理。</w:t>
      </w:r>
    </w:p>
    <w:p w14:paraId="568C73AD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查看解析状态、页段数量、OCR 或转写提示。上传成功、解析完成、事实抽取完成是三个不同状态。截图中的“已解析”只说明材料可读取。</w:t>
      </w:r>
    </w:p>
    <w:p w14:paraId="61503DBF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可使用边侧提取整理材料，也可选择“添加事实”人工录入。中部事实卡按主体、关系、事件、日期、金额、证据分列，并显示确认状态。</w:t>
      </w:r>
    </w:p>
    <w:p w14:paraId="0B4B758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点击事实卡片中的“查看原文依据”，在材料侧栏定位对应段落、页码、单元格或时间码，确认事实未脱离上下文。材料表述不准确时选择“编辑”；与任务无关且不应保留的人工事实可删除。</w:t>
      </w:r>
    </w:p>
    <w:p w14:paraId="2C714BCA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6.  右侧“依据与运行边界”标明原文始终留在边侧，身份映射、内部理由和评分真值不会自动进入云端请求。底部可运行“本地生成时间线”“本地整理证据清单”“本地生成争点候选”，或点击“生成披露方案”进入下一阶段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948"/>
        <w:gridCol w:w="4082"/>
      </w:tblGrid>
      <w:tr w14:paraId="022B97C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D0BC0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材料类型</w:t>
            </w:r>
          </w:p>
        </w:tc>
        <w:tc>
          <w:tcPr>
            <w:tcW w:w="294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BF88E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系统处理</w:t>
            </w:r>
          </w:p>
        </w:tc>
        <w:tc>
          <w:tcPr>
            <w:tcW w:w="408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0739C4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人工核对重点</w:t>
            </w:r>
          </w:p>
        </w:tc>
      </w:tr>
      <w:tr w14:paraId="63F63B7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FAD38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DOCX / PDF / TXT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BE10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解析、分段、来源定位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32B4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页码、表格、脚注、漏段及阅读顺序</w:t>
            </w:r>
          </w:p>
        </w:tc>
      </w:tr>
      <w:tr w14:paraId="39C60097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C0CC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XLSX / CSV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F3BC8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按记录或单元格定位</w:t>
            </w:r>
          </w:p>
        </w:tc>
        <w:tc>
          <w:tcPr>
            <w:tcW w:w="408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3CE1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列含义、公式结果、空值和版本</w:t>
            </w:r>
          </w:p>
        </w:tc>
      </w:tr>
      <w:tr w14:paraId="3FCE9FA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A642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PNG / JPEG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3909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按配置执行本地 OCR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E6E95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页序、遮挡、识别错误和低置信内容</w:t>
            </w:r>
          </w:p>
        </w:tc>
      </w:tr>
      <w:tr w14:paraId="3F8B863D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36AE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音频 / 视频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B641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本地转写后形成文本</w:t>
            </w:r>
          </w:p>
        </w:tc>
        <w:tc>
          <w:tcPr>
            <w:tcW w:w="408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1853D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说话人、时间码、漏转和误转</w:t>
            </w:r>
          </w:p>
        </w:tc>
      </w:tr>
      <w:tr w14:paraId="49026523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8A74D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人工事实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2FE3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录入事实并关联来源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FCBA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主张与认定、主体、日期、金额和证据归属</w:t>
            </w:r>
          </w:p>
        </w:tc>
      </w:tr>
    </w:tbl>
    <w:p w14:paraId="13AFE31D">
      <w:pPr>
        <w:spacing w:after="160"/>
      </w:pP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948"/>
        <w:gridCol w:w="4082"/>
      </w:tblGrid>
      <w:tr w14:paraId="5B676E8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</w:tblPrEx>
        <w:trPr>
          <w:cantSplit/>
          <w:jc w:val="center"/>
        </w:trPr>
        <w:tc>
          <w:tcPr>
            <w:tcW w:w="204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98498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工具</w:t>
            </w:r>
          </w:p>
        </w:tc>
        <w:tc>
          <w:tcPr>
            <w:tcW w:w="294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DE56A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  <w:tc>
          <w:tcPr>
            <w:tcW w:w="408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C2473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使用边界</w:t>
            </w:r>
          </w:p>
        </w:tc>
      </w:tr>
      <w:tr w14:paraId="36496B2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0E10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本地生成时间线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33879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按日期整理事件顺序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3D3D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仅重排已确认事实，不补造未知日期</w:t>
            </w:r>
          </w:p>
        </w:tc>
      </w:tr>
      <w:tr w14:paraId="69B5AEC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EDF7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本地整理证据清单</w:t>
            </w:r>
          </w:p>
        </w:tc>
        <w:tc>
          <w:tcPr>
            <w:tcW w:w="294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EF5B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按证据类别和归属整理清单</w:t>
            </w:r>
          </w:p>
        </w:tc>
        <w:tc>
          <w:tcPr>
            <w:tcW w:w="408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21077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不判断证据能力或证明力</w:t>
            </w:r>
          </w:p>
        </w:tc>
      </w:tr>
      <w:tr w14:paraId="6E5F35D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2B44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本地生成争点候选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4B54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按事实字段形成争点线索</w:t>
            </w:r>
          </w:p>
        </w:tc>
        <w:tc>
          <w:tcPr>
            <w:tcW w:w="408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D59F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属于候选整理，不构成法律结论</w:t>
            </w:r>
          </w:p>
        </w:tc>
      </w:tr>
    </w:tbl>
    <w:p w14:paraId="3A44F029">
      <w:pPr>
        <w:spacing w:after="160"/>
      </w:pP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6EBAAE9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593E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完成标志</w:t>
            </w:r>
          </w:p>
          <w:p w14:paraId="2EC6F1E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事实清单中的关键内容均已核对，并且每项事实能够回到有效原文位置；无法确认的信息保持待确认或未知。</w:t>
            </w:r>
          </w:p>
        </w:tc>
      </w:tr>
    </w:tbl>
    <w:p w14:paraId="0F463BE2">
      <w:pPr>
        <w:spacing w:after="160"/>
      </w:pPr>
    </w:p>
    <w:p w14:paraId="21AD8AB0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（二）披露方案</w:t>
      </w:r>
    </w:p>
    <w:p w14:paraId="02F9EA13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7592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C3CC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图3-4 披露方案</w:t>
      </w:r>
    </w:p>
    <w:p w14:paraId="6CE00FE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在材料与事实核对完成后，点击“生成披露方案”，进入顶部页签“02 披露方案”。原文和身份映射继续保留在本地。</w:t>
      </w:r>
    </w:p>
    <w:p w14:paraId="3E0A07D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先确认本次任务的目的和子目的，避免为了通用摘要而过度披露。页面提示仅下方披露内容会进入请求，原文和身份映射保留在边侧。</w:t>
      </w:r>
    </w:p>
    <w:p w14:paraId="7BD1DFC3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系统按事实显示必要性、候选处理动作、披露文本、保留理由、信息损失、残余风险和来源入口。截图中可见“条件必要”、稳定代号如 [[LEX-P0001]]、以及“查看依据”。</w:t>
      </w:r>
    </w:p>
    <w:p w14:paraId="79C8BC79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阅读系统给出的规则说明和未知条件，选择与当前任务相符的必要性；在已校验候选中选择保持精度、代号替换、适度模糊化或删除。没有已校验候选时，不自行构造绕过规则的文本。</w:t>
      </w:r>
    </w:p>
    <w:p w14:paraId="6BB5696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确认披露文本只包含获选内容，没有原文、身份映射、未选事实或可反向定位的组合。必要时使用“编辑披露文本”调整表述，并通过“查看依据”回到对应事实和材料。</w:t>
      </w:r>
    </w:p>
    <w:p w14:paraId="78A37662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6.  披露方案生成只完成最小化准备，仍须经过风险检验、人工复核和独立审批，不能把本页理解为已经允许外发。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61"/>
        <w:gridCol w:w="4309"/>
      </w:tblGrid>
      <w:tr w14:paraId="7C7253C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51365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w="306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8F125F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选项</w:t>
            </w:r>
          </w:p>
        </w:tc>
        <w:tc>
          <w:tcPr>
            <w:tcW w:w="4309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11DBC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操作含义</w:t>
            </w:r>
          </w:p>
        </w:tc>
      </w:tr>
      <w:tr w14:paraId="468CDD0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024FD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必要性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08FA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必须 / 条件必要 / 不必要 / 不确定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FB7C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判断该事实是否为当前任务所需；不确定时进入复核，不按通过处理</w:t>
            </w:r>
          </w:p>
        </w:tc>
      </w:tr>
      <w:tr w14:paraId="29A79E96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3DFA1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保持精度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B7381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保留业务判断所需精度</w:t>
            </w:r>
          </w:p>
        </w:tc>
        <w:tc>
          <w:tcPr>
            <w:tcW w:w="430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BA5E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直接身份仍应使用稳定代号一致替换</w:t>
            </w:r>
          </w:p>
        </w:tc>
      </w:tr>
      <w:tr w14:paraId="5D077E9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D848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用代号替换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069B3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以稳定代称替换直接身份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F4CD8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保留同一主体之间的关系，不等于匿名化</w:t>
            </w:r>
          </w:p>
        </w:tc>
      </w:tr>
      <w:tr w14:paraId="61D7BCD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3010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适度模糊化</w:t>
            </w:r>
          </w:p>
        </w:tc>
        <w:tc>
          <w:tcPr>
            <w:tcW w:w="306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3C05A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降低日期、地点、金额等精度</w:t>
            </w:r>
          </w:p>
        </w:tc>
        <w:tc>
          <w:tcPr>
            <w:tcW w:w="430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A2EE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保留任务需要的区间或类别</w:t>
            </w:r>
          </w:p>
        </w:tc>
      </w:tr>
      <w:tr w14:paraId="0E63905C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7127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删除</w:t>
            </w:r>
          </w:p>
        </w:tc>
        <w:tc>
          <w:tcPr>
            <w:tcW w:w="306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3A3FF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不进入请求</w:t>
            </w:r>
          </w:p>
        </w:tc>
        <w:tc>
          <w:tcPr>
            <w:tcW w:w="43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3277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适用于与任务无关或处理条件不满足的事实</w:t>
            </w:r>
          </w:p>
        </w:tc>
      </w:tr>
    </w:tbl>
    <w:p w14:paraId="179EE78B">
      <w:pPr>
        <w:spacing w:after="160"/>
      </w:pP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B51D413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C495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隐私提示</w:t>
            </w:r>
          </w:p>
          <w:p w14:paraId="4334EE1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代号替换用于隐藏直接身份并保持同一主体的稳定关联，但不能自动消除地点、时间、金额、职业、案号等组合线索形成的再识别风险。</w:t>
            </w:r>
          </w:p>
        </w:tc>
      </w:tr>
    </w:tbl>
    <w:p w14:paraId="3E8EF21E">
      <w:pPr>
        <w:spacing w:after="160"/>
      </w:pPr>
    </w:p>
    <w:p w14:paraId="1E9CC75E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（三）风险与审批</w:t>
      </w:r>
    </w:p>
    <w:p w14:paraId="71727A3B">
      <w:pPr>
        <w:spacing w:before="0" w:after="12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本阶段把目标、模型、规则、材料版本、配置版本和实际披露正文冻结为同一请求对象，并完成系统检查、人工复核、审批和执行。下面按四类常见页面状态分别说明。</w:t>
      </w:r>
    </w:p>
    <w:p w14:paraId="24E87947">
      <w:pPr>
        <w:spacing w:before="120" w:after="80" w:line="276" w:lineRule="auto"/>
        <w:jc w:val="left"/>
      </w:pPr>
      <w:r>
        <w:rPr>
          <w:rFonts w:ascii="Arial Unicode MS" w:hAnsi="Arial Unicode MS" w:eastAsia="Arial Unicode MS"/>
          <w:b/>
          <w:color w:val="20332F"/>
          <w:sz w:val="22"/>
        </w:rPr>
        <w:t>1. 边侧风险门禁</w:t>
      </w:r>
    </w:p>
    <w:p w14:paraId="5FBAC8F5">
      <w:pPr>
        <w:keepLines/>
        <w:spacing w:before="120" w:after="80"/>
        <w:jc w:val="center"/>
      </w:pPr>
      <w:r>
        <w:drawing>
          <wp:inline distT="0" distB="0" distL="114300" distR="114300">
            <wp:extent cx="5553710" cy="583184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6C80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图3-5 边侧风险门禁</w:t>
      </w:r>
    </w:p>
    <w:p w14:paraId="761DE09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在披露方案底部选择“检验风险并冻结请求”后，系统进入“03 风险与审批”，并生成完整请求快照。</w:t>
      </w:r>
    </w:p>
    <w:p w14:paraId="545BB4C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页面顶部的当前操作状态、系统初检结果和阻断原因是首先要阅读的内容。截图示例中，边侧模型识别到“唯一岗位或公开事件仍残留”，当前请求不可继续。</w:t>
      </w:r>
    </w:p>
    <w:p w14:paraId="23A96A5E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展开“完整请求快照”，逐项核对目标地址、模型、任务、规则版本、材料版本、配置版本、提示内容和实际披露正文。</w:t>
      </w:r>
    </w:p>
    <w:p w14:paraId="4A2C6162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删除直接标识不等于匿名化。组合线索风险未消除前，不能进入审批或外发流程。如需继续处理，应调整材料或披露后创建关联后继任务，不要把旧审批套用于新内容。</w:t>
      </w:r>
    </w:p>
    <w:p w14:paraId="4DB9AC02">
      <w:pPr>
        <w:spacing w:before="160" w:after="80" w:line="276" w:lineRule="auto"/>
        <w:jc w:val="left"/>
      </w:pPr>
      <w:r>
        <w:rPr>
          <w:rFonts w:ascii="Arial Unicode MS" w:hAnsi="Arial Unicode MS" w:eastAsia="Arial Unicode MS"/>
          <w:b/>
          <w:color w:val="20332F"/>
          <w:sz w:val="22"/>
        </w:rPr>
        <w:t>2. 人工复核</w:t>
      </w:r>
    </w:p>
    <w:p w14:paraId="29F0C716">
      <w:pPr>
        <w:keepLines/>
        <w:spacing w:before="120" w:after="80"/>
        <w:jc w:val="center"/>
      </w:pPr>
      <w:r>
        <w:drawing>
          <wp:inline distT="0" distB="0" distL="114300" distR="114300">
            <wp:extent cx="5553710" cy="583184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2A82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图3-6 人工复核</w:t>
      </w:r>
    </w:p>
    <w:p w14:paraId="514F410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当系统未直接阻断但需要具名判断时，当前操作状态显示“待人工复核，本次请求暂不可继续”。模型初检允许进入复核，不等于授予发送权。</w:t>
      </w:r>
    </w:p>
    <w:p w14:paraId="336F2711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由具有 legal_reviewer 权限的具名账号进入同一案件和当前任务。阅读事实来源、披露必要性、规则依据、系统阻断项、残余关联风险和实际请求正文。</w:t>
      </w:r>
    </w:p>
    <w:p w14:paraId="78638B2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页面会展示完整请求快照、四类攻击运行状态以及“依据与运行边界”。四类攻击或网络隔离显示“待开发”“未完成”时，应保持未完成，不应把配置展示解释为当前请求已经通过。</w:t>
      </w:r>
    </w:p>
    <w:p w14:paraId="37BDB6B1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在人工复核表单中填写允许、否决或暂停的理由，并引用相应事实或证据。技术状态不能替代法学判断。提交后，结论只作用于当前请求。</w:t>
      </w:r>
    </w:p>
    <w:p w14:paraId="79802953">
      <w:pPr>
        <w:spacing w:before="160" w:after="80" w:line="276" w:lineRule="auto"/>
        <w:jc w:val="left"/>
      </w:pPr>
      <w:r>
        <w:rPr>
          <w:rFonts w:ascii="Arial Unicode MS" w:hAnsi="Arial Unicode MS" w:eastAsia="Arial Unicode MS"/>
          <w:b/>
          <w:color w:val="20332F"/>
          <w:sz w:val="22"/>
        </w:rPr>
        <w:t>3. 人工复核否决</w:t>
      </w:r>
    </w:p>
    <w:p w14:paraId="2C52BBCF">
      <w:pPr>
        <w:keepLines/>
        <w:spacing w:before="120" w:after="80"/>
        <w:jc w:val="center"/>
      </w:pPr>
      <w:r>
        <w:drawing>
          <wp:inline distT="0" distB="0" distL="114300" distR="114300">
            <wp:extent cx="5579745" cy="516128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1C0">
      <w:pPr>
        <w:keepLines/>
        <w:spacing w:before="120" w:after="80"/>
        <w:jc w:val="center"/>
      </w:pPr>
      <w:r>
        <w:drawing>
          <wp:inline distT="0" distB="0" distL="114300" distR="114300">
            <wp:extent cx="5579745" cy="5377180"/>
            <wp:effectExtent l="0" t="0" r="825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C316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图3-7 人工复核否决</w:t>
      </w:r>
    </w:p>
    <w:p w14:paraId="7C1BA46A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法学复核人员选择“否决本次请求”并提交后，页面顶部记录“已记录法律复核结论：否决会阻断本次请求，允许结论仍不授予发送权。”</w:t>
      </w:r>
    </w:p>
    <w:p w14:paraId="2C97CE4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当前操作状态变为“人工复核已否决，本次请求不可继续”。后续审批与执行入口关闭。</w:t>
      </w:r>
    </w:p>
    <w:p w14:paraId="60FCA9FD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复核表单需填写解决依据、事实前提、权限判断、外部处理条件、最小化措施、最终依据和适用边界，并勾选已阅读风险提示。</w:t>
      </w:r>
    </w:p>
    <w:p w14:paraId="72B2674A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否决针对当前冻结请求。如需继续处理，必须调整材料后创建并重新检验新的请求；历史初检记录继续保留。</w:t>
      </w:r>
    </w:p>
    <w:p w14:paraId="0D66C7F0">
      <w:pPr>
        <w:spacing w:before="160" w:after="80" w:line="276" w:lineRule="auto"/>
        <w:jc w:val="left"/>
      </w:pPr>
      <w:r>
        <w:rPr>
          <w:rFonts w:ascii="Arial Unicode MS" w:hAnsi="Arial Unicode MS" w:eastAsia="Arial Unicode MS"/>
          <w:b/>
          <w:color w:val="20332F"/>
          <w:sz w:val="22"/>
        </w:rPr>
        <w:t>4. 双重门禁通过，等待独立审批</w:t>
      </w:r>
    </w:p>
    <w:p w14:paraId="7903BDD3">
      <w:pPr>
        <w:keepLines/>
        <w:spacing w:before="120" w:after="80"/>
        <w:jc w:val="center"/>
      </w:pPr>
      <w:r>
        <w:drawing>
          <wp:inline distT="0" distB="0" distL="114300" distR="114300">
            <wp:extent cx="5579745" cy="5161280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17AB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图3-8 双重门禁通过</w:t>
      </w:r>
    </w:p>
    <w:p w14:paraId="6586DE3E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当模型初检未直接阻断、人工复核允许继续当前演示流程时，页面显示人工复核已完成，当前操作状态进入待审批。</w:t>
      </w:r>
    </w:p>
    <w:p w14:paraId="370C4E33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截图中的“法律层面未形成禁止”只说明本次法律层面检查未形成禁止结论，不自动代表全部门禁通过。四类攻击运行若仍为“待开发”，完整风险检验应保持未完成。</w:t>
      </w:r>
    </w:p>
    <w:p w14:paraId="6F24B9C1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由 approver 账号核对接收方、处理目的、模型、规则版本、材料版本和披露正文，批准或拒绝当前完整请求。审批人员不能替代案件操作人员执行发送。</w:t>
      </w:r>
    </w:p>
    <w:p w14:paraId="4D9A502C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批准后由 case_operator 或管理员进入任务，根据任务类型选择“执行任务”“生成本地摘要草稿”或“发送至已批准云端”。按钮文案反映当前任务的实际执行方式。演示环境可能以本地预置结果模拟后续处理，不表示生产环境正式外发已开通。</w:t>
      </w:r>
    </w:p>
    <w:p w14:paraId="1FB6075D">
      <w:pPr>
        <w:spacing w:before="160" w:after="80" w:line="276" w:lineRule="auto"/>
        <w:jc w:val="left"/>
      </w:pPr>
      <w:r>
        <w:rPr>
          <w:rFonts w:ascii="Arial Unicode MS" w:hAnsi="Arial Unicode MS" w:eastAsia="Arial Unicode MS"/>
          <w:b/>
          <w:color w:val="20332F"/>
          <w:sz w:val="22"/>
        </w:rPr>
        <w:t>5. 主动停止</w:t>
      </w:r>
    </w:p>
    <w:p w14:paraId="126199A3">
      <w:pPr>
        <w:keepLines/>
        <w:spacing w:before="120" w:after="80"/>
        <w:jc w:val="center"/>
      </w:pPr>
      <w:r>
        <w:drawing>
          <wp:inline distT="0" distB="0" distL="114300" distR="114300">
            <wp:extent cx="5553710" cy="58318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4FC6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图3-9 主动停止</w:t>
      </w:r>
    </w:p>
    <w:p w14:paraId="61D79B10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材料不足或处理条件不满足时，案件操作人员可在风险与审批页选择“停止任务”。</w:t>
      </w:r>
    </w:p>
    <w:p w14:paraId="743CA8EB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当前操作状态变为“任务已主动停止，本次请求不可继续”。系统保留请求哈希、风险结果和操作记录。</w:t>
      </w:r>
    </w:p>
    <w:p w14:paraId="6685D1AC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停止后的原请求不可继续执行。如需恢复处理，应补齐材料并新建任务重新检验。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402"/>
        <w:gridCol w:w="3742"/>
      </w:tblGrid>
      <w:tr w14:paraId="24C2BAC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64AA4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页面状态</w:t>
            </w:r>
          </w:p>
        </w:tc>
        <w:tc>
          <w:tcPr>
            <w:tcW w:w="340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D793F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w="3742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C06F4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应采取的操作</w:t>
            </w:r>
          </w:p>
        </w:tc>
      </w:tr>
      <w:tr w14:paraId="1148850C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057B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待人工复核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09DB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系统未直接阻断，但需要具名人员判断</w:t>
            </w:r>
          </w:p>
        </w:tc>
        <w:tc>
          <w:tcPr>
            <w:tcW w:w="37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94E9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由法学复核人员检查并提交结论</w:t>
            </w:r>
          </w:p>
        </w:tc>
      </w:tr>
      <w:tr w14:paraId="1A96758D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C33DF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已暂停 / 已阻断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95FF8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当前请求不能继续</w:t>
            </w:r>
          </w:p>
        </w:tc>
        <w:tc>
          <w:tcPr>
            <w:tcW w:w="374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F616D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阅读原因；修改材料或披露后创建关联后继任务</w:t>
            </w:r>
          </w:p>
        </w:tc>
      </w:tr>
      <w:tr w14:paraId="14F35F0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970B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人工复核已否决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06236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法学复核人员不允许当前请求继续</w:t>
            </w:r>
          </w:p>
        </w:tc>
        <w:tc>
          <w:tcPr>
            <w:tcW w:w="37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1F28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保留意见；调整内容后新建任务</w:t>
            </w:r>
          </w:p>
        </w:tc>
      </w:tr>
      <w:tr w14:paraId="20441EC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E352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已批准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6927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审批人员批准当前冻结版本</w:t>
            </w:r>
          </w:p>
        </w:tc>
        <w:tc>
          <w:tcPr>
            <w:tcW w:w="374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8383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由案件操作人员执行；批准不等于已发送</w:t>
            </w:r>
          </w:p>
        </w:tc>
      </w:tr>
      <w:tr w14:paraId="34D07F0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BD99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排队 / 执行中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F95C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任务已进入执行链路</w:t>
            </w:r>
          </w:p>
        </w:tc>
        <w:tc>
          <w:tcPr>
            <w:tcW w:w="37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4140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等待状态更新，不重复执行</w:t>
            </w:r>
          </w:p>
        </w:tc>
      </w:tr>
      <w:tr w14:paraId="42B014A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87EB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完成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FE72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执行任务已结束并产生结果</w:t>
            </w:r>
          </w:p>
        </w:tc>
        <w:tc>
          <w:tcPr>
            <w:tcW w:w="374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E7FA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进入摘要与回链完成人工确认</w:t>
            </w:r>
          </w:p>
        </w:tc>
      </w:tr>
      <w:tr w14:paraId="30F5A59C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392F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状态不明 / 失败</w:t>
            </w:r>
          </w:p>
        </w:tc>
        <w:tc>
          <w:tcPr>
            <w:tcW w:w="34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C0E63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执行结果无法确定或任务失败</w:t>
            </w:r>
          </w:p>
        </w:tc>
        <w:tc>
          <w:tcPr>
            <w:tcW w:w="37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819CE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先查事件和账本，不盲目重发</w:t>
            </w:r>
          </w:p>
        </w:tc>
      </w:tr>
      <w:tr w14:paraId="6DE786E6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B44C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依据已变化</w:t>
            </w:r>
          </w:p>
        </w:tc>
        <w:tc>
          <w:tcPr>
            <w:tcW w:w="340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4AE0B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材料、规则或配置与任务快照不一致</w:t>
            </w:r>
          </w:p>
        </w:tc>
        <w:tc>
          <w:tcPr>
            <w:tcW w:w="3742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A64B6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新建任务并重新完成检查与审批</w:t>
            </w:r>
          </w:p>
        </w:tc>
      </w:tr>
    </w:tbl>
    <w:p w14:paraId="56E4D440">
      <w:pPr>
        <w:spacing w:after="160"/>
      </w:pP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9CCBEEC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6533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未完成即保持关闭</w:t>
            </w:r>
          </w:p>
          <w:p w14:paraId="21F4C0C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风险攻击或网络隔离在当前部署中未运行、未配置、不可用或仍待建设时，应保持未完成状态，不应把配置展示或历史记录解释为当前请求已经通过。正式外部处理除当前请求的人工复核与批准外，还可能要求有效规则、法学证据、服务商档案、风险检查、隔离验证和一次性许可。</w:t>
            </w:r>
          </w:p>
        </w:tc>
      </w:tr>
    </w:tbl>
    <w:p w14:paraId="780C39D6">
      <w:pPr>
        <w:spacing w:after="160"/>
      </w:pPr>
    </w:p>
    <w:p w14:paraId="544B81E7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（四）摘要与回链</w:t>
      </w:r>
    </w:p>
    <w:p w14:paraId="601E3FD9">
      <w:pPr>
        <w:keepLines/>
        <w:spacing w:before="120" w:after="80"/>
        <w:jc w:val="center"/>
      </w:pPr>
      <w:r>
        <w:drawing>
          <wp:inline distT="0" distB="0" distL="114300" distR="114300">
            <wp:extent cx="5332095" cy="5831840"/>
            <wp:effectExtent l="0" t="0" r="190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114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2022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图3-10 摘要与来源回链</w:t>
      </w:r>
    </w:p>
    <w:p w14:paraId="1D391B4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任务完成后选择“查看摘要与回链”，或直接打开“04 摘要与回链”。</w:t>
      </w:r>
    </w:p>
    <w:p w14:paraId="190EE700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确认页面标注的是本地确定性结果、外部服务回写结果或其他运行来源。不同来源的结果不得混写。演示截图中可见“本地预置结果”和“云边回写 / 外发事实项已被引用”等来源标记。</w:t>
      </w:r>
    </w:p>
    <w:p w14:paraId="7289E1B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逐条查看云端陈述、边侧复原、实际外发支持事实、原文锚点和材料段落。结果缺少来源时，不应直接确认。</w:t>
      </w:r>
    </w:p>
    <w:p w14:paraId="0F937F0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点击“回到原文”，定位原文段落、页码、单元格或时间码，核对主体、时间、金额、立场和程序结果。</w:t>
      </w:r>
    </w:p>
    <w:p w14:paraId="7DA18F1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验收时应确保主体没有互换，稳定代称没有在不同主体之间复用；当事人主张、对方否认、法院认定和程序结果保持原有层级；未知信息继续保持未知。</w:t>
      </w:r>
    </w:p>
    <w:p w14:paraId="55A917C1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6.  默认导出面向披露结果的云端视图。包含真实身份、映射和原文锚点的内部复核包仅用于受控本地复核，并应按系统提示完成逐项确认和具名二次确认。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28"/>
        <w:gridCol w:w="3628"/>
      </w:tblGrid>
      <w:tr w14:paraId="6A0732F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E306B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检查项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D4DC1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通过标准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0D2905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不通过时</w:t>
            </w:r>
          </w:p>
        </w:tc>
      </w:tr>
      <w:tr w14:paraId="7E20939E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C6EDA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事实一致性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776A1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主体、关系、事件、日期、金额与来源一致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B079D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返回事实卡修订并新建任务</w:t>
            </w:r>
          </w:p>
        </w:tc>
      </w:tr>
      <w:tr w14:paraId="2F0D2F0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D87D1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表达层级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F337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主张、否认、认定和程序结果区分明确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A13F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修改披露或结果，不合并表述</w:t>
            </w:r>
          </w:p>
        </w:tc>
      </w:tr>
      <w:tr w14:paraId="4E3A77B7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35CEA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来源完整性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C44E7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每条关键陈述可回到事实和原文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B074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保留缺口，不确认最终结果</w:t>
            </w:r>
          </w:p>
        </w:tc>
      </w:tr>
      <w:tr w14:paraId="6A80566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29E4F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披露边界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75B74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结果未带回未批准的原文或身份信息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F7BF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停止确认并复核请求与执行记录</w:t>
            </w:r>
          </w:p>
        </w:tc>
      </w:tr>
    </w:tbl>
    <w:p w14:paraId="0363F1B3">
      <w:pPr>
        <w:spacing w:after="160"/>
      </w:pPr>
    </w:p>
    <w:p w14:paraId="52988006"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174C43"/>
          <w:sz w:val="27"/>
        </w:rPr>
        <w:t>法学与治理</w:t>
      </w:r>
    </w:p>
    <w:p w14:paraId="00474A56">
      <w:pPr>
        <w:spacing w:before="0" w:after="120" w:line="276" w:lineRule="auto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这些模块为案件流程提供规则、证据、服务条件、环境能力和账号权限。入口是否可见取决于当前角色。</w:t>
      </w:r>
    </w:p>
    <w:p w14:paraId="6B51B7B1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（一）法学规则中心</w:t>
      </w:r>
    </w:p>
    <w:p w14:paraId="59F72956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731260"/>
            <wp:effectExtent l="0" t="0" r="825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F686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图3-11 法学规则中心</w:t>
      </w:r>
    </w:p>
    <w:p w14:paraId="3A39912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在左侧导航选择“法学规则中心”。页面展示当前案件使用的字段处理规则、人工复核条件与攻击协议。</w:t>
      </w:r>
    </w:p>
    <w:p w14:paraId="2B17B04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上方“任务能力”列出事实摘要、时间线、证据整理、争点提取等任务及其版本状态。规则命中只形成提示或门禁结果，不能代替具名人工复核与审批。</w:t>
      </w:r>
    </w:p>
    <w:p w14:paraId="0537397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下方“案由知识包”显示适用案件类型、字段矩阵覆盖率和规则配置状态。准备、法学复核和发布是独立操作；规则发布仅使规则进入后续门禁，不批准任何具体请求。</w:t>
      </w:r>
    </w:p>
    <w:p w14:paraId="7BB8ED4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规则未达到当前任务要求时，正式请求保持关闭。</w:t>
      </w:r>
    </w:p>
    <w:p w14:paraId="45FBB9ED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（二）法学证据登记</w:t>
      </w:r>
    </w:p>
    <w:p w14:paraId="77FD4BD2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661410"/>
            <wp:effectExtent l="0" t="0" r="825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CF9C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图3-12 法学证据登记</w:t>
      </w:r>
    </w:p>
    <w:p w14:paraId="0C37C28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在左侧导航选择“法学证据登记”，为正式案件保存受控法学表格、签署材料或其他依据。</w:t>
      </w:r>
    </w:p>
    <w:p w14:paraId="23D1302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上传只登记文件和哈希，不自动表示已经核验、已经发布或允许外部处理。复核人员可将记录标记为待补正或证据已核齐，并保留意见。</w:t>
      </w:r>
    </w:p>
    <w:p w14:paraId="0C3B884D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若页面显示“暂无正式案件”，应先在案件工作台建立正式案件，再登记法学表格。演示截图只展示登记能力，不将合成材料表述为真实验收证据。</w:t>
      </w:r>
    </w:p>
    <w:p w14:paraId="27CE17C3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（三）服务商治理</w:t>
      </w:r>
    </w:p>
    <w:p w14:paraId="37B9377E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661410"/>
            <wp:effectExtent l="0" t="0" r="825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FDBA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图3-13 服务商治理</w:t>
      </w:r>
    </w:p>
    <w:p w14:paraId="12832E9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在左侧导航选择“服务商治理”，登记外部服务的合同主体、处理地区、留存期限、删除机制、训练用途、人工访问、分包和允许任务。</w:t>
      </w:r>
    </w:p>
    <w:p w14:paraId="01063D0D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点击“新建档案”创建服务商记录，或打开已有档案查看与编辑。档案关键字段变化后应重新复核。</w:t>
      </w:r>
    </w:p>
    <w:p w14:paraId="6C51A5B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页面中的“已配置”只表示档案字段存在。服务商档案可用不等于具体案件获得授权，也不自动授予外发权限。</w:t>
      </w:r>
    </w:p>
    <w:p w14:paraId="6E336CE5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（四）隔离实验</w:t>
      </w:r>
    </w:p>
    <w:p w14:paraId="5E6AAE24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661410"/>
            <wp:effectExtent l="0" t="0" r="825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7484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图3-14 隔离实验</w:t>
      </w:r>
    </w:p>
    <w:p w14:paraId="30A1C2D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在左侧导航选择“隔离实验”。该模块用于在受控环境中组织身份恢复、候选集合缩小、敏感事实推断和跨轮关联等检查。</w:t>
      </w:r>
    </w:p>
    <w:p w14:paraId="1D56777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实验必须绑定当前请求、环境和输入；历史结果不能自动替代本次检查。</w:t>
      </w:r>
    </w:p>
    <w:p w14:paraId="5E4F11A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截图所示部署中，网络隔离、独立风险攻击与研究工具标记为“待开发”。尚未完成的能力应按页面状态如实对待，不以普通规则检验冒充独立隔离实验。</w:t>
      </w:r>
    </w:p>
    <w:p w14:paraId="7F7BB26B"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174C43"/>
          <w:sz w:val="27"/>
        </w:rPr>
        <w:t>系统设置</w:t>
      </w:r>
    </w:p>
    <w:p w14:paraId="731E941E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（一）运行配置</w:t>
      </w:r>
    </w:p>
    <w:p w14:paraId="1E223F81">
      <w:pPr>
        <w:keepLines/>
        <w:spacing w:before="120" w:after="80"/>
        <w:jc w:val="center"/>
      </w:pPr>
      <w:r>
        <w:drawing>
          <wp:inline distT="0" distB="0" distL="114300" distR="114300">
            <wp:extent cx="4698365" cy="5831840"/>
            <wp:effectExtent l="0" t="0" r="63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8489" cy="5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E39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图3-15 运行配置</w:t>
      </w:r>
    </w:p>
    <w:p w14:paraId="4F2BE15B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管理员进入左侧“运行配置”，查看边侧小模型、云端网关、本地 OCR、本机转写、风险攻击、网络隔离等能力状态。</w:t>
      </w:r>
    </w:p>
    <w:p w14:paraId="28B5BB3B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“已开发”表示该能力在当前构建中存在；“待开发”必须保持未完成，不能把状态卡片当作本次请求的通过证明。</w:t>
      </w:r>
    </w:p>
    <w:p w14:paraId="1F6E0C3C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在下方核对边侧处理服务地址、云端主备模型、服务商档案、处理预算等参数。界面中的 API 密钥应为掩码；云端密钥只应配置在外发网关或受控环境变量中。</w:t>
      </w:r>
    </w:p>
    <w:p w14:paraId="1FD241D0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修改后点击“保存运行配置”。配置变化会使引用旧配置的任务失效，需要重新创建任务。</w:t>
      </w:r>
    </w:p>
    <w:p w14:paraId="14BBEC83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（二）本地用户与角色</w:t>
      </w:r>
    </w:p>
    <w:p w14:paraId="5C54384D">
      <w:pPr>
        <w:keepLines/>
        <w:spacing w:before="120" w:after="80"/>
        <w:jc w:val="center"/>
      </w:pPr>
      <w:r>
        <w:drawing>
          <wp:inline distT="0" distB="0" distL="114300" distR="114300">
            <wp:extent cx="5579745" cy="3661410"/>
            <wp:effectExtent l="0" t="0" r="825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442E">
      <w:pPr>
        <w:spacing w:before="40" w:after="160"/>
        <w:jc w:val="center"/>
      </w:pPr>
      <w:r>
        <w:rPr>
          <w:rFonts w:ascii="Arial Unicode MS" w:hAnsi="Arial Unicode MS" w:eastAsia="Arial Unicode MS"/>
          <w:b/>
          <w:color w:val="174C43"/>
          <w:sz w:val="20"/>
        </w:rPr>
        <w:t>图3-16 本地用户与角色</w:t>
      </w:r>
    </w:p>
    <w:p w14:paraId="2CF2E2A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管理员进入“本地用户”，查看人员、用户名、角色和启停状态。系统保护最后一个管理员账号，避免失去管理入口。</w:t>
      </w:r>
    </w:p>
    <w:p w14:paraId="00907E1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可创建账号、调整角色并启用或停用用户。角色变更和停用对后续请求生效；已有审计记录继续保留原操作主体。</w:t>
      </w:r>
    </w:p>
    <w:p w14:paraId="3DCF8FA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案件操作、法学复核、独立审批和执行发送应使用对应角色完成，避免由同一普通角色越权走完整条链路。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48C0256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F268A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w="6690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E8551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典型权限</w:t>
            </w:r>
          </w:p>
        </w:tc>
      </w:tr>
      <w:tr w14:paraId="42947FB3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4C0B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admin</w:t>
            </w:r>
          </w:p>
        </w:tc>
        <w:tc>
          <w:tcPr>
            <w:tcW w:w="66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075C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管理账号、运行配置和治理模块；可执行受控管理操作</w:t>
            </w:r>
          </w:p>
        </w:tc>
      </w:tr>
      <w:tr w14:paraId="62B5B9C8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878E9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case_operator</w:t>
            </w:r>
          </w:p>
        </w:tc>
        <w:tc>
          <w:tcPr>
            <w:tcW w:w="6690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A739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建立案件、上传材料、整理事实、建立任务和执行获准任务</w:t>
            </w:r>
          </w:p>
        </w:tc>
      </w:tr>
      <w:tr w14:paraId="3D44DF2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4F358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technical_reviewer</w:t>
            </w:r>
          </w:p>
        </w:tc>
        <w:tc>
          <w:tcPr>
            <w:tcW w:w="66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E08E2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维护技术检查、风险与隔离相关记录</w:t>
            </w:r>
          </w:p>
        </w:tc>
      </w:tr>
      <w:tr w14:paraId="0FDFA90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46D2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legal_reviewer</w:t>
            </w:r>
          </w:p>
        </w:tc>
        <w:tc>
          <w:tcPr>
            <w:tcW w:w="6690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D5DAB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复核规则、法学证据、披露必要性和结果表达</w:t>
            </w:r>
          </w:p>
        </w:tc>
      </w:tr>
      <w:tr w14:paraId="1C59910D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3E784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approver</w:t>
            </w:r>
          </w:p>
        </w:tc>
        <w:tc>
          <w:tcPr>
            <w:tcW w:w="66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B57C1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阅读完整请求并批准或拒绝当前版本</w:t>
            </w:r>
          </w:p>
        </w:tc>
      </w:tr>
    </w:tbl>
    <w:p w14:paraId="3387DDFA">
      <w:pPr>
        <w:spacing w:after="160"/>
      </w:pPr>
    </w:p>
    <w:p w14:paraId="287389CA">
      <w:r>
        <w:br w:type="page"/>
      </w:r>
    </w:p>
    <w:p w14:paraId="102436FC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四、输出、留痕与异常处理</w:t>
      </w:r>
    </w:p>
    <w:p w14:paraId="32107B5B">
      <w:pPr>
        <w:spacing w:before="0" w:after="120" w:line="276" w:lineRule="auto"/>
        <w:ind w:firstLine="420"/>
        <w:jc w:val="left"/>
      </w:pPr>
      <w:r>
        <w:rPr>
          <w:rFonts w:ascii="Arial Unicode MS" w:hAnsi="Arial Unicode MS" w:eastAsia="Arial Unicode MS"/>
          <w:b w:val="0"/>
          <w:color w:val="20332F"/>
          <w:sz w:val="21"/>
        </w:rPr>
        <w:t>系统按阶段产生中间产物，并以事件记录重建一次完整处理过程。</w:t>
      </w:r>
    </w:p>
    <w:p w14:paraId="6B7808AF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主要输入与输出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28"/>
        <w:gridCol w:w="3628"/>
      </w:tblGrid>
      <w:tr w14:paraId="1C2DAD3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53D97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E6CF1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主要输入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92B9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主要输出</w:t>
            </w:r>
          </w:p>
        </w:tc>
      </w:tr>
      <w:tr w14:paraId="6CA76A1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5504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材料解析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6EC2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文档、表格、图片、音视频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95335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材料版本、段落、锚点、解析状态</w:t>
            </w:r>
          </w:p>
        </w:tc>
      </w:tr>
      <w:tr w14:paraId="380A2F3E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C0F8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事实整理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074F3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解析内容和人工补充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66F5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事实卡、确认状态、来源列表</w:t>
            </w:r>
          </w:p>
        </w:tc>
      </w:tr>
      <w:tr w14:paraId="50B5693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0736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披露控制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7FAF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事实、任务目的和规则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3F81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必要性、处理动作、披露文本、残余风险</w:t>
            </w:r>
          </w:p>
        </w:tc>
      </w:tr>
      <w:tr w14:paraId="167B6ADC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4CC51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请求冻结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E79A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披露内容、目标和配置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6D62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完整请求快照与请求哈希</w:t>
            </w:r>
          </w:p>
        </w:tc>
      </w:tr>
      <w:tr w14:paraId="3B8A866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251AD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风险审批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62909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请求快照与治理状态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D33B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阻断原因、复核记录、批准记录</w:t>
            </w:r>
          </w:p>
        </w:tc>
      </w:tr>
      <w:tr w14:paraId="728CB1E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DEB35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执行与回链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0B0D9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获准请求及执行结果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5E209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结果、引用关系、缺口、未使用事实</w:t>
            </w:r>
          </w:p>
        </w:tc>
      </w:tr>
      <w:tr w14:paraId="6A2D9F6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95BF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审计导出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5800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案件事件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7529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事件编号、时间、主体、类型和元数据</w:t>
            </w:r>
          </w:p>
        </w:tc>
      </w:tr>
    </w:tbl>
    <w:p w14:paraId="2EB22979">
      <w:pPr>
        <w:spacing w:after="160"/>
      </w:pPr>
    </w:p>
    <w:p w14:paraId="2C14A0FB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审计事件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28"/>
        <w:gridCol w:w="3628"/>
      </w:tblGrid>
      <w:tr w14:paraId="5BB7F51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FBB76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BE67D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w="36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FD6325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核对要点</w:t>
            </w:r>
          </w:p>
        </w:tc>
      </w:tr>
      <w:tr w14:paraId="46922E2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8D49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事件编号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65AB2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事件的唯一标识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0E012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不能用列表顺序代替</w:t>
            </w:r>
          </w:p>
        </w:tc>
      </w:tr>
      <w:tr w14:paraId="24ACA61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E92A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发生时间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F0B6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带时区的具体时间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1EAE6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用于判断先后关系和有效期</w:t>
            </w:r>
          </w:p>
        </w:tc>
      </w:tr>
      <w:tr w14:paraId="350B990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5539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操作主体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9CEE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执行操作的用户或系统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C819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区分系统动作与具名业务角色</w:t>
            </w:r>
          </w:p>
        </w:tc>
      </w:tr>
      <w:tr w14:paraId="73E24D36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3CDD4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事件类型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D59E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发生了什么操作</w:t>
            </w:r>
          </w:p>
        </w:tc>
        <w:tc>
          <w:tcPr>
            <w:tcW w:w="36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22CA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事件名称不等于业务结论</w:t>
            </w:r>
          </w:p>
        </w:tc>
      </w:tr>
      <w:tr w14:paraId="05CE74D1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C7BA8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元数据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332E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材料、任务、请求和版本上下文</w:t>
            </w:r>
          </w:p>
        </w:tc>
        <w:tc>
          <w:tcPr>
            <w:tcW w:w="36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71A9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缺少关联字段时不得自行补齐</w:t>
            </w:r>
          </w:p>
        </w:tc>
      </w:tr>
    </w:tbl>
    <w:p w14:paraId="1036B093">
      <w:pPr>
        <w:spacing w:after="160"/>
      </w:pPr>
    </w:p>
    <w:p w14:paraId="6C724525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常见异常及处理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835"/>
      </w:tblGrid>
      <w:tr w14:paraId="06C432A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19E0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现象</w:t>
            </w:r>
          </w:p>
        </w:tc>
        <w:tc>
          <w:tcPr>
            <w:tcW w:w="3969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BB4B2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处理建议</w:t>
            </w:r>
          </w:p>
        </w:tc>
        <w:tc>
          <w:tcPr>
            <w:tcW w:w="2835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A15980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应保留内容</w:t>
            </w:r>
          </w:p>
        </w:tc>
      </w:tr>
      <w:tr w14:paraId="5A1EC33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C4C8E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上传成功但解析失败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B051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检查格式、截断、图片文字层和文件大小；修复后重试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CFF0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材料版本、错误信息、原始文件</w:t>
            </w:r>
          </w:p>
        </w:tc>
      </w:tr>
      <w:tr w14:paraId="0FDD21C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4BD9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解析完成但事实抽取失败</w:t>
            </w:r>
          </w:p>
        </w:tc>
        <w:tc>
          <w:tcPr>
            <w:tcW w:w="396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FE7FE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不要把解析完成当作事实完成；修复响应或格式后新建任务</w:t>
            </w:r>
          </w:p>
        </w:tc>
        <w:tc>
          <w:tcPr>
            <w:tcW w:w="283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7EA1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解析结果、抽取错误、任务编号</w:t>
            </w:r>
          </w:p>
        </w:tc>
      </w:tr>
      <w:tr w14:paraId="0F63785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A7F70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事实来源显示已更新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9D81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重新核对事实与新材料版本，生成新的披露任务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18568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旧事实、旧任务和变化记录</w:t>
            </w:r>
          </w:p>
        </w:tc>
      </w:tr>
      <w:tr w14:paraId="34A3358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5960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风险检查未运行或不确定</w:t>
            </w:r>
          </w:p>
        </w:tc>
        <w:tc>
          <w:tcPr>
            <w:tcW w:w="396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028C9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对当前请求重新执行检查；未运行不按通过</w:t>
            </w:r>
          </w:p>
        </w:tc>
        <w:tc>
          <w:tcPr>
            <w:tcW w:w="283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038CE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协议、环境、输入和检查结果</w:t>
            </w:r>
          </w:p>
        </w:tc>
      </w:tr>
      <w:tr w14:paraId="2B954B40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EED1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规则或服务商条件不完整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56B4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由相应责任人补齐档案、复核或发布记录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882B5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规则版本、档案版本和复核记录</w:t>
            </w:r>
          </w:p>
        </w:tc>
      </w:tr>
      <w:tr w14:paraId="4BD5293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FA40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人工复核不通过</w:t>
            </w:r>
          </w:p>
        </w:tc>
        <w:tc>
          <w:tcPr>
            <w:tcW w:w="396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C4358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按意见减少披露、降低精度或补充依据后新建后继任务</w:t>
            </w:r>
          </w:p>
        </w:tc>
        <w:tc>
          <w:tcPr>
            <w:tcW w:w="283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FF501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复核人、意见、请求版本和时间</w:t>
            </w:r>
          </w:p>
        </w:tc>
      </w:tr>
      <w:tr w14:paraId="4AF0349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6E96D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执行超时或状态不明</w:t>
            </w:r>
          </w:p>
        </w:tc>
        <w:tc>
          <w:tcPr>
            <w:tcW w:w="39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26EC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先查事件和网关账本，不盲目重发或切换目标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947E0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请求标识、时间、状态及后续核验</w:t>
            </w:r>
          </w:p>
        </w:tc>
      </w:tr>
      <w:tr w14:paraId="2F11EDD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EC99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输出缺少来源或存在冲突</w:t>
            </w:r>
          </w:p>
        </w:tc>
        <w:tc>
          <w:tcPr>
            <w:tcW w:w="3969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9F67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返回事实与材料阶段复核，不确认结果</w:t>
            </w:r>
          </w:p>
        </w:tc>
        <w:tc>
          <w:tcPr>
            <w:tcW w:w="2835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6A7CC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冲突项、来源、人工处置</w:t>
            </w:r>
          </w:p>
        </w:tc>
      </w:tr>
    </w:tbl>
    <w:p w14:paraId="07FA09DF">
      <w:pPr>
        <w:spacing w:after="160"/>
      </w:pPr>
    </w:p>
    <w:tbl>
      <w:tblPr>
        <w:tblStyle w:val="32"/>
        <w:tblW w:w="0" w:type="auto"/>
        <w:jc w:val="center"/>
        <w:tblBorders>
          <w:top w:val="single" w:color="E6D3A3" w:sz="4" w:space="0"/>
          <w:left w:val="single" w:color="E6D3A3" w:sz="4" w:space="0"/>
          <w:bottom w:val="single" w:color="E6D3A3" w:sz="4" w:space="0"/>
          <w:right w:val="single" w:color="E6D3A3" w:sz="4" w:space="0"/>
          <w:insideH w:val="single" w:color="E6D3A3" w:sz="4" w:space="0"/>
          <w:insideV w:val="single" w:color="E6D3A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B8780E8">
        <w:tblPrEx>
          <w:tblBorders>
            <w:top w:val="single" w:color="E6D3A3" w:sz="4" w:space="0"/>
            <w:left w:val="single" w:color="E6D3A3" w:sz="4" w:space="0"/>
            <w:bottom w:val="single" w:color="E6D3A3" w:sz="4" w:space="0"/>
            <w:right w:val="single" w:color="E6D3A3" w:sz="4" w:space="0"/>
            <w:insideH w:val="single" w:color="E6D3A3" w:sz="4" w:space="0"/>
            <w:insideV w:val="single" w:color="E6D3A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FF4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D312"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正式使用建议</w:t>
            </w:r>
          </w:p>
          <w:p w14:paraId="3286E97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A66800"/>
                <w:sz w:val="19"/>
              </w:rPr>
              <w:t>以当前部署说明、有效规则、已核验服务商档案和组织制度为准。遇到状态冲突时，以当前请求快照、具名复核记录和审计事件为依据。</w:t>
            </w:r>
          </w:p>
        </w:tc>
      </w:tr>
    </w:tbl>
    <w:p w14:paraId="65F5A550">
      <w:pPr>
        <w:spacing w:after="160"/>
      </w:pPr>
    </w:p>
    <w:p w14:paraId="2DCE6786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适用范围</w:t>
      </w:r>
    </w:p>
    <w:p w14:paraId="7CCDE8FC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法律文书、合同、证据清单和案件材料的本地整理与来源定位。</w:t>
      </w:r>
    </w:p>
    <w:p w14:paraId="4B6137A2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围绕明确任务目的形成逐项披露方案并完成具名人工复核。</w:t>
      </w:r>
    </w:p>
    <w:p w14:paraId="45C4464A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在调用外部服务前检查规则、服务商、风险、隔离和审批状态。</w:t>
      </w:r>
    </w:p>
    <w:p w14:paraId="5A29ADBC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对本地结果或外部回写结果进行来源区分、逐句回链和人工确认。</w:t>
      </w:r>
    </w:p>
    <w:p w14:paraId="7C7DC2B0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通过事件日志重建材料、事实、披露、风险、批准和执行过程。</w:t>
      </w:r>
    </w:p>
    <w:p w14:paraId="06FA0A77">
      <w:pPr>
        <w:keepNext/>
        <w:spacing w:before="160" w:after="80"/>
      </w:pPr>
      <w:r>
        <w:rPr>
          <w:rFonts w:ascii="Arial Unicode MS" w:hAnsi="Arial Unicode MS" w:eastAsia="Arial Unicode MS"/>
          <w:b/>
          <w:color w:val="20332F"/>
          <w:sz w:val="24"/>
        </w:rPr>
        <w:t>使用限制</w:t>
      </w:r>
    </w:p>
    <w:p w14:paraId="0E58DBBF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系统不是自动法律裁判工具，输出不能替代律师意见、组织授权或审批责任。</w:t>
      </w:r>
    </w:p>
    <w:p w14:paraId="651B166D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代号替换和适度模糊化可以降低直接识别风险，但不自动等于匿名化或零风险。</w:t>
      </w:r>
    </w:p>
    <w:p w14:paraId="13738832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页面状态反映当前材料、规则、配置和任务；关键输入变化会使历史任务失效。</w:t>
      </w:r>
    </w:p>
    <w:p w14:paraId="63C020AB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批准、执行完成和结果确认是不同事件，应分别核对。</w:t>
      </w:r>
    </w:p>
    <w:p w14:paraId="5C3C00DA">
      <w:pPr>
        <w:spacing w:after="60"/>
        <w:ind w:left="425" w:hanging="210"/>
      </w:pPr>
      <w:r>
        <w:rPr>
          <w:rFonts w:ascii="Arial Unicode MS" w:hAnsi="Arial Unicode MS" w:eastAsia="Arial Unicode MS"/>
          <w:b w:val="0"/>
          <w:color w:val="20332F"/>
          <w:sz w:val="21"/>
        </w:rPr>
        <w:t>•  界面功能存在、服务已配置或单次任务成功，均不能直接推出长期可用率、准确率或风险为零。</w:t>
      </w:r>
    </w:p>
    <w:p w14:paraId="7768E833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附录 A  术语说明</w:t>
      </w:r>
    </w:p>
    <w:tbl>
      <w:tblPr>
        <w:tblStyle w:val="32"/>
        <w:tblW w:w="0" w:type="auto"/>
        <w:jc w:val="center"/>
        <w:tblBorders>
          <w:top w:val="single" w:color="C5D2CD" w:sz="4" w:space="0"/>
          <w:left w:val="single" w:color="C5D2CD" w:sz="4" w:space="0"/>
          <w:bottom w:val="single" w:color="C5D2CD" w:sz="4" w:space="0"/>
          <w:right w:val="single" w:color="C5D2CD" w:sz="4" w:space="0"/>
          <w:insideH w:val="single" w:color="C5D2CD" w:sz="4" w:space="0"/>
          <w:insideV w:val="single" w:color="C5D2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143"/>
      </w:tblGrid>
      <w:tr w14:paraId="4CB0E1D4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0D687E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术语</w:t>
            </w:r>
          </w:p>
        </w:tc>
        <w:tc>
          <w:tcPr>
            <w:tcW w:w="7143" w:type="dxa"/>
            <w:shd w:val="clear" w:color="auto" w:fill="174C43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AA698"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 w14:paraId="3AAAC8E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324B2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边侧</w:t>
            </w:r>
          </w:p>
        </w:tc>
        <w:tc>
          <w:tcPr>
            <w:tcW w:w="71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47FF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保存原始材料、身份映射和内部复核信息的本地环境</w:t>
            </w:r>
          </w:p>
        </w:tc>
      </w:tr>
      <w:tr w14:paraId="11BDD57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B51F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事实卡</w:t>
            </w:r>
          </w:p>
        </w:tc>
        <w:tc>
          <w:tcPr>
            <w:tcW w:w="7143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A8AF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从材料中整理出的可独立核对命题，带有类型、确认状态和来源锚点</w:t>
            </w:r>
          </w:p>
        </w:tc>
      </w:tr>
      <w:tr w14:paraId="569C075A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FD37E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披露方案</w:t>
            </w:r>
          </w:p>
        </w:tc>
        <w:tc>
          <w:tcPr>
            <w:tcW w:w="71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0053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对每项事实的必要性、精度、处理动作、理由和残余风险记录</w:t>
            </w:r>
          </w:p>
        </w:tc>
      </w:tr>
      <w:tr w14:paraId="05FB517F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8083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请求快照</w:t>
            </w:r>
          </w:p>
        </w:tc>
        <w:tc>
          <w:tcPr>
            <w:tcW w:w="7143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146A3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提交审批前冻结的目标、模型、披露正文、规则、材料和配置版本</w:t>
            </w:r>
          </w:p>
        </w:tc>
      </w:tr>
      <w:tr w14:paraId="06003352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0002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来源回链</w:t>
            </w:r>
          </w:p>
        </w:tc>
        <w:tc>
          <w:tcPr>
            <w:tcW w:w="71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01DB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从结果或事实返回边侧原文位置的关联能力</w:t>
            </w:r>
          </w:p>
        </w:tc>
      </w:tr>
      <w:tr w14:paraId="4A0BB2AB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55F14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具名复核</w:t>
            </w:r>
          </w:p>
        </w:tc>
        <w:tc>
          <w:tcPr>
            <w:tcW w:w="7143" w:type="dxa"/>
            <w:shd w:val="clear" w:color="auto" w:fill="F4F8F6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44E8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由具有相应角色的登录用户对当前版本提交可追溯意见</w:t>
            </w:r>
          </w:p>
        </w:tc>
      </w:tr>
      <w:tr w14:paraId="0B36A659">
        <w:tblPrEx>
          <w:tblBorders>
            <w:top w:val="single" w:color="C5D2CD" w:sz="4" w:space="0"/>
            <w:left w:val="single" w:color="C5D2CD" w:sz="4" w:space="0"/>
            <w:bottom w:val="single" w:color="C5D2CD" w:sz="4" w:space="0"/>
            <w:right w:val="single" w:color="C5D2CD" w:sz="4" w:space="0"/>
            <w:insideH w:val="single" w:color="C5D2CD" w:sz="4" w:space="0"/>
            <w:insideV w:val="single" w:color="C5D2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8BFC2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后继任务</w:t>
            </w:r>
          </w:p>
        </w:tc>
        <w:tc>
          <w:tcPr>
            <w:tcW w:w="71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129D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18"/>
              </w:rPr>
              <w:t>当前请求修改或被否决后，基于保留记录重新建立的新任务</w:t>
            </w:r>
          </w:p>
        </w:tc>
      </w:tr>
    </w:tbl>
    <w:p w14:paraId="6B5CE28C">
      <w:pPr>
        <w:spacing w:after="160"/>
      </w:pPr>
    </w:p>
    <w:p w14:paraId="3B789660">
      <w:pPr>
        <w:keepNext/>
        <w:spacing w:before="320" w:after="200"/>
      </w:pPr>
      <w:r>
        <w:rPr>
          <w:rFonts w:ascii="Arial Unicode MS" w:hAnsi="Arial Unicode MS" w:eastAsia="Arial Unicode MS"/>
          <w:b/>
          <w:color w:val="174C43"/>
          <w:sz w:val="36"/>
        </w:rPr>
        <w:t>附录 B  快速操作清单</w:t>
      </w:r>
    </w:p>
    <w:p w14:paraId="47042E6E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1.  使用具名账号登录并确认角色。</w:t>
      </w:r>
    </w:p>
    <w:p w14:paraId="18A7F01F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2.  新建案件，确认案件名称和当前工作空间。</w:t>
      </w:r>
    </w:p>
    <w:p w14:paraId="3369C963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3.  上传材料，检查材料版本、解析状态和识别提示。</w:t>
      </w:r>
    </w:p>
    <w:p w14:paraId="1795B350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4.  逐项核对事实，并使用“查看原文依据”确认上下文。</w:t>
      </w:r>
    </w:p>
    <w:p w14:paraId="67078851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5.  运行本地时间线、证据清单或争点候选时，确认其不构成法律结论。</w:t>
      </w:r>
    </w:p>
    <w:p w14:paraId="24421A8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6.  生成披露方案，逐项选择必要性和处理动作。</w:t>
      </w:r>
    </w:p>
    <w:p w14:paraId="2A76DF56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7.  核对实际披露正文、信息损失和残余风险。</w:t>
      </w:r>
    </w:p>
    <w:p w14:paraId="5E9F0757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8.  检验风险并冻结请求，展开完整请求核对目标和版本。</w:t>
      </w:r>
    </w:p>
    <w:p w14:paraId="2F421D08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9.  由法学复核人员提交当前请求的具名结论。</w:t>
      </w:r>
    </w:p>
    <w:p w14:paraId="241BE385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10.  由审批人员批准当前完整请求。</w:t>
      </w:r>
    </w:p>
    <w:p w14:paraId="78A0FE14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11.  由案件操作人员执行任务，并观察真实状态。</w:t>
      </w:r>
    </w:p>
    <w:p w14:paraId="655D9B32">
      <w:pPr>
        <w:spacing w:before="0" w:after="80"/>
        <w:ind w:left="227"/>
      </w:pPr>
      <w:r>
        <w:rPr>
          <w:rFonts w:ascii="Arial Unicode MS" w:hAnsi="Arial Unicode MS" w:eastAsia="Arial Unicode MS"/>
          <w:b w:val="0"/>
          <w:color w:val="20332F"/>
          <w:sz w:val="21"/>
        </w:rPr>
        <w:t>12.  在摘要与回链中逐句核对、确认、导出和归档。</w:t>
      </w:r>
    </w:p>
    <w:sectPr>
      <w:headerReference r:id="rId5" w:type="default"/>
      <w:footerReference r:id="rId6" w:type="default"/>
      <w:pgSz w:w="11906" w:h="16838"/>
      <w:pgMar w:top="1247" w:right="1361" w:bottom="1134" w:left="136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88ABC">
    <w:pPr>
      <w:pStyle w:val="24"/>
      <w:jc w:val="center"/>
    </w:pPr>
    <w:r>
      <w:rPr>
        <w:rFonts w:ascii="Arial Unicode MS" w:hAnsi="Arial Unicode MS" w:eastAsia="Arial Unicode MS"/>
        <w:b w:val="0"/>
        <w:color w:val="66706D"/>
        <w:sz w:val="17"/>
      </w:rPr>
      <w:t xml:space="preserve">  ·  第 </w:t>
    </w:r>
    <w:r>
      <w:rPr>
        <w:rFonts w:ascii="Arial Unicode MS" w:hAnsi="Arial Unicode MS" w:eastAsia="Arial Unicode MS"/>
        <w:b w:val="0"/>
        <w:color w:val="66706D"/>
        <w:sz w:val="18"/>
      </w:rPr>
      <w:fldChar w:fldCharType="begin"/>
    </w:r>
    <w:r>
      <w:rPr>
        <w:rFonts w:ascii="Arial Unicode MS" w:hAnsi="Arial Unicode MS" w:eastAsia="Arial Unicode MS"/>
        <w:b w:val="0"/>
        <w:color w:val="66706D"/>
        <w:sz w:val="18"/>
      </w:rPr>
      <w:instrText xml:space="preserve"> PAGE </w:instrText>
    </w:r>
    <w:r>
      <w:rPr>
        <w:rFonts w:ascii="Arial Unicode MS" w:hAnsi="Arial Unicode MS" w:eastAsia="Arial Unicode MS"/>
        <w:b w:val="0"/>
        <w:color w:val="66706D"/>
        <w:sz w:val="18"/>
      </w:rPr>
      <w:fldChar w:fldCharType="end"/>
    </w:r>
    <w:r>
      <w:rPr>
        <w:rFonts w:ascii="Arial Unicode MS" w:hAnsi="Arial Unicode MS" w:eastAsia="Arial Unicode MS"/>
        <w:b w:val="0"/>
        <w:color w:val="66706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0D786">
    <w:pPr>
      <w:pStyle w:val="25"/>
      <w:jc w:val="right"/>
    </w:pPr>
    <w:r>
      <w:rPr>
        <w:rFonts w:ascii="Arial Unicode MS" w:hAnsi="Arial Unicode MS" w:eastAsia="Arial Unicode MS"/>
        <w:b w:val="0"/>
        <w:color w:val="66706D"/>
        <w:sz w:val="17"/>
      </w:rPr>
      <w:t>LexAegis  案隐盾法律隐私工作台  ·  操作说明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D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Arial Unicode MS" w:hAnsi="Arial Unicode MS" w:eastAsia="Arial Unicode MS" w:cstheme="minorBidi"/>
      <w:color w:val="20332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915</Words>
  <Characters>935</Characters>
  <Lines>0</Lines>
  <Paragraphs>0</Paragraphs>
  <TotalTime>1</TotalTime>
  <ScaleCrop>false</ScaleCrop>
  <LinksUpToDate>false</LinksUpToDate>
  <CharactersWithSpaces>952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张瀚元</cp:lastModifiedBy>
  <dcterms:modified xsi:type="dcterms:W3CDTF">2026-09-20T10:39:17Z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eyJoZGlkIjoiNTZkNjdjYTVmOGJhODNlNTVlNTVjZGY1OWVkOTM2NGIiLCJ1c2VySWQiOiIxNjkxOTYxNzQ2In0=</vt:lpwstr>
  </property>
  <property fmtid="{D5CDD505-2E9C-101B-9397-08002B2CF9AE}" pid="3" name="KSOProductBuildVer">
    <vt:lpwstr>2052-12.1.0.28043</vt:lpwstr>
  </property>
  <property fmtid="{D5CDD505-2E9C-101B-9397-08002B2CF9AE}" pid="4" name="ICV">
    <vt:lpwstr>75F272C3528043D1B9DC4F4525FEC1E0_12</vt:lpwstr>
  </property>
</Properties>
</file>