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40"/>
        <w:jc w:val="center"/>
      </w:pPr>
      <w:r>
        <w:rPr>
          <w:rFonts w:ascii="Arial" w:hAnsi="Arial" w:eastAsia="Arial"/>
          <w:b/>
          <w:color w:val="174C43"/>
          <w:sz w:val="36"/>
        </w:rPr>
        <w:t>LexAegis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20332F"/>
          <w:sz w:val="54"/>
        </w:rPr>
        <w:t>案隐盾法律隐私工作台</w:t>
      </w:r>
    </w:p>
    <w:p>
      <w:pPr>
        <w:spacing w:after="720"/>
        <w:jc w:val="center"/>
      </w:pPr>
      <w:r>
        <w:rPr>
          <w:rFonts w:ascii="Arial Unicode MS" w:hAnsi="Arial Unicode MS" w:eastAsia="Arial Unicode MS"/>
          <w:b/>
          <w:color w:val="174C43"/>
          <w:sz w:val="42"/>
        </w:rPr>
        <w:t>操作说明</w:t>
      </w:r>
    </w:p>
    <w:p>
      <w:pPr>
        <w:spacing w:after="1400"/>
        <w:jc w:val="center"/>
      </w:pPr>
      <w:r>
        <w:rPr>
          <w:rFonts w:ascii="Arial Unicode MS" w:hAnsi="Arial Unicode MS" w:eastAsia="Arial Unicode MS"/>
          <w:color w:val="66706D"/>
          <w:sz w:val="22"/>
        </w:rPr>
        <w:t>材料与事实  ·  披露方案  ·  风险与审批  ·  摘要与回链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</w:trPr>
        <w:tc>
          <w:tcPr>
            <w:tcW w:type="dxa" w:w="1814"/>
            <w:shd w:fill="EAF4F1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0332F"/>
                <w:sz w:val="20"/>
              </w:rPr>
              <w:t>产品版本</w:t>
            </w:r>
          </w:p>
        </w:tc>
        <w:tc>
          <w:tcPr>
            <w:tcW w:type="dxa" w:w="4195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814"/>
            <w:shd w:fill="EAF4F1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0332F"/>
                <w:sz w:val="20"/>
              </w:rPr>
              <w:t>文档性质</w:t>
            </w:r>
          </w:p>
        </w:tc>
        <w:tc>
          <w:tcPr>
            <w:tcW w:type="dxa" w:w="4195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20"/>
              </w:rPr>
              <w:t>系统操作说明</w:t>
            </w:r>
          </w:p>
        </w:tc>
      </w:tr>
      <w:tr>
        <w:trPr>
          <w:cantSplit/>
        </w:trPr>
        <w:tc>
          <w:tcPr>
            <w:tcW w:type="dxa" w:w="1814"/>
            <w:shd w:fill="EAF4F1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20332F"/>
                <w:sz w:val="20"/>
              </w:rPr>
              <w:t>发布日期</w:t>
            </w:r>
          </w:p>
        </w:tc>
        <w:tc>
          <w:tcPr>
            <w:tcW w:type="dxa" w:w="4195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332F"/>
                <w:sz w:val="20"/>
              </w:rPr>
              <w:t>2026 年 9 月</w:t>
            </w:r>
          </w:p>
        </w:tc>
      </w:tr>
    </w:tbl>
    <w:p>
      <w:pPr>
        <w:sectPr>
          <w:pgSz w:w="11906" w:h="16838"/>
          <w:pgMar w:top="1247" w:right="1361" w:bottom="1134" w:left="1361" w:header="624" w:footer="567" w:gutter="0"/>
          <w:cols w:space="720"/>
          <w:docGrid w:linePitch="360"/>
        </w:sectPr>
      </w:pPr>
    </w:p>
    <w:p>
      <w:pPr>
        <w:pStyle w:val="TitleChapter"/>
      </w:pPr>
      <w:r>
        <w:rPr>
          <w:rFonts w:ascii="Arial Unicode MS" w:hAnsi="Arial Unicode MS" w:eastAsia="Arial Unicode MS"/>
          <w:b/>
          <w:color w:val="174C43"/>
          <w:sz w:val="42"/>
        </w:rPr>
        <w:t>1  文档说明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本说明面向案隐盾法律隐私工作台的实际使用人员，介绍从案件建立、材料导入、事实核对、逐项披露、风险检查、人工复核、审批执行到结果回链的完整操作方法。所有步骤均按系统通用功能编写，不以特定案件、预置内容或预设处理结论为前提。</w:t>
      </w:r>
    </w:p>
    <w:p>
      <w:pPr>
        <w:pStyle w:val="Heading1"/>
        <w:keepNext/>
      </w:pPr>
      <w:r>
        <w:t>1.1 适用人员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19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00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本说明重点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案件操作人员</w:t>
            </w:r>
          </w:p>
        </w:tc>
        <w:tc>
          <w:tcPr>
            <w:tcW w:type="dxa" w:w="419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建立案件、导入材料、核对事实、形成披露方案、执行获准任务</w:t>
            </w:r>
          </w:p>
        </w:tc>
        <w:tc>
          <w:tcPr>
            <w:tcW w:type="dxa" w:w="300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第 3—7 章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法学复核人员</w:t>
            </w:r>
          </w:p>
        </w:tc>
        <w:tc>
          <w:tcPr>
            <w:tcW w:type="dxa" w:w="419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复核事实、规则依据、披露必要性、残余风险及结果表达</w:t>
            </w:r>
          </w:p>
        </w:tc>
        <w:tc>
          <w:tcPr>
            <w:tcW w:type="dxa" w:w="300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第 5、6、8 章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审批人员</w:t>
            </w:r>
          </w:p>
        </w:tc>
        <w:tc>
          <w:tcPr>
            <w:tcW w:type="dxa" w:w="419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阅读完整请求快照，批准或拒绝当前版本</w:t>
            </w:r>
          </w:p>
        </w:tc>
        <w:tc>
          <w:tcPr>
            <w:tcW w:type="dxa" w:w="300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第 6 章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管理员与运维人员</w:t>
            </w:r>
          </w:p>
        </w:tc>
        <w:tc>
          <w:tcPr>
            <w:tcW w:type="dxa" w:w="419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维护账号、规则、法学证据、服务商和运行配置</w:t>
            </w:r>
          </w:p>
        </w:tc>
        <w:tc>
          <w:tcPr>
            <w:tcW w:type="dxa" w:w="300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第 8 章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1.2 使用原则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原始材料、身份映射和内部复核信息默认保留在本地工作区；只有经过逐项确认的披露内容进入请求。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事实、披露方案、风险检查、批准和执行均绑定当前材料与配置版本；关键输入变化后应新建任务并重新检查。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未运行、未完成、不确定、待复核和不可用均不等同于通过。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系统输出用于材料整理、隐私控制和审查辅助，不替代律师判断、组织授权或正式审批责任。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28"/>
            <w:shd w:fill="FFF4DD"/>
            <w:tcBorders>
              <w:top w:val="single" w:sz="6" w:color="A66800"/>
              <w:left w:val="single" w:sz="18" w:color="A66800"/>
              <w:bottom w:val="single" w:sz="6" w:color="A66800"/>
              <w:right w:val="single" w:sz="6" w:color="A66800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请先确认职责</w:t>
            </w:r>
          </w:p>
          <w:p>
            <w:pPr>
              <w:spacing w:after="0" w:line="312" w:lineRule="auto"/>
            </w:pPr>
            <w:r>
              <w:rPr>
                <w:rFonts w:ascii="Arial Unicode MS" w:hAnsi="Arial Unicode MS" w:eastAsia="Arial Unicode MS"/>
                <w:color w:val="20332F"/>
                <w:sz w:val="19"/>
              </w:rPr>
              <w:t>同一人员可以在授权范围内承担多个系统角色，但操作记录仍应使用具名账号。批准当前请求与执行任务是两个独立动作。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2  核心模块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系统以案件工作台为主入口，并通过法学与治理模块维护规则、证据、服务条件和运行环境。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53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266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形成结果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案件工作台</w:t>
            </w:r>
          </w:p>
        </w:tc>
        <w:tc>
          <w:tcPr>
            <w:tcW w:type="dxa" w:w="45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管理案件、材料、事实、披露任务、风险检查和结果</w:t>
            </w:r>
          </w:p>
        </w:tc>
        <w:tc>
          <w:tcPr>
            <w:tcW w:type="dxa" w:w="266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可继续处理的案件工作空间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材料与事实</w:t>
            </w:r>
          </w:p>
        </w:tc>
        <w:tc>
          <w:tcPr>
            <w:tcW w:type="dxa" w:w="453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上传、解析、分段、抽取、人工校对和来源定位</w:t>
            </w:r>
          </w:p>
        </w:tc>
        <w:tc>
          <w:tcPr>
            <w:tcW w:type="dxa" w:w="266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带原文锚点的事实清单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披露方案</w:t>
            </w:r>
          </w:p>
        </w:tc>
        <w:tc>
          <w:tcPr>
            <w:tcW w:type="dxa" w:w="45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逐项判断必要性、选择处理动作并说明信息损失和残余风险</w:t>
            </w:r>
          </w:p>
        </w:tc>
        <w:tc>
          <w:tcPr>
            <w:tcW w:type="dxa" w:w="266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可解释的最小披露内容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风险与审批</w:t>
            </w:r>
          </w:p>
        </w:tc>
        <w:tc>
          <w:tcPr>
            <w:tcW w:type="dxa" w:w="453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冻结完整请求，检查系统门禁，完成具名复核与批准</w:t>
            </w:r>
          </w:p>
        </w:tc>
        <w:tc>
          <w:tcPr>
            <w:tcW w:type="dxa" w:w="266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允许继续或明确阻断的当前请求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摘要与回链</w:t>
            </w:r>
          </w:p>
        </w:tc>
        <w:tc>
          <w:tcPr>
            <w:tcW w:type="dxa" w:w="45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查看任务结果、引用关系、缺口和未使用事实，并回到原文</w:t>
            </w:r>
          </w:p>
        </w:tc>
        <w:tc>
          <w:tcPr>
            <w:tcW w:type="dxa" w:w="266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经人工核对的结果与审计关联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法学与治理</w:t>
            </w:r>
          </w:p>
        </w:tc>
        <w:tc>
          <w:tcPr>
            <w:tcW w:type="dxa" w:w="453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维护规则、法学证据、服务商档案、隔离实验和运行配置</w:t>
            </w:r>
          </w:p>
        </w:tc>
        <w:tc>
          <w:tcPr>
            <w:tcW w:type="dxa" w:w="266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供请求检查使用的治理依据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本地用户</w:t>
            </w:r>
          </w:p>
        </w:tc>
        <w:tc>
          <w:tcPr>
            <w:tcW w:type="dxa" w:w="45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维护账号、角色和启停状态</w:t>
            </w:r>
          </w:p>
        </w:tc>
        <w:tc>
          <w:tcPr>
            <w:tcW w:type="dxa" w:w="266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具名权限与操作主体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2.1 四个功能边界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737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814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功能边界</w:t>
            </w:r>
          </w:p>
        </w:tc>
        <w:tc>
          <w:tcPr>
            <w:tcW w:type="dxa" w:w="3402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主要操作</w:t>
            </w:r>
          </w:p>
        </w:tc>
        <w:tc>
          <w:tcPr>
            <w:tcW w:type="dxa" w:w="2948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进入下一阶段前的完成标志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01</w:t>
            </w:r>
          </w:p>
        </w:tc>
        <w:tc>
          <w:tcPr>
            <w:tcW w:type="dxa" w:w="181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材料与事实</w:t>
            </w:r>
          </w:p>
        </w:tc>
        <w:tc>
          <w:tcPr>
            <w:tcW w:type="dxa" w:w="340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导入材料、检查解析、核对事实、查看来源</w:t>
            </w:r>
          </w:p>
        </w:tc>
        <w:tc>
          <w:tcPr>
            <w:tcW w:type="dxa" w:w="294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事实可回到对应原文位置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02</w:t>
            </w:r>
          </w:p>
        </w:tc>
        <w:tc>
          <w:tcPr>
            <w:tcW w:type="dxa" w:w="181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披露方案</w:t>
            </w:r>
          </w:p>
        </w:tc>
        <w:tc>
          <w:tcPr>
            <w:tcW w:type="dxa" w:w="340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逐项选择必要性、精度和处理动作</w:t>
            </w:r>
          </w:p>
        </w:tc>
        <w:tc>
          <w:tcPr>
            <w:tcW w:type="dxa" w:w="294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披露文本及理由可解释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03</w:t>
            </w:r>
          </w:p>
        </w:tc>
        <w:tc>
          <w:tcPr>
            <w:tcW w:type="dxa" w:w="181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风险与审批</w:t>
            </w:r>
          </w:p>
        </w:tc>
        <w:tc>
          <w:tcPr>
            <w:tcW w:type="dxa" w:w="340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冻结请求、查看门禁、复核、审批、执行</w:t>
            </w:r>
          </w:p>
        </w:tc>
        <w:tc>
          <w:tcPr>
            <w:tcW w:type="dxa" w:w="294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满足当前任务的复核与批准条件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04</w:t>
            </w:r>
          </w:p>
        </w:tc>
        <w:tc>
          <w:tcPr>
            <w:tcW w:type="dxa" w:w="181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摘要与回链</w:t>
            </w:r>
          </w:p>
        </w:tc>
        <w:tc>
          <w:tcPr>
            <w:tcW w:type="dxa" w:w="340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识别结果来源、逐句对照、确认或退回</w:t>
            </w:r>
          </w:p>
        </w:tc>
        <w:tc>
          <w:tcPr>
            <w:tcW w:type="dxa" w:w="294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结果可回链且人工确认完成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2.2 页面导航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左侧导航用于切换案件工作台、法学规则中心、法学证据登记、服务商治理、隔离实验、运行配置和本地用户。不同角色看到的入口可能不同：案件操作人员主要使用案件工作台；法学复核人员可进入法学规则与证据模块；管理员可维护运行配置、隔离实验和本地用户。</w:t>
      </w: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3  标准使用流程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以下流程适用于需要把案件材料整理为可控披露请求，并对结果进行来源核对的日常工作。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登录并确认账号角色：</w:t>
      </w:r>
      <w:r>
        <w:rPr>
          <w:rFonts w:ascii="Arial Unicode MS" w:hAnsi="Arial Unicode MS" w:eastAsia="Arial Unicode MS"/>
          <w:color w:val="20332F"/>
          <w:sz w:val="21"/>
        </w:rPr>
        <w:t>使用管理员分配的本地账号登录。查看页面右上角的账号与角色，确认当前角色具备本次操作权限。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建立案件工作空间：</w:t>
      </w:r>
      <w:r>
        <w:rPr>
          <w:rFonts w:ascii="Arial Unicode MS" w:hAnsi="Arial Unicode MS" w:eastAsia="Arial Unicode MS"/>
          <w:color w:val="20332F"/>
          <w:sz w:val="21"/>
        </w:rPr>
        <w:t>在“案件工作台”选择“新建案件”，填写便于内部识别的案件名称，并按业务要求设置案件信息。每个案件的材料、事实、身份映射和任务记录相互独立。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导入材料并检查解析：</w:t>
      </w:r>
      <w:r>
        <w:rPr>
          <w:rFonts w:ascii="Arial Unicode MS" w:hAnsi="Arial Unicode MS" w:eastAsia="Arial Unicode MS"/>
          <w:color w:val="20332F"/>
          <w:sz w:val="21"/>
        </w:rPr>
        <w:t>上传支持的文件，等待解析完成；检查材料版本、页段数量、识别提示和异常。解析完成只代表材料可读取，不代表事实已经核验。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核对事实与来源：</w:t>
      </w:r>
      <w:r>
        <w:rPr>
          <w:rFonts w:ascii="Arial Unicode MS" w:hAnsi="Arial Unicode MS" w:eastAsia="Arial Unicode MS"/>
          <w:color w:val="20332F"/>
          <w:sz w:val="21"/>
        </w:rPr>
        <w:t>运行边侧提取或人工添加事实。逐项核对主体、关系、事件、日期、金额和证据，使用“查看原文依据”确认上下文。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5  形成披露方案：</w:t>
      </w:r>
      <w:r>
        <w:rPr>
          <w:rFonts w:ascii="Arial Unicode MS" w:hAnsi="Arial Unicode MS" w:eastAsia="Arial Unicode MS"/>
          <w:color w:val="20332F"/>
          <w:sz w:val="21"/>
        </w:rPr>
        <w:t>选择“生成披露方案”。按任务目的为每项事实选择必要性和处理动作，检查披露文本、保留理由、信息损失及残余风险。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6  冻结请求并检查风险：</w:t>
      </w:r>
      <w:r>
        <w:rPr>
          <w:rFonts w:ascii="Arial Unicode MS" w:hAnsi="Arial Unicode MS" w:eastAsia="Arial Unicode MS"/>
          <w:color w:val="20332F"/>
          <w:sz w:val="21"/>
        </w:rPr>
        <w:t>选择“检验风险并冻结请求”。展开完整请求，核对目标、模型、规则版本、材料版本、配置版本和实际披露正文。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7  完成具名人工复核：</w:t>
      </w:r>
      <w:r>
        <w:rPr>
          <w:rFonts w:ascii="Arial Unicode MS" w:hAnsi="Arial Unicode MS" w:eastAsia="Arial Unicode MS"/>
          <w:color w:val="20332F"/>
          <w:sz w:val="21"/>
        </w:rPr>
        <w:t>由法学复核人员阅读事实依据、披露必要性、残余风险和系统提示，提交允许、否决或暂停意见。否决仅针对当前请求。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8  批准并执行当前版本：</w:t>
      </w:r>
      <w:r>
        <w:rPr>
          <w:rFonts w:ascii="Arial Unicode MS" w:hAnsi="Arial Unicode MS" w:eastAsia="Arial Unicode MS"/>
          <w:color w:val="20332F"/>
          <w:sz w:val="21"/>
        </w:rPr>
        <w:t>由审批人员批准当前完整请求。审批完成后，由案件操作人员执行任务。审批事件不等同于请求已经离开本地。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9  核对结果并回链：</w:t>
      </w:r>
      <w:r>
        <w:rPr>
          <w:rFonts w:ascii="Arial Unicode MS" w:hAnsi="Arial Unicode MS" w:eastAsia="Arial Unicode MS"/>
          <w:color w:val="20332F"/>
          <w:sz w:val="21"/>
        </w:rPr>
        <w:t>在“摘要与回链”中确认结果来源，对照使用事实、未使用事实、缺口和来源标识；必要时返回前一阶段修改并新建任务。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10  确认、导出与归档：</w:t>
      </w:r>
      <w:r>
        <w:rPr>
          <w:rFonts w:ascii="Arial Unicode MS" w:hAnsi="Arial Unicode MS" w:eastAsia="Arial Unicode MS"/>
          <w:color w:val="20332F"/>
          <w:sz w:val="21"/>
        </w:rPr>
        <w:t>完成逐句复核后确认结果，并按权限导出云端视图、内部复核包或审计记录。含身份与锚点的内部复核包应按系统提示再次具名确认。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28"/>
            <w:shd w:fill="FFF4DD"/>
            <w:tcBorders>
              <w:top w:val="single" w:sz="6" w:color="A66800"/>
              <w:left w:val="single" w:sz="18" w:color="A66800"/>
              <w:bottom w:val="single" w:sz="6" w:color="A66800"/>
              <w:right w:val="single" w:sz="6" w:color="A66800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版本绑定规则</w:t>
            </w:r>
          </w:p>
          <w:p>
            <w:pPr>
              <w:spacing w:after="0" w:line="312" w:lineRule="auto"/>
            </w:pPr>
            <w:r>
              <w:rPr>
                <w:rFonts w:ascii="Arial Unicode MS" w:hAnsi="Arial Unicode MS" w:eastAsia="Arial Unicode MS"/>
                <w:color w:val="20332F"/>
                <w:sz w:val="19"/>
              </w:rPr>
              <w:t>材料、事实、披露正文、目标服务、模型、规则或运行配置发生变化时，历史请求可以保留用于追溯，但不应继续作为当前批准和执行依据。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4  首页、登录与案件工作台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本章说明进入系统、建立案件和定位工作区的方法。</w:t>
      </w:r>
    </w:p>
    <w:p>
      <w:pPr>
        <w:pStyle w:val="Heading1"/>
        <w:keepNext/>
      </w:pPr>
      <w:r>
        <w:t>4.1 首页与登录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访问系统：</w:t>
      </w:r>
      <w:r>
        <w:rPr>
          <w:rFonts w:ascii="Arial Unicode MS" w:hAnsi="Arial Unicode MS" w:eastAsia="Arial Unicode MS"/>
          <w:color w:val="20332F"/>
          <w:sz w:val="21"/>
        </w:rPr>
        <w:t>在受控浏览器中打开部署方提供的工作台地址。建议使用较新的 Chromium 内核浏览器，并保持页面缩放为 100%。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输入凭据：</w:t>
      </w:r>
      <w:r>
        <w:rPr>
          <w:rFonts w:ascii="Arial Unicode MS" w:hAnsi="Arial Unicode MS" w:eastAsia="Arial Unicode MS"/>
          <w:color w:val="20332F"/>
          <w:sz w:val="21"/>
        </w:rPr>
        <w:t>在登录页输入管理员分配的用户名和密码。不要在说明文档、截图或聊天记录中保存账号口令。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检查登录状态：</w:t>
      </w:r>
      <w:r>
        <w:rPr>
          <w:rFonts w:ascii="Arial Unicode MS" w:hAnsi="Arial Unicode MS" w:eastAsia="Arial Unicode MS"/>
          <w:color w:val="20332F"/>
          <w:sz w:val="21"/>
        </w:rPr>
        <w:t>登录后查看右上角账号名称和角色。若页面提示会话失效，重新登录后再继续；浏览器刷新不会改变已保存的案件记录。</w:t>
      </w:r>
    </w:p>
    <w:p>
      <w:pPr>
        <w:pStyle w:val="Heading1"/>
        <w:keepNext/>
      </w:pPr>
      <w:r>
        <w:t>4.2 新建案件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打开入口：</w:t>
      </w:r>
      <w:r>
        <w:rPr>
          <w:rFonts w:ascii="Arial Unicode MS" w:hAnsi="Arial Unicode MS" w:eastAsia="Arial Unicode MS"/>
          <w:color w:val="20332F"/>
          <w:sz w:val="21"/>
        </w:rPr>
        <w:t>在左侧导航选择“案件工作台”，点击“新建案件”。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填写名称：</w:t>
      </w:r>
      <w:r>
        <w:rPr>
          <w:rFonts w:ascii="Arial Unicode MS" w:hAnsi="Arial Unicode MS" w:eastAsia="Arial Unicode MS"/>
          <w:color w:val="20332F"/>
          <w:sz w:val="21"/>
        </w:rPr>
        <w:t>填写清晰、便于内部识别的案件名称。名称用于工作台检索和审计识别，不应代替正式案号或材料版本。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进入案件：</w:t>
      </w:r>
      <w:r>
        <w:rPr>
          <w:rFonts w:ascii="Arial Unicode MS" w:hAnsi="Arial Unicode MS" w:eastAsia="Arial Unicode MS"/>
          <w:color w:val="20332F"/>
          <w:sz w:val="21"/>
        </w:rPr>
        <w:t>创建完成后进入案件详情，确认案件名称、案件标识、材料数量和当前任务状态。</w:t>
      </w:r>
    </w:p>
    <w:p>
      <w:pPr>
        <w:pStyle w:val="Heading1"/>
        <w:keepNext/>
      </w:pPr>
      <w:r>
        <w:t>4.3 案件列表与最近案件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案件工作台显示已建立案件和最近访问记录。选择案件后，主区域显示四个功能边界，左侧或侧栏显示材料与原文，右侧上下文区域显示任务、审计和发送尝试。若同一案件存在多个任务，应以任务编号、材料版本和请求版本区分，不要仅凭列表顺序判断先后。</w:t>
      </w: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5  材料与事实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本阶段把原始材料整理为可核对的事实基础。所有事实都应能够返回原文或明确标注为人工录入。</w:t>
      </w:r>
    </w:p>
    <w:p>
      <w:pPr>
        <w:pStyle w:val="Heading1"/>
        <w:keepNext/>
      </w:pPr>
      <w:r>
        <w:t>5.1 上传材料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选择案件：</w:t>
      </w:r>
      <w:r>
        <w:rPr>
          <w:rFonts w:ascii="Arial Unicode MS" w:hAnsi="Arial Unicode MS" w:eastAsia="Arial Unicode MS"/>
          <w:color w:val="20332F"/>
          <w:sz w:val="21"/>
        </w:rPr>
        <w:t>进入目标案件，打开“01 材料与事实”。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选择文件：</w:t>
      </w:r>
      <w:r>
        <w:rPr>
          <w:rFonts w:ascii="Arial Unicode MS" w:hAnsi="Arial Unicode MS" w:eastAsia="Arial Unicode MS"/>
          <w:color w:val="20332F"/>
          <w:sz w:val="21"/>
        </w:rPr>
        <w:t>按照页面提示选择 DOCX、PDF、TXT、XLSX、CSV、图片或音视频材料。实际可用格式以当前构建提示为准。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开始上传：</w:t>
      </w:r>
      <w:r>
        <w:rPr>
          <w:rFonts w:ascii="Arial Unicode MS" w:hAnsi="Arial Unicode MS" w:eastAsia="Arial Unicode MS"/>
          <w:color w:val="20332F"/>
          <w:sz w:val="21"/>
        </w:rPr>
        <w:t>确认文件名称与案件无误后上传。系统为每次上传建立材料版本；不要通过覆盖同名文件来替代版本管理。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等待解析：</w:t>
      </w:r>
      <w:r>
        <w:rPr>
          <w:rFonts w:ascii="Arial Unicode MS" w:hAnsi="Arial Unicode MS" w:eastAsia="Arial Unicode MS"/>
          <w:color w:val="20332F"/>
          <w:sz w:val="21"/>
        </w:rPr>
        <w:t>查看解析状态、页段数量、OCR 或转写提示。上传成功、解析完成、事实抽取完成是三个不同状态。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283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系统处理</w:t>
            </w:r>
          </w:p>
        </w:tc>
        <w:tc>
          <w:tcPr>
            <w:tcW w:type="dxa" w:w="436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人工核对重点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DOCX / PDF / TXT</w:t>
            </w:r>
          </w:p>
        </w:tc>
        <w:tc>
          <w:tcPr>
            <w:tcW w:type="dxa" w:w="28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解析、分段、来源定位</w:t>
            </w:r>
          </w:p>
        </w:tc>
        <w:tc>
          <w:tcPr>
            <w:tcW w:type="dxa" w:w="436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页码、表格、脚注、漏段及阅读顺序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XLSX / CSV</w:t>
            </w:r>
          </w:p>
        </w:tc>
        <w:tc>
          <w:tcPr>
            <w:tcW w:type="dxa" w:w="283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按记录或单元格定位</w:t>
            </w:r>
          </w:p>
        </w:tc>
        <w:tc>
          <w:tcPr>
            <w:tcW w:type="dxa" w:w="436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列含义、公式结果、空值和版本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PNG / JPEG</w:t>
            </w:r>
          </w:p>
        </w:tc>
        <w:tc>
          <w:tcPr>
            <w:tcW w:type="dxa" w:w="28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按配置执行本地 OCR</w:t>
            </w:r>
          </w:p>
        </w:tc>
        <w:tc>
          <w:tcPr>
            <w:tcW w:type="dxa" w:w="436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页序、遮挡、识别错误和低置信内容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音频 / 视频</w:t>
            </w:r>
          </w:p>
        </w:tc>
        <w:tc>
          <w:tcPr>
            <w:tcW w:type="dxa" w:w="283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本地转写后形成文本</w:t>
            </w:r>
          </w:p>
        </w:tc>
        <w:tc>
          <w:tcPr>
            <w:tcW w:type="dxa" w:w="436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说话人、时间码、漏转和误转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人工事实</w:t>
            </w:r>
          </w:p>
        </w:tc>
        <w:tc>
          <w:tcPr>
            <w:tcW w:type="dxa" w:w="28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录入事实并关联来源</w:t>
            </w:r>
          </w:p>
        </w:tc>
        <w:tc>
          <w:tcPr>
            <w:tcW w:type="dxa" w:w="436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主张与认定、主体、日期、金额和证据归属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5.2 核对事实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生成或添加事实：</w:t>
      </w:r>
      <w:r>
        <w:rPr>
          <w:rFonts w:ascii="Arial Unicode MS" w:hAnsi="Arial Unicode MS" w:eastAsia="Arial Unicode MS"/>
          <w:color w:val="20332F"/>
          <w:sz w:val="21"/>
        </w:rPr>
        <w:t>可使用“边侧提取”整理材料，也可选择“添加事实”人工录入。边侧提取用于辅助整理，不能替代人工核对。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检查事实字段：</w:t>
      </w:r>
      <w:r>
        <w:rPr>
          <w:rFonts w:ascii="Arial Unicode MS" w:hAnsi="Arial Unicode MS" w:eastAsia="Arial Unicode MS"/>
          <w:color w:val="20332F"/>
          <w:sz w:val="21"/>
        </w:rPr>
        <w:t>逐项检查事实类型、正文、主体角色、日期、金额、证据持有人、冲突组和确认状态。对于相互矛盾的记载，应分别保留来源，不要自动合并。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查看原文依据：</w:t>
      </w:r>
      <w:r>
        <w:rPr>
          <w:rFonts w:ascii="Arial Unicode MS" w:hAnsi="Arial Unicode MS" w:eastAsia="Arial Unicode MS"/>
          <w:color w:val="20332F"/>
          <w:sz w:val="21"/>
        </w:rPr>
        <w:t>点击事实卡片中的“查看原文依据”，在材料侧栏定位对应段落、页码、单元格或时间码，确认事实未脱离上下文。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编辑或删除：</w:t>
      </w:r>
      <w:r>
        <w:rPr>
          <w:rFonts w:ascii="Arial Unicode MS" w:hAnsi="Arial Unicode MS" w:eastAsia="Arial Unicode MS"/>
          <w:color w:val="20332F"/>
          <w:sz w:val="21"/>
        </w:rPr>
        <w:t>材料表述不准确时选择“编辑”；与任务无关且不应保留的人工事实可删除。材料版本变化后，旧来源可能显示“来源已更新”，应重新核对。</w:t>
      </w:r>
    </w:p>
    <w:p>
      <w:pPr>
        <w:pStyle w:val="Heading1"/>
        <w:keepNext/>
      </w:pPr>
      <w:r>
        <w:t>5.3 本地辅助工具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268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06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572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使用边界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本地生成时间线</w:t>
            </w:r>
          </w:p>
        </w:tc>
        <w:tc>
          <w:tcPr>
            <w:tcW w:type="dxa" w:w="306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按日期整理事件顺序</w:t>
            </w:r>
          </w:p>
        </w:tc>
        <w:tc>
          <w:tcPr>
            <w:tcW w:type="dxa" w:w="357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仅重排已确认事实，不补造未知日期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本地整理证据清单</w:t>
            </w:r>
          </w:p>
        </w:tc>
        <w:tc>
          <w:tcPr>
            <w:tcW w:type="dxa" w:w="306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按证据类别和归属整理清单</w:t>
            </w:r>
          </w:p>
        </w:tc>
        <w:tc>
          <w:tcPr>
            <w:tcW w:type="dxa" w:w="357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不判断证据能力或证明力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本地生成争点候选</w:t>
            </w:r>
          </w:p>
        </w:tc>
        <w:tc>
          <w:tcPr>
            <w:tcW w:type="dxa" w:w="306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按事实字段形成争点线索</w:t>
            </w:r>
          </w:p>
        </w:tc>
        <w:tc>
          <w:tcPr>
            <w:tcW w:type="dxa" w:w="357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属于候选整理，不构成法律结论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28"/>
            <w:shd w:fill="EAF4F1"/>
            <w:tcBorders>
              <w:top w:val="single" w:sz="6" w:color="174C43"/>
              <w:left w:val="single" w:sz="18" w:color="174C43"/>
              <w:bottom w:val="single" w:sz="6" w:color="174C43"/>
              <w:right w:val="single" w:sz="6" w:color="174C43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74C43"/>
                <w:sz w:val="20"/>
              </w:rPr>
              <w:t>完成标志</w:t>
            </w:r>
          </w:p>
          <w:p>
            <w:pPr>
              <w:spacing w:after="0" w:line="312" w:lineRule="auto"/>
            </w:pPr>
            <w:r>
              <w:rPr>
                <w:rFonts w:ascii="Arial Unicode MS" w:hAnsi="Arial Unicode MS" w:eastAsia="Arial Unicode MS"/>
                <w:color w:val="20332F"/>
                <w:sz w:val="19"/>
              </w:rPr>
              <w:t>事实清单中的关键内容均已核对，并且每项事实能够回到有效原文位置；无法确认的信息保持待确认或未知。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6  披露方案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本阶段决定哪些事实可以进入请求，以及以何种精度进入。原文和身份映射继续保留在本地。</w:t>
      </w:r>
    </w:p>
    <w:p>
      <w:pPr>
        <w:pStyle w:val="Heading1"/>
        <w:keepNext/>
      </w:pPr>
      <w:r>
        <w:t>6.1 生成披露方案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确认任务目的：</w:t>
      </w:r>
      <w:r>
        <w:rPr>
          <w:rFonts w:ascii="Arial Unicode MS" w:hAnsi="Arial Unicode MS" w:eastAsia="Arial Unicode MS"/>
          <w:color w:val="20332F"/>
          <w:sz w:val="21"/>
        </w:rPr>
        <w:t>在材料与事实核对完成后选择“生成披露方案”。先确认本次任务的目的和子目的，避免为了通用摘要而过度披露。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查看逐项决策：</w:t>
      </w:r>
      <w:r>
        <w:rPr>
          <w:rFonts w:ascii="Arial Unicode MS" w:hAnsi="Arial Unicode MS" w:eastAsia="Arial Unicode MS"/>
          <w:color w:val="20332F"/>
          <w:sz w:val="21"/>
        </w:rPr>
        <w:t>系统按事实显示必要性、候选处理动作、披露文本、保留理由、信息损失、残余风险和来源入口。</w:t>
      </w:r>
    </w:p>
    <w:p>
      <w:pPr>
        <w:pStyle w:val="Heading1"/>
        <w:keepNext/>
      </w:pPr>
      <w:r>
        <w:t>6.2 选择必要性与处理动作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474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83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4592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操作含义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必要性</w:t>
            </w:r>
          </w:p>
        </w:tc>
        <w:tc>
          <w:tcPr>
            <w:tcW w:type="dxa" w:w="28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必须 / 条件必要 / 不必要 / 不确定</w:t>
            </w:r>
          </w:p>
        </w:tc>
        <w:tc>
          <w:tcPr>
            <w:tcW w:type="dxa" w:w="459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判断该事实是否为当前任务所需；不确定时进入复核，不按通过处理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保持精度</w:t>
            </w:r>
          </w:p>
        </w:tc>
        <w:tc>
          <w:tcPr>
            <w:tcW w:type="dxa" w:w="283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保留业务判断所需精度</w:t>
            </w:r>
          </w:p>
        </w:tc>
        <w:tc>
          <w:tcPr>
            <w:tcW w:type="dxa" w:w="459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直接身份仍应使用稳定代号一致替换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用代号替换</w:t>
            </w:r>
          </w:p>
        </w:tc>
        <w:tc>
          <w:tcPr>
            <w:tcW w:type="dxa" w:w="28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以稳定代称替换直接身份</w:t>
            </w:r>
          </w:p>
        </w:tc>
        <w:tc>
          <w:tcPr>
            <w:tcW w:type="dxa" w:w="459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保留同一主体之间的关系，不等于匿名化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适度模糊化</w:t>
            </w:r>
          </w:p>
        </w:tc>
        <w:tc>
          <w:tcPr>
            <w:tcW w:type="dxa" w:w="283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降低日期、地点、金额等精度</w:t>
            </w:r>
          </w:p>
        </w:tc>
        <w:tc>
          <w:tcPr>
            <w:tcW w:type="dxa" w:w="459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保留任务需要的区间或类别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删除</w:t>
            </w:r>
          </w:p>
        </w:tc>
        <w:tc>
          <w:tcPr>
            <w:tcW w:type="dxa" w:w="283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不进入请求</w:t>
            </w:r>
          </w:p>
        </w:tc>
        <w:tc>
          <w:tcPr>
            <w:tcW w:type="dxa" w:w="459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适用于与任务无关或处理条件不满足的事实</w:t>
            </w:r>
          </w:p>
        </w:tc>
      </w:tr>
    </w:tbl>
    <w:p>
      <w:pPr>
        <w:spacing w:after="0"/>
      </w:pP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选择必要性：</w:t>
      </w:r>
      <w:r>
        <w:rPr>
          <w:rFonts w:ascii="Arial Unicode MS" w:hAnsi="Arial Unicode MS" w:eastAsia="Arial Unicode MS"/>
          <w:color w:val="20332F"/>
          <w:sz w:val="21"/>
        </w:rPr>
        <w:t>阅读系统给出的规则说明和未知条件，选择与当前任务相符的必要性。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选择处理动作：</w:t>
      </w:r>
      <w:r>
        <w:rPr>
          <w:rFonts w:ascii="Arial Unicode MS" w:hAnsi="Arial Unicode MS" w:eastAsia="Arial Unicode MS"/>
          <w:color w:val="20332F"/>
          <w:sz w:val="21"/>
        </w:rPr>
        <w:t>在系统提供的已校验候选中选择保持精度、代号替换、适度模糊化或删除。没有已校验候选时，不自行构造绕过规则的文本。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复核披露文本：</w:t>
      </w:r>
      <w:r>
        <w:rPr>
          <w:rFonts w:ascii="Arial Unicode MS" w:hAnsi="Arial Unicode MS" w:eastAsia="Arial Unicode MS"/>
          <w:color w:val="20332F"/>
          <w:sz w:val="21"/>
        </w:rPr>
        <w:t>确认披露文本只包含获选内容，没有原文、身份映射、未选事实或可反向定位的组合。必要时使用“编辑披露文本”调整表述。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查看依据：</w:t>
      </w:r>
      <w:r>
        <w:rPr>
          <w:rFonts w:ascii="Arial Unicode MS" w:hAnsi="Arial Unicode MS" w:eastAsia="Arial Unicode MS"/>
          <w:color w:val="20332F"/>
          <w:sz w:val="21"/>
        </w:rPr>
        <w:t>点击“查看依据”回到对应事实和材料，检查保留理由、信息损失与残余风险是否与实际材料一致。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28"/>
            <w:shd w:fill="FFF4DD"/>
            <w:tcBorders>
              <w:top w:val="single" w:sz="6" w:color="A66800"/>
              <w:left w:val="single" w:sz="18" w:color="A66800"/>
              <w:bottom w:val="single" w:sz="6" w:color="A66800"/>
              <w:right w:val="single" w:sz="6" w:color="A66800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隐私提示</w:t>
            </w:r>
          </w:p>
          <w:p>
            <w:pPr>
              <w:spacing w:after="0" w:line="312" w:lineRule="auto"/>
            </w:pPr>
            <w:r>
              <w:rPr>
                <w:rFonts w:ascii="Arial Unicode MS" w:hAnsi="Arial Unicode MS" w:eastAsia="Arial Unicode MS"/>
                <w:color w:val="20332F"/>
                <w:sz w:val="19"/>
              </w:rPr>
              <w:t>代号替换用于隐藏直接身份并保持同一主体的稳定关联，但不能自动消除地点、时间、金额、职业、案号等组合线索形成的再识别风险。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7  风险与审批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本阶段把目标、模型、规则、材料版本、配置版本和实际披露正文冻结为同一请求对象，并完成系统检查、人工复核、审批和执行。</w:t>
      </w:r>
    </w:p>
    <w:p>
      <w:pPr>
        <w:pStyle w:val="Heading1"/>
        <w:keepNext/>
      </w:pPr>
      <w:r>
        <w:t>7.1 检验风险并冻结请求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启动检验：</w:t>
      </w:r>
      <w:r>
        <w:rPr>
          <w:rFonts w:ascii="Arial Unicode MS" w:hAnsi="Arial Unicode MS" w:eastAsia="Arial Unicode MS"/>
          <w:color w:val="20332F"/>
          <w:sz w:val="21"/>
        </w:rPr>
        <w:t>在披露方案底部选择“检验风险并冻结请求”。系统生成完整请求快照，并对当前披露内容执行确定性风险检查。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查看系统初检：</w:t>
      </w:r>
      <w:r>
        <w:rPr>
          <w:rFonts w:ascii="Arial Unicode MS" w:hAnsi="Arial Unicode MS" w:eastAsia="Arial Unicode MS"/>
          <w:color w:val="20332F"/>
          <w:sz w:val="21"/>
        </w:rPr>
        <w:t>阅读页面顶部的当前操作状态、系统初检结果和阻断原因。系统检查完成只代表本次检查已结束，不自动代表全部门禁通过。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核对完整请求：</w:t>
      </w:r>
      <w:r>
        <w:rPr>
          <w:rFonts w:ascii="Arial Unicode MS" w:hAnsi="Arial Unicode MS" w:eastAsia="Arial Unicode MS"/>
          <w:color w:val="20332F"/>
          <w:sz w:val="21"/>
        </w:rPr>
        <w:t>展开完整请求，逐项核对目标地址、模型、任务、规则版本、材料版本、配置版本、提示内容和实际披露正文。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处理变化：</w:t>
      </w:r>
      <w:r>
        <w:rPr>
          <w:rFonts w:ascii="Arial Unicode MS" w:hAnsi="Arial Unicode MS" w:eastAsia="Arial Unicode MS"/>
          <w:color w:val="20332F"/>
          <w:sz w:val="21"/>
        </w:rPr>
        <w:t>披露正文、材料或配置发生变化时重新生成并冻结请求。不要把旧审批套用于新内容。</w:t>
      </w:r>
    </w:p>
    <w:p>
      <w:pPr>
        <w:pStyle w:val="Heading1"/>
        <w:keepNext/>
      </w:pPr>
      <w:r>
        <w:t>7.2 系统状态与处理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页面状态</w:t>
            </w:r>
          </w:p>
        </w:tc>
        <w:tc>
          <w:tcPr>
            <w:tcW w:type="dxa" w:w="351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8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应采取的操作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待人工复核</w:t>
            </w:r>
          </w:p>
        </w:tc>
        <w:tc>
          <w:tcPr>
            <w:tcW w:type="dxa" w:w="351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系统未直接阻断，但需要具名人员判断</w:t>
            </w:r>
          </w:p>
        </w:tc>
        <w:tc>
          <w:tcPr>
            <w:tcW w:type="dxa" w:w="368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由法学复核人员检查并提交结论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已暂停 / 已阻断</w:t>
            </w:r>
          </w:p>
        </w:tc>
        <w:tc>
          <w:tcPr>
            <w:tcW w:type="dxa" w:w="351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当前请求不能继续</w:t>
            </w:r>
          </w:p>
        </w:tc>
        <w:tc>
          <w:tcPr>
            <w:tcW w:type="dxa" w:w="368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阅读原因；修改材料或披露后创建关联后继任务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人工复核已否决</w:t>
            </w:r>
          </w:p>
        </w:tc>
        <w:tc>
          <w:tcPr>
            <w:tcW w:type="dxa" w:w="351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法学复核人员不允许当前请求继续</w:t>
            </w:r>
          </w:p>
        </w:tc>
        <w:tc>
          <w:tcPr>
            <w:tcW w:type="dxa" w:w="368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保留意见；调整内容后新建任务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已批准</w:t>
            </w:r>
          </w:p>
        </w:tc>
        <w:tc>
          <w:tcPr>
            <w:tcW w:type="dxa" w:w="351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审批人员批准当前冻结版本</w:t>
            </w:r>
          </w:p>
        </w:tc>
        <w:tc>
          <w:tcPr>
            <w:tcW w:type="dxa" w:w="368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由案件操作人员执行；批准不等于已发送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排队 / 执行中</w:t>
            </w:r>
          </w:p>
        </w:tc>
        <w:tc>
          <w:tcPr>
            <w:tcW w:type="dxa" w:w="351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任务已进入执行链路</w:t>
            </w:r>
          </w:p>
        </w:tc>
        <w:tc>
          <w:tcPr>
            <w:tcW w:type="dxa" w:w="368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等待状态更新，不重复执行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完成</w:t>
            </w:r>
          </w:p>
        </w:tc>
        <w:tc>
          <w:tcPr>
            <w:tcW w:type="dxa" w:w="351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执行任务已结束并产生结果</w:t>
            </w:r>
          </w:p>
        </w:tc>
        <w:tc>
          <w:tcPr>
            <w:tcW w:type="dxa" w:w="368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进入摘要与回链完成人工确认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状态不明 / 失败</w:t>
            </w:r>
          </w:p>
        </w:tc>
        <w:tc>
          <w:tcPr>
            <w:tcW w:type="dxa" w:w="351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执行结果无法确定或任务失败</w:t>
            </w:r>
          </w:p>
        </w:tc>
        <w:tc>
          <w:tcPr>
            <w:tcW w:type="dxa" w:w="368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先查事件和账本，不盲目重发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依据已变化</w:t>
            </w:r>
          </w:p>
        </w:tc>
        <w:tc>
          <w:tcPr>
            <w:tcW w:type="dxa" w:w="351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材料、规则或配置与任务快照不一致</w:t>
            </w:r>
          </w:p>
        </w:tc>
        <w:tc>
          <w:tcPr>
            <w:tcW w:type="dxa" w:w="368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新建任务并重新完成检查与审批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7.3 人工复核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切换到复核账号：</w:t>
      </w:r>
      <w:r>
        <w:rPr>
          <w:rFonts w:ascii="Arial Unicode MS" w:hAnsi="Arial Unicode MS" w:eastAsia="Arial Unicode MS"/>
          <w:color w:val="20332F"/>
          <w:sz w:val="21"/>
        </w:rPr>
        <w:t>由具有 legal_reviewer 权限的具名账号进入同一案件和当前任务。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核对事实与依据：</w:t>
      </w:r>
      <w:r>
        <w:rPr>
          <w:rFonts w:ascii="Arial Unicode MS" w:hAnsi="Arial Unicode MS" w:eastAsia="Arial Unicode MS"/>
          <w:color w:val="20332F"/>
          <w:sz w:val="21"/>
        </w:rPr>
        <w:t>阅读事实来源、披露必要性、规则依据、系统阻断项、残余关联风险和实际请求正文。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填写复核意见：</w:t>
      </w:r>
      <w:r>
        <w:rPr>
          <w:rFonts w:ascii="Arial Unicode MS" w:hAnsi="Arial Unicode MS" w:eastAsia="Arial Unicode MS"/>
          <w:color w:val="20332F"/>
          <w:sz w:val="21"/>
        </w:rPr>
        <w:t>明确记录允许、否决或暂停的理由，并引用相应事实或证据。技术状态不能替代法学判断。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提交结论：</w:t>
      </w:r>
      <w:r>
        <w:rPr>
          <w:rFonts w:ascii="Arial Unicode MS" w:hAnsi="Arial Unicode MS" w:eastAsia="Arial Unicode MS"/>
          <w:color w:val="20332F"/>
          <w:sz w:val="21"/>
        </w:rPr>
        <w:t>提交复核结果。否决和暂停只作用于当前请求，历史初检记录继续保留。</w:t>
      </w:r>
    </w:p>
    <w:p>
      <w:pPr>
        <w:pStyle w:val="Heading1"/>
        <w:keepNext/>
      </w:pPr>
      <w:r>
        <w:t>7.4 审批与执行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审批当前请求：</w:t>
      </w:r>
      <w:r>
        <w:rPr>
          <w:rFonts w:ascii="Arial Unicode MS" w:hAnsi="Arial Unicode MS" w:eastAsia="Arial Unicode MS"/>
          <w:color w:val="20332F"/>
          <w:sz w:val="21"/>
        </w:rPr>
        <w:t>由 approver 账号核对接收方、处理目的、模型、规则版本、材料版本和披露正文，批准或拒绝当前完整请求。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返回案件操作账号：</w:t>
      </w:r>
      <w:r>
        <w:rPr>
          <w:rFonts w:ascii="Arial Unicode MS" w:hAnsi="Arial Unicode MS" w:eastAsia="Arial Unicode MS"/>
          <w:color w:val="20332F"/>
          <w:sz w:val="21"/>
        </w:rPr>
        <w:t>批准后由 case_operator 或管理员进入任务。审批人员不能替代案件操作人员执行发送。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执行任务：</w:t>
      </w:r>
      <w:r>
        <w:rPr>
          <w:rFonts w:ascii="Arial Unicode MS" w:hAnsi="Arial Unicode MS" w:eastAsia="Arial Unicode MS"/>
          <w:color w:val="20332F"/>
          <w:sz w:val="21"/>
        </w:rPr>
        <w:t>根据任务类型选择“执行任务”“生成本地摘要草稿”或“发送至已批准云端”。按钮文案反映当前任务的实际执行方式。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观察状态：</w:t>
      </w:r>
      <w:r>
        <w:rPr>
          <w:rFonts w:ascii="Arial Unicode MS" w:hAnsi="Arial Unicode MS" w:eastAsia="Arial Unicode MS"/>
          <w:color w:val="20332F"/>
          <w:sz w:val="21"/>
        </w:rPr>
        <w:t>查看排队、执行中、完成、失败或状态不明。超时或状态不明时先查审计事件和网关记录，不重复点击执行。</w:t>
      </w:r>
    </w:p>
    <w:p>
      <w:pPr>
        <w:pStyle w:val="Heading1"/>
        <w:keepNext/>
      </w:pPr>
      <w:r>
        <w:t>7.5 正式外部处理的附加条件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正式外部处理除当前请求的人工复核与批准外，还可能要求有效规则、法学证据、服务商档案、风险检查、隔离验证和一次性许可。页面显示“可用”只表示能力或参数存在，不代表本案已经获得授权。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28"/>
            <w:shd w:fill="FFF4DD"/>
            <w:tcBorders>
              <w:top w:val="single" w:sz="6" w:color="A66800"/>
              <w:left w:val="single" w:sz="18" w:color="A66800"/>
              <w:bottom w:val="single" w:sz="6" w:color="A66800"/>
              <w:right w:val="single" w:sz="6" w:color="A66800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A66800"/>
                <w:sz w:val="20"/>
              </w:rPr>
              <w:t>未完成即保持关闭</w:t>
            </w:r>
          </w:p>
          <w:p>
            <w:pPr>
              <w:spacing w:after="0" w:line="312" w:lineRule="auto"/>
            </w:pPr>
            <w:r>
              <w:rPr>
                <w:rFonts w:ascii="Arial Unicode MS" w:hAnsi="Arial Unicode MS" w:eastAsia="Arial Unicode MS"/>
                <w:color w:val="20332F"/>
                <w:sz w:val="19"/>
              </w:rPr>
              <w:t>风险攻击或网络隔离在当前部署中未运行、未配置、不可用或仍待建设时，应保持未完成状态，不应把配置展示或历史记录解释为当前请求已经通过。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8  摘要与回链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本阶段核对任务结果与其实际使用的事实、来源和版本，确认输出没有扩大、合并或改变材料含义。</w:t>
      </w:r>
    </w:p>
    <w:p>
      <w:pPr>
        <w:pStyle w:val="Heading1"/>
        <w:keepNext/>
      </w:pPr>
      <w:r>
        <w:t>8.1 查看结果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进入结果页：</w:t>
      </w:r>
      <w:r>
        <w:rPr>
          <w:rFonts w:ascii="Arial Unicode MS" w:hAnsi="Arial Unicode MS" w:eastAsia="Arial Unicode MS"/>
          <w:color w:val="20332F"/>
          <w:sz w:val="21"/>
        </w:rPr>
        <w:t>任务完成后选择“查看摘要与回链”，或直接打开“04 摘要与回链”。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识别结果来源：</w:t>
      </w:r>
      <w:r>
        <w:rPr>
          <w:rFonts w:ascii="Arial Unicode MS" w:hAnsi="Arial Unicode MS" w:eastAsia="Arial Unicode MS"/>
          <w:color w:val="20332F"/>
          <w:sz w:val="21"/>
        </w:rPr>
        <w:t>确认页面标注的是本地确定性结果、外部服务回写结果或其他运行来源。不同来源的结果不得混写。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检查引用关系：</w:t>
      </w:r>
      <w:r>
        <w:rPr>
          <w:rFonts w:ascii="Arial Unicode MS" w:hAnsi="Arial Unicode MS" w:eastAsia="Arial Unicode MS"/>
          <w:color w:val="20332F"/>
          <w:sz w:val="21"/>
        </w:rPr>
        <w:t>逐条查看摘要、source_ids、已使用事实、未使用事实和缺口。结果缺少来源时，不应直接确认。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回到原文：</w:t>
      </w:r>
      <w:r>
        <w:rPr>
          <w:rFonts w:ascii="Arial Unicode MS" w:hAnsi="Arial Unicode MS" w:eastAsia="Arial Unicode MS"/>
          <w:color w:val="20332F"/>
          <w:sz w:val="21"/>
        </w:rPr>
        <w:t>通过来源入口定位原文段落、页码、单元格或时间码，核对主体、时间、金额、立场和程序结果。</w:t>
      </w:r>
    </w:p>
    <w:p>
      <w:pPr>
        <w:pStyle w:val="Heading1"/>
        <w:keepNext/>
      </w:pPr>
      <w:r>
        <w:t>8.2 人工确认与返工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验收时应确保主体没有互换，稳定代称没有在不同主体之间复用；当事人主张、对方否认、法院认定和程序结果保持原有层级；未知信息继续保持未知。发现问题时，应保留缺口或退回事实、披露阶段修改，不自行补充材料中不存在的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368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通过标准</w:t>
            </w:r>
          </w:p>
        </w:tc>
        <w:tc>
          <w:tcPr>
            <w:tcW w:type="dxa" w:w="3515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不通过时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事实一致性</w:t>
            </w:r>
          </w:p>
        </w:tc>
        <w:tc>
          <w:tcPr>
            <w:tcW w:type="dxa" w:w="368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主体、关系、事件、日期、金额与来源一致</w:t>
            </w:r>
          </w:p>
        </w:tc>
        <w:tc>
          <w:tcPr>
            <w:tcW w:type="dxa" w:w="351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返回事实卡修订并新建任务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表达层级</w:t>
            </w:r>
          </w:p>
        </w:tc>
        <w:tc>
          <w:tcPr>
            <w:tcW w:type="dxa" w:w="368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主张、否认、认定和程序结果区分明确</w:t>
            </w:r>
          </w:p>
        </w:tc>
        <w:tc>
          <w:tcPr>
            <w:tcW w:type="dxa" w:w="351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修改披露或结果，不合并表述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来源完整性</w:t>
            </w:r>
          </w:p>
        </w:tc>
        <w:tc>
          <w:tcPr>
            <w:tcW w:type="dxa" w:w="368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每条关键陈述可回到事实和原文</w:t>
            </w:r>
          </w:p>
        </w:tc>
        <w:tc>
          <w:tcPr>
            <w:tcW w:type="dxa" w:w="3515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保留缺口，不确认最终结果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披露边界</w:t>
            </w:r>
          </w:p>
        </w:tc>
        <w:tc>
          <w:tcPr>
            <w:tcW w:type="dxa" w:w="368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结果未带回未批准的原文或身份信息</w:t>
            </w:r>
          </w:p>
        </w:tc>
        <w:tc>
          <w:tcPr>
            <w:tcW w:type="dxa" w:w="3515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停止确认并复核请求与执行记录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8.3 导出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默认导出面向披露结果的云端视图。包含真实身份、映射和原文锚点的内部复核包仅用于受控本地复核，并应按系统提示完成逐项确认和具名二次确认。审计导出用于重建材料、事实、披露、风险、批准和执行过程。</w:t>
      </w: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9  法学、治理与系统设置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这些模块为案件流程提供规则、证据、服务条件、环境能力和账号权限。入口是否可见取决于当前角色。</w:t>
      </w:r>
    </w:p>
    <w:p>
      <w:pPr>
        <w:pStyle w:val="Heading1"/>
        <w:keepNext/>
      </w:pPr>
      <w:r>
        <w:t>9.1 法学规则中心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法学规则中心用于查看和维护任务契约、适用范围、字段处理规则、法源依据和版本状态。准备、法学复核和发布是独立操作；规则发布仅使规则进入后续门禁，不批准任何具体请求。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查看规则包的版本、适用案件类型、允许字段和处理方式。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登记或引用法学证据，填写具名复核记录和适用范围。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由有权限的人员发布、激活或退役规则；历史版本和激活记录继续保留。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规则未达到当前任务要求时，正式请求保持关闭。</w:t>
      </w:r>
    </w:p>
    <w:p>
      <w:pPr>
        <w:pStyle w:val="Heading1"/>
        <w:keepNext/>
      </w:pPr>
      <w:r>
        <w:t>9.2 法学证据登记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法学证据登记用于为正式案件保存受控法学表格、签署材料或其他依据。上传只登记文件和哈希，不自动表示已经核验、已经发布或允许外部处理。复核人员可将记录标记为待补正或证据已核齐，并保留意见。</w:t>
      </w:r>
    </w:p>
    <w:p>
      <w:pPr>
        <w:pStyle w:val="Heading1"/>
        <w:keepNext/>
      </w:pPr>
      <w:r>
        <w:t>9.3 服务商治理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服务商治理用于登记外部服务的合同主体、处理地区、留存期限、删除机制、训练用途、人工访问、分包和允许任务。档案关键字段变化后应重新复核。服务商档案可用不等于具体案件获得授权。</w:t>
      </w:r>
    </w:p>
    <w:p>
      <w:pPr>
        <w:pStyle w:val="Heading1"/>
        <w:keepNext/>
      </w:pPr>
      <w:r>
        <w:t>9.4 隔离实验</w:t>
      </w: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隔离实验用于在受控环境中组织身份恢复、候选集合缩小、敏感事实推断和跨轮关联等检查。实验必须绑定当前请求、环境和输入；历史结果不能自动替代本次检查。当前部署未启用该能力时，以页面的未完成或不可用状态为准。</w:t>
      </w:r>
    </w:p>
    <w:p>
      <w:pPr>
        <w:pStyle w:val="Heading1"/>
        <w:keepNext/>
      </w:pPr>
      <w:r>
        <w:t>9.5 运行配置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1  查看能力状态：</w:t>
      </w:r>
      <w:r>
        <w:rPr>
          <w:rFonts w:ascii="Arial Unicode MS" w:hAnsi="Arial Unicode MS" w:eastAsia="Arial Unicode MS"/>
          <w:color w:val="20332F"/>
          <w:sz w:val="21"/>
        </w:rPr>
        <w:t>管理员进入“运行配置”，检查边侧小模型、云端网关、本地 OCR、本机转写、风险攻击、网络隔离等状态。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2  核对服务参数：</w:t>
      </w:r>
      <w:r>
        <w:rPr>
          <w:rFonts w:ascii="Arial Unicode MS" w:hAnsi="Arial Unicode MS" w:eastAsia="Arial Unicode MS"/>
          <w:color w:val="20332F"/>
          <w:sz w:val="21"/>
        </w:rPr>
        <w:t>查看本地服务地址、云端目标、模型、服务商档案、处理预算和主备槽设置。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3  保存配置：</w:t>
      </w:r>
      <w:r>
        <w:rPr>
          <w:rFonts w:ascii="Arial Unicode MS" w:hAnsi="Arial Unicode MS" w:eastAsia="Arial Unicode MS"/>
          <w:color w:val="20332F"/>
          <w:sz w:val="21"/>
        </w:rPr>
        <w:t>修改后选择“保存运行配置”。配置变化会使引用旧配置的任务失效，需要重新创建任务。</w:t>
      </w:r>
    </w:p>
    <w:p>
      <w:pPr>
        <w:spacing w:after="100" w:line="336" w:lineRule="auto"/>
        <w:ind w:left="142" w:hanging="142"/>
      </w:pPr>
      <w:r>
        <w:rPr>
          <w:rFonts w:ascii="Arial Unicode MS" w:hAnsi="Arial Unicode MS" w:eastAsia="Arial Unicode MS"/>
          <w:b/>
          <w:color w:val="174C43"/>
          <w:sz w:val="21"/>
        </w:rPr>
        <w:t>步骤 4  保护密钥：</w:t>
      </w:r>
      <w:r>
        <w:rPr>
          <w:rFonts w:ascii="Arial Unicode MS" w:hAnsi="Arial Unicode MS" w:eastAsia="Arial Unicode MS"/>
          <w:color w:val="20332F"/>
          <w:sz w:val="21"/>
        </w:rPr>
        <w:t>云端 API 密钥仅应配置在外发网关或受控环境变量中；界面和业务 API 不显示明文密钥。</w:t>
      </w:r>
    </w:p>
    <w:p>
      <w:pPr>
        <w:pStyle w:val="Heading1"/>
        <w:keepNext/>
      </w:pPr>
      <w:r>
        <w:t>9.6 本地用户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268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6633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典型权限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admin</w:t>
            </w:r>
          </w:p>
        </w:tc>
        <w:tc>
          <w:tcPr>
            <w:tcW w:type="dxa" w:w="663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管理账号、运行配置和治理模块；可执行受控管理操作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case_operator</w:t>
            </w:r>
          </w:p>
        </w:tc>
        <w:tc>
          <w:tcPr>
            <w:tcW w:type="dxa" w:w="6633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建立案件、上传材料、整理事实、建立任务和执行获准任务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technical_reviewer</w:t>
            </w:r>
          </w:p>
        </w:tc>
        <w:tc>
          <w:tcPr>
            <w:tcW w:type="dxa" w:w="663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维护技术检查、风险与隔离相关记录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legal_reviewer</w:t>
            </w:r>
          </w:p>
        </w:tc>
        <w:tc>
          <w:tcPr>
            <w:tcW w:type="dxa" w:w="6633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复核规则、法学证据、披露必要性和结果表达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approver</w:t>
            </w:r>
          </w:p>
        </w:tc>
        <w:tc>
          <w:tcPr>
            <w:tcW w:type="dxa" w:w="663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阅读完整请求并批准或拒绝当前版本</w:t>
            </w:r>
          </w:p>
        </w:tc>
      </w:tr>
    </w:tbl>
    <w:p>
      <w:pPr>
        <w:spacing w:after="0"/>
      </w:pPr>
    </w:p>
    <w:p>
      <w:pPr>
        <w:keepLines w:val="0"/>
        <w:spacing w:after="100" w:line="348" w:lineRule="auto"/>
      </w:pPr>
      <w:r>
        <w:rPr>
          <w:rFonts w:ascii="Arial Unicode MS" w:hAnsi="Arial Unicode MS" w:eastAsia="Arial Unicode MS"/>
          <w:color w:val="20332F"/>
          <w:sz w:val="21"/>
        </w:rPr>
        <w:t>管理员可创建账号、调整角色并启用或停用用户。系统保护最后一个管理员账号，避免失去管理入口。角色变更和停用对后续请求生效；已有审计记录继续保留原操作主体。</w:t>
      </w: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10  输出、留痕与异常处理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系统按阶段产生中间产物，并以事件记录重建一次完整处理过程。</w:t>
      </w:r>
    </w:p>
    <w:p>
      <w:pPr>
        <w:pStyle w:val="Heading1"/>
        <w:keepNext/>
      </w:pPr>
      <w:r>
        <w:t>10.1 主要输入与输出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23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主要输入</w:t>
            </w:r>
          </w:p>
        </w:tc>
        <w:tc>
          <w:tcPr>
            <w:tcW w:type="dxa" w:w="3969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主要输出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材料解析</w:t>
            </w:r>
          </w:p>
        </w:tc>
        <w:tc>
          <w:tcPr>
            <w:tcW w:type="dxa" w:w="323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文档、表格、图片、音视频</w:t>
            </w:r>
          </w:p>
        </w:tc>
        <w:tc>
          <w:tcPr>
            <w:tcW w:type="dxa" w:w="3969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材料版本、段落、锚点、解析状态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事实整理</w:t>
            </w:r>
          </w:p>
        </w:tc>
        <w:tc>
          <w:tcPr>
            <w:tcW w:type="dxa" w:w="323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解析内容和人工补充</w:t>
            </w:r>
          </w:p>
        </w:tc>
        <w:tc>
          <w:tcPr>
            <w:tcW w:type="dxa" w:w="3969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事实卡、确认状态、来源列表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披露控制</w:t>
            </w:r>
          </w:p>
        </w:tc>
        <w:tc>
          <w:tcPr>
            <w:tcW w:type="dxa" w:w="323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事实、任务目的和规则</w:t>
            </w:r>
          </w:p>
        </w:tc>
        <w:tc>
          <w:tcPr>
            <w:tcW w:type="dxa" w:w="3969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必要性、处理动作、披露文本、残余风险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请求冻结</w:t>
            </w:r>
          </w:p>
        </w:tc>
        <w:tc>
          <w:tcPr>
            <w:tcW w:type="dxa" w:w="323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披露内容、目标和配置</w:t>
            </w:r>
          </w:p>
        </w:tc>
        <w:tc>
          <w:tcPr>
            <w:tcW w:type="dxa" w:w="3969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完整请求快照与请求哈希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风险审批</w:t>
            </w:r>
          </w:p>
        </w:tc>
        <w:tc>
          <w:tcPr>
            <w:tcW w:type="dxa" w:w="323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请求快照与治理状态</w:t>
            </w:r>
          </w:p>
        </w:tc>
        <w:tc>
          <w:tcPr>
            <w:tcW w:type="dxa" w:w="3969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阻断原因、复核记录、批准记录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执行与回链</w:t>
            </w:r>
          </w:p>
        </w:tc>
        <w:tc>
          <w:tcPr>
            <w:tcW w:type="dxa" w:w="323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获准请求及执行结果</w:t>
            </w:r>
          </w:p>
        </w:tc>
        <w:tc>
          <w:tcPr>
            <w:tcW w:type="dxa" w:w="3969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结果、引用关系、缺口、未使用事实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审计导出</w:t>
            </w:r>
          </w:p>
        </w:tc>
        <w:tc>
          <w:tcPr>
            <w:tcW w:type="dxa" w:w="323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案件事件</w:t>
            </w:r>
          </w:p>
        </w:tc>
        <w:tc>
          <w:tcPr>
            <w:tcW w:type="dxa" w:w="3969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事件编号、时间、主体、类型和元数据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10.2 审计事件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118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082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核对要点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事件编号</w:t>
            </w:r>
          </w:p>
        </w:tc>
        <w:tc>
          <w:tcPr>
            <w:tcW w:type="dxa" w:w="311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事件的唯一标识</w:t>
            </w:r>
          </w:p>
        </w:tc>
        <w:tc>
          <w:tcPr>
            <w:tcW w:type="dxa" w:w="408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不能用列表顺序代替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发生时间</w:t>
            </w:r>
          </w:p>
        </w:tc>
        <w:tc>
          <w:tcPr>
            <w:tcW w:type="dxa" w:w="311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带时区的具体时间</w:t>
            </w:r>
          </w:p>
        </w:tc>
        <w:tc>
          <w:tcPr>
            <w:tcW w:type="dxa" w:w="408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用于判断先后关系和有效期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操作主体</w:t>
            </w:r>
          </w:p>
        </w:tc>
        <w:tc>
          <w:tcPr>
            <w:tcW w:type="dxa" w:w="311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执行操作的用户或系统</w:t>
            </w:r>
          </w:p>
        </w:tc>
        <w:tc>
          <w:tcPr>
            <w:tcW w:type="dxa" w:w="408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区分系统动作与具名业务角色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事件类型</w:t>
            </w:r>
          </w:p>
        </w:tc>
        <w:tc>
          <w:tcPr>
            <w:tcW w:type="dxa" w:w="311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发生了什么操作</w:t>
            </w:r>
          </w:p>
        </w:tc>
        <w:tc>
          <w:tcPr>
            <w:tcW w:type="dxa" w:w="408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事件名称不等于业务结论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元数据</w:t>
            </w:r>
          </w:p>
        </w:tc>
        <w:tc>
          <w:tcPr>
            <w:tcW w:type="dxa" w:w="311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材料、任务、请求和版本上下文</w:t>
            </w:r>
          </w:p>
        </w:tc>
        <w:tc>
          <w:tcPr>
            <w:tcW w:type="dxa" w:w="408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缺少关联字段时不得自行补齐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10.3 常见异常及处理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324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082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处理建议</w:t>
            </w:r>
          </w:p>
        </w:tc>
        <w:tc>
          <w:tcPr>
            <w:tcW w:type="dxa" w:w="2494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应保留内容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上传成功但解析失败</w:t>
            </w:r>
          </w:p>
        </w:tc>
        <w:tc>
          <w:tcPr>
            <w:tcW w:type="dxa" w:w="408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检查格式、截断、图片文字层和文件大小；修复后重试</w:t>
            </w:r>
          </w:p>
        </w:tc>
        <w:tc>
          <w:tcPr>
            <w:tcW w:type="dxa" w:w="249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材料版本、错误信息、原始文件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解析完成但事实抽取失败</w:t>
            </w:r>
          </w:p>
        </w:tc>
        <w:tc>
          <w:tcPr>
            <w:tcW w:type="dxa" w:w="408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不要把解析完成当作事实完成；修复响应或格式后新建任务</w:t>
            </w:r>
          </w:p>
        </w:tc>
        <w:tc>
          <w:tcPr>
            <w:tcW w:type="dxa" w:w="249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解析结果、抽取错误、任务编号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事实来源显示已更新</w:t>
            </w:r>
          </w:p>
        </w:tc>
        <w:tc>
          <w:tcPr>
            <w:tcW w:type="dxa" w:w="408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重新核对事实与新材料版本，生成新的披露任务</w:t>
            </w:r>
          </w:p>
        </w:tc>
        <w:tc>
          <w:tcPr>
            <w:tcW w:type="dxa" w:w="249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旧事实、旧任务和变化记录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风险检查未运行或不确定</w:t>
            </w:r>
          </w:p>
        </w:tc>
        <w:tc>
          <w:tcPr>
            <w:tcW w:type="dxa" w:w="408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对当前请求重新执行检查；未运行不按通过</w:t>
            </w:r>
          </w:p>
        </w:tc>
        <w:tc>
          <w:tcPr>
            <w:tcW w:type="dxa" w:w="249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协议、环境、输入和检查结果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规则或服务商条件不完整</w:t>
            </w:r>
          </w:p>
        </w:tc>
        <w:tc>
          <w:tcPr>
            <w:tcW w:type="dxa" w:w="408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由相应责任人补齐档案、复核或发布记录</w:t>
            </w:r>
          </w:p>
        </w:tc>
        <w:tc>
          <w:tcPr>
            <w:tcW w:type="dxa" w:w="249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规则版本、档案版本和复核记录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人工复核不通过</w:t>
            </w:r>
          </w:p>
        </w:tc>
        <w:tc>
          <w:tcPr>
            <w:tcW w:type="dxa" w:w="408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按意见减少披露、降低精度或补充依据后新建后继任务</w:t>
            </w:r>
          </w:p>
        </w:tc>
        <w:tc>
          <w:tcPr>
            <w:tcW w:type="dxa" w:w="249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复核人、意见、请求版本和时间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执行超时或状态不明</w:t>
            </w:r>
          </w:p>
        </w:tc>
        <w:tc>
          <w:tcPr>
            <w:tcW w:type="dxa" w:w="4082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先查事件和网关账本，不盲目重发或切换目标</w:t>
            </w:r>
          </w:p>
        </w:tc>
        <w:tc>
          <w:tcPr>
            <w:tcW w:type="dxa" w:w="2494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请求标识、时间、状态及后续核验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输出缺少来源或存在冲突</w:t>
            </w:r>
          </w:p>
        </w:tc>
        <w:tc>
          <w:tcPr>
            <w:tcW w:type="dxa" w:w="4082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返回事实与材料阶段复核，不确认结果</w:t>
            </w:r>
          </w:p>
        </w:tc>
        <w:tc>
          <w:tcPr>
            <w:tcW w:type="dxa" w:w="2494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7"/>
              </w:rPr>
              <w:t>冲突项、来源、人工处置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11  适用范围与使用边界</w:t>
      </w:r>
    </w:p>
    <w:p>
      <w:pPr>
        <w:keepLines w:val="0"/>
        <w:spacing w:after="200" w:line="348" w:lineRule="auto"/>
      </w:pPr>
      <w:r>
        <w:rPr>
          <w:rFonts w:ascii="Arial Unicode MS" w:hAnsi="Arial Unicode MS" w:eastAsia="Arial Unicode MS"/>
          <w:color w:val="66706D"/>
          <w:sz w:val="21"/>
        </w:rPr>
        <w:t>本章用于确认系统适合处理的工作，以及使用过程中必须保留的责任边界。</w:t>
      </w:r>
    </w:p>
    <w:p>
      <w:pPr>
        <w:pStyle w:val="Heading1"/>
        <w:keepNext/>
      </w:pPr>
      <w:r>
        <w:t>11.1 适用场景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法律文书、合同、证据清单和案件材料的本地整理与来源定位。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围绕明确任务目的形成逐项披露方案并完成具名人工复核。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在调用外部服务前检查规则、服务商、风险、隔离和审批状态。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对本地结果或外部回写结果进行来源区分、逐句回链和人工确认。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通过事件日志重建材料、事实、披露、风险、批准和执行过程。</w:t>
      </w:r>
    </w:p>
    <w:p>
      <w:pPr>
        <w:pStyle w:val="Heading1"/>
        <w:keepNext/>
      </w:pPr>
      <w:r>
        <w:t>11.2 使用限制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系统不是自动法律裁判工具，输出不能替代律师意见、组织授权或审批责任。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代号替换和适度模糊化可以降低直接识别风险，但不自动等于匿名化或零风险。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页面状态反映当前材料、规则、配置和任务；关键输入变化会使历史任务失效。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批准、执行完成和结果确认是不同事件，应分别核对。</w:t>
      </w:r>
    </w:p>
    <w:p>
      <w:pPr>
        <w:spacing w:after="60" w:line="324" w:lineRule="auto"/>
        <w:ind w:left="369" w:hanging="238"/>
      </w:pPr>
      <w:r>
        <w:rPr>
          <w:rFonts w:ascii="Arial Unicode MS" w:hAnsi="Arial Unicode MS" w:eastAsia="Arial Unicode MS"/>
          <w:color w:val="20332F"/>
          <w:sz w:val="20"/>
        </w:rPr>
        <w:t>•  界面功能存在、服务已配置或单次任务成功，均不能直接推出长期可用率、准确率或风险为零。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128"/>
            <w:shd w:fill="EAF4F1"/>
            <w:tcBorders>
              <w:top w:val="single" w:sz="6" w:color="174C43"/>
              <w:left w:val="single" w:sz="18" w:color="174C43"/>
              <w:bottom w:val="single" w:sz="6" w:color="174C43"/>
              <w:right w:val="single" w:sz="6" w:color="174C43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74C43"/>
                <w:sz w:val="20"/>
              </w:rPr>
              <w:t>正式使用建议</w:t>
            </w:r>
          </w:p>
          <w:p>
            <w:pPr>
              <w:spacing w:after="0" w:line="312" w:lineRule="auto"/>
            </w:pPr>
            <w:r>
              <w:rPr>
                <w:rFonts w:ascii="Arial Unicode MS" w:hAnsi="Arial Unicode MS" w:eastAsia="Arial Unicode MS"/>
                <w:color w:val="20332F"/>
                <w:sz w:val="19"/>
              </w:rPr>
              <w:t>以当前部署说明、有效规则、已核验服务商档案和组织制度为准。遇到状态冲突时，以当前请求快照、具名复核记录和审计事件为依据。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Chapter"/>
        <w:spacing w:after="160"/>
      </w:pPr>
      <w:r>
        <w:rPr>
          <w:rFonts w:ascii="Arial Unicode MS" w:hAnsi="Arial Unicode MS" w:eastAsia="Arial Unicode MS"/>
          <w:b/>
          <w:color w:val="174C43"/>
          <w:sz w:val="42"/>
        </w:rPr>
        <w:t>附录 A  术语说明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1928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973"/>
            <w:shd w:fill="174C4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边侧</w:t>
            </w:r>
          </w:p>
        </w:tc>
        <w:tc>
          <w:tcPr>
            <w:tcW w:type="dxa" w:w="697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保存原始材料、身份映射和内部复核信息的本地环境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事实卡</w:t>
            </w:r>
          </w:p>
        </w:tc>
        <w:tc>
          <w:tcPr>
            <w:tcW w:type="dxa" w:w="6973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从材料中整理出的可独立核对命题，带有类型、确认状态和来源锚点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披露方案</w:t>
            </w:r>
          </w:p>
        </w:tc>
        <w:tc>
          <w:tcPr>
            <w:tcW w:type="dxa" w:w="697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对每项事实的必要性、精度、处理动作、理由和残余风险记录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请求快照</w:t>
            </w:r>
          </w:p>
        </w:tc>
        <w:tc>
          <w:tcPr>
            <w:tcW w:type="dxa" w:w="6973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提交审批前冻结的目标、模型、披露正文、规则、材料和配置版本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来源回链</w:t>
            </w:r>
          </w:p>
        </w:tc>
        <w:tc>
          <w:tcPr>
            <w:tcW w:type="dxa" w:w="697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从结果或事实返回边侧原文位置的关联能力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具名复核</w:t>
            </w:r>
          </w:p>
        </w:tc>
        <w:tc>
          <w:tcPr>
            <w:tcW w:type="dxa" w:w="6973"/>
            <w:vAlign w:val="center"/>
            <w:shd w:fill="F6F8F7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由具有相应角色的登录用户对当前版本提交可追溯意见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后继任务</w:t>
            </w:r>
          </w:p>
        </w:tc>
        <w:tc>
          <w:tcPr>
            <w:tcW w:type="dxa" w:w="6973"/>
            <w:vAlign w:val="center"/>
            <w:tcBorders>
              <w:top w:val="single" w:sz="4" w:color="C9D6D2"/>
              <w:left w:val="single" w:sz="4" w:color="C9D6D2"/>
              <w:bottom w:val="single" w:sz="4" w:color="C9D6D2"/>
              <w:right w:val="single" w:sz="4" w:color="C9D6D2"/>
            </w:tcBorders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20332F"/>
                <w:sz w:val="18"/>
              </w:rPr>
              <w:t>当前请求修改或被否决后，基于保留记录重新建立的新任务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  快速操作清单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1.  使用具名账号登录并确认角色。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2.  新建案件，确认案件名称和当前工作空间。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3.  上传材料，检查材料版本、解析状态和识别提示。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4.  逐项核对事实，并使用“查看原文依据”确认上下文。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5.  运行本地时间线、证据清单或争点候选时，确认其不构成法律结论。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6.  生成披露方案，逐项选择必要性和处理动作。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7.  核对实际披露正文、信息损失和残余风险。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8.  检验风险并冻结请求，展开完整请求核对目标和版本。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9.  由法学复核人员提交当前请求的具名结论。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10.  由审批人员批准当前完整请求。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11.  由案件操作人员执行任务，并观察真实状态。</w:t>
      </w:r>
    </w:p>
    <w:p>
      <w:pPr>
        <w:spacing w:after="80"/>
        <w:ind w:left="397" w:hanging="397"/>
      </w:pPr>
      <w:r>
        <w:rPr>
          <w:rFonts w:ascii="Arial Unicode MS" w:hAnsi="Arial Unicode MS" w:eastAsia="Arial Unicode MS"/>
          <w:color w:val="20332F"/>
          <w:sz w:val="21"/>
        </w:rPr>
        <w:t>12.  在摘要与回链中逐句核对、确认、导出和归档。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567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6D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6706D"/>
        <w:sz w:val="17"/>
      </w:rPr>
      <w:t>案隐盾法律隐私工作台  ·  操作说明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Arial Unicode MS" w:hAnsi="Arial Unicode MS" w:eastAsia="Arial Unicode MS"/>
      <w:color w:val="2033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C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33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4C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hapter">
    <w:name w:val="Title Chapter"/>
    <w:pPr>
      <w:keepNext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案隐盾法律隐私工作台 操作说明</dc:title>
  <dc:subject>案隐盾 V1.0 系统操作说明</dc:subject>
  <dc:creator>案隐盾项目组</dc:creator>
  <cp:keywords>案隐盾, LexAegis, 操作说明, 法律隐私, 最小披露, 来源回链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