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312" w:lineRule="auto"/>
      </w:pPr>
      <w:r>
        <w:rPr>
          <w:rFonts w:ascii="Arial Unicode MS" w:hAnsi="Arial Unicode MS" w:eastAsia="Arial Unicode MS" w:cs="Arial Unicode MS"/>
          <w:b/>
          <w:color w:val="000000"/>
          <w:sz w:val="38"/>
        </w:rPr>
        <w:t>LA003 平台配送劳动争议案件材料</w:t>
      </w:r>
    </w:p>
    <w:p>
      <w:pPr>
        <w:pStyle w:val="Heading1"/>
        <w:spacing w:after="120" w:line="312" w:lineRule="auto"/>
      </w:pPr>
      <w:r>
        <w:rPr>
          <w:rFonts w:ascii="Arial Unicode MS" w:hAnsi="Arial Unicode MS" w:eastAsia="Arial Unicode MS" w:cs="Arial Unicode MS"/>
          <w:b/>
          <w:color w:val="000000"/>
          <w:sz w:val="26"/>
        </w:rPr>
        <w:t>本次摘要处理申请</w:t>
      </w:r>
    </w:p>
    <w:p>
      <w:pPr>
        <w:spacing w:after="140" w:line="300" w:lineRule="auto"/>
      </w:pPr>
      <w:r>
        <w:rPr>
          <w:rFonts w:ascii="Arial Unicode MS" w:hAnsi="Arial Unicode MS" w:eastAsia="Arial Unicode MS" w:cs="Arial Unicode MS"/>
          <w:b/>
          <w:color w:val="000000"/>
          <w:sz w:val="21"/>
        </w:rPr>
        <w:t xml:space="preserve">处理目的　</w:t>
      </w:r>
      <w:r>
        <w:rPr>
          <w:rFonts w:ascii="Arial Unicode MS" w:hAnsi="Arial Unicode MS" w:eastAsia="Arial Unicode MS" w:cs="Arial Unicode MS"/>
          <w:b w:val="0"/>
          <w:color w:val="000000"/>
          <w:sz w:val="21"/>
        </w:rPr>
        <w:t>形成一份仅用于劳动争议裁判要点整理的匿名事实摘要，说明平台用工中管理控制、业务组成和报酬结算的证据关系。</w:t>
      </w:r>
    </w:p>
    <w:p>
      <w:pPr>
        <w:spacing w:after="140" w:line="300" w:lineRule="auto"/>
      </w:pPr>
      <w:r>
        <w:rPr>
          <w:rFonts w:ascii="Arial Unicode MS" w:hAnsi="Arial Unicode MS" w:eastAsia="Arial Unicode MS" w:cs="Arial Unicode MS"/>
          <w:b/>
          <w:color w:val="000000"/>
          <w:sz w:val="21"/>
        </w:rPr>
        <w:t xml:space="preserve">申请披露范围　</w:t>
      </w:r>
      <w:r>
        <w:rPr>
          <w:rFonts w:ascii="Arial Unicode MS" w:hAnsi="Arial Unicode MS" w:eastAsia="Arial Unicode MS" w:cs="Arial Unicode MS"/>
          <w:b w:val="0"/>
          <w:color w:val="000000"/>
          <w:sz w:val="21"/>
        </w:rPr>
        <w:t>本次候选摘要只使用角色称谓、业务类型、管理行为、证据类别及给付项目类别。具体姓名、公司及平台品牌、配送站点、早会地点、案号、精确日期、群名、账号、银行流水和精确金额全部留在本地完整材料中。候选稿不承担给付金额核算或原案检索任务。</w:t>
      </w:r>
    </w:p>
    <w:p>
      <w:pPr>
        <w:spacing w:after="140" w:line="300" w:lineRule="auto"/>
      </w:pPr>
      <w:r>
        <w:rPr>
          <w:rFonts w:ascii="Arial Unicode MS" w:hAnsi="Arial Unicode MS" w:eastAsia="Arial Unicode MS" w:cs="Arial Unicode MS"/>
          <w:b/>
          <w:color w:val="000000"/>
          <w:sz w:val="21"/>
        </w:rPr>
        <w:t xml:space="preserve">案件事实范围　</w:t>
      </w:r>
      <w:r>
        <w:rPr>
          <w:rFonts w:ascii="Arial Unicode MS" w:hAnsi="Arial Unicode MS" w:eastAsia="Arial Unicode MS" w:cs="Arial Unicode MS"/>
          <w:b w:val="0"/>
          <w:color w:val="000000"/>
          <w:sz w:val="21"/>
        </w:rPr>
        <w:t>原文保留平台配送人员的全部诉讼请求、公司关于挂靠和外包的抗辩、站点交接及合作协议、接单与收入记录、排班请假沟通、封号和移出工作群争议，以及仲裁、一审、二审处理。裁判支持的双倍工资差额、经济补偿和工资差额，与未获支持的其他请求须分别表述。</w:t>
      </w:r>
    </w:p>
    <w:p>
      <w:pPr>
        <w:spacing w:after="140" w:line="300" w:lineRule="auto"/>
      </w:pPr>
      <w:r>
        <w:rPr>
          <w:rFonts w:ascii="Arial Unicode MS" w:hAnsi="Arial Unicode MS" w:eastAsia="Arial Unicode MS" w:cs="Arial Unicode MS"/>
          <w:b/>
          <w:color w:val="000000"/>
          <w:sz w:val="21"/>
        </w:rPr>
        <w:t xml:space="preserve">处理与复核要求　</w:t>
      </w:r>
      <w:r>
        <w:rPr>
          <w:rFonts w:ascii="Arial Unicode MS" w:hAnsi="Arial Unicode MS" w:eastAsia="Arial Unicode MS" w:cs="Arial Unicode MS"/>
          <w:b w:val="0"/>
          <w:color w:val="000000"/>
          <w:sz w:val="21"/>
        </w:rPr>
        <w:t>完整文书留在本地。具名复核人员应审查实际候选摘要的必要性、残余关联风险及本次处理范围；审批人员再确认接收方、用途和冻结请求。仅在当前请求通过检查、复核与批准后，系统才生成并交付相应摘要。此页不代替审批，也不表示完整原文获准外发。</w:t>
      </w:r>
    </w:p>
    <w:p>
      <w:pPr>
        <w:spacing w:after="140" w:line="300" w:lineRule="auto"/>
      </w:pPr>
      <w:r>
        <w:rPr>
          <w:rFonts w:ascii="Arial Unicode MS" w:hAnsi="Arial Unicode MS" w:eastAsia="Arial Unicode MS" w:cs="Arial Unicode MS"/>
          <w:b/>
          <w:color w:val="000000"/>
          <w:sz w:val="21"/>
        </w:rPr>
        <w:t xml:space="preserve">原文核对事项　</w:t>
      </w:r>
      <w:r>
        <w:rPr>
          <w:rFonts w:ascii="Arial Unicode MS" w:hAnsi="Arial Unicode MS" w:eastAsia="Arial Unicode MS" w:cs="Arial Unicode MS"/>
          <w:b w:val="0"/>
          <w:color w:val="000000"/>
          <w:sz w:val="21"/>
        </w:rPr>
        <w:t>原文的精确给付金额19387.81元、7355.7元、1596.38元及各项未获支持的请求完整保留在后文。本文首页提出的是本次摘要的最小范围，不删除本地案卷内容，也不将受限摘要的批准扩大到原判全文。</w:t>
      </w:r>
    </w:p>
    <w:p>
      <w:pPr>
        <w:spacing w:after="120" w:line="312" w:lineRule="auto"/>
      </w:pPr>
      <w:r>
        <w:rPr>
          <w:rFonts w:ascii="Arial Unicode MS" w:hAnsi="Arial Unicode MS" w:eastAsia="Arial Unicode MS" w:cs="Arial Unicode MS"/>
          <w:b w:val="0"/>
          <w:color w:val="000000"/>
          <w:sz w:val="22"/>
        </w:rPr>
        <w:t>后文完整保留所提供文书与原有案例标注。文书中的法院裁判结论与工作台对本次披露请求的处理决定分别记录。</w:t>
      </w:r>
    </w:p>
    <w:p>
      <w:r>
        <w:br w:type="page"/>
      </w:r>
    </w:p>
    <w:p>
      <w:pPr>
        <w:pStyle w:val="Heading1"/>
        <w:spacing w:after="120" w:line="312" w:lineRule="auto"/>
      </w:pPr>
      <w:r>
        <w:rPr>
          <w:rFonts w:ascii="Arial Unicode MS" w:hAnsi="Arial Unicode MS" w:eastAsia="Arial Unicode MS" w:cs="Arial Unicode MS"/>
          <w:b/>
          <w:color w:val="000000"/>
          <w:sz w:val="26"/>
        </w:rPr>
        <w:t>原始案件文书及标注</w:t>
      </w:r>
    </w:p>
    <w:p>
      <w:pPr>
        <w:spacing w:after="100" w:line="312" w:lineRule="auto"/>
        <w:ind w:firstLine="0"/>
      </w:pPr>
      <w:r>
        <w:rPr>
          <w:rFonts w:ascii="Arial Unicode MS" w:hAnsi="Arial Unicode MS" w:eastAsia="Arial Unicode MS" w:cs="Arial Unicode MS"/>
          <w:b w:val="0"/>
          <w:color w:val="000000"/>
          <w:sz w:val="22"/>
        </w:rPr>
        <w:t>北京市第二中级人民法院</w:t>
      </w:r>
    </w:p>
    <w:p>
      <w:pPr>
        <w:spacing w:after="100" w:line="312" w:lineRule="auto"/>
        <w:ind w:firstLine="0"/>
      </w:pPr>
      <w:r>
        <w:rPr>
          <w:rFonts w:ascii="Arial Unicode MS" w:hAnsi="Arial Unicode MS" w:eastAsia="Arial Unicode MS" w:cs="Arial Unicode MS"/>
          <w:b w:val="0"/>
          <w:color w:val="000000"/>
          <w:sz w:val="22"/>
        </w:rPr>
        <w:t>民事判决书</w:t>
      </w:r>
    </w:p>
    <w:p>
      <w:pPr>
        <w:spacing w:after="100" w:line="312" w:lineRule="auto"/>
        <w:ind w:firstLine="0"/>
      </w:pPr>
      <w:r>
        <w:rPr>
          <w:rFonts w:ascii="Arial Unicode MS" w:hAnsi="Arial Unicode MS" w:eastAsia="Arial Unicode MS" w:cs="Arial Unicode MS"/>
          <w:b w:val="0"/>
          <w:color w:val="000000"/>
          <w:sz w:val="22"/>
        </w:rPr>
        <w:t>(2026)京02民终8052号</w:t>
      </w:r>
    </w:p>
    <w:p>
      <w:pPr>
        <w:spacing w:after="100" w:line="312" w:lineRule="auto"/>
        <w:ind w:firstLine="0"/>
      </w:pPr>
      <w:r>
        <w:rPr>
          <w:rFonts w:ascii="Arial Unicode MS" w:hAnsi="Arial Unicode MS" w:eastAsia="Arial Unicode MS" w:cs="Arial Unicode MS"/>
          <w:b w:val="0"/>
          <w:color w:val="000000"/>
          <w:sz w:val="22"/>
        </w:rPr>
        <w:t>某甲公司与袁某劳动争议</w:t>
      </w:r>
    </w:p>
    <w:p>
      <w:pPr>
        <w:spacing w:after="100" w:line="312" w:lineRule="auto"/>
        <w:ind w:firstLine="0"/>
      </w:pPr>
      <w:r>
        <w:rPr>
          <w:rFonts w:ascii="Arial Unicode MS" w:hAnsi="Arial Unicode MS" w:eastAsia="Arial Unicode MS" w:cs="Arial Unicode MS"/>
          <w:b w:val="0"/>
          <w:color w:val="000000"/>
          <w:sz w:val="22"/>
        </w:rPr>
        <w:t>北京市第二中级人民法院</w:t>
      </w:r>
    </w:p>
    <w:p>
      <w:pPr>
        <w:spacing w:after="100" w:line="312" w:lineRule="auto"/>
        <w:ind w:firstLine="0"/>
      </w:pPr>
      <w:r>
        <w:rPr>
          <w:rFonts w:ascii="Arial Unicode MS" w:hAnsi="Arial Unicode MS" w:eastAsia="Arial Unicode MS" w:cs="Arial Unicode MS"/>
          <w:b w:val="0"/>
          <w:color w:val="000000"/>
          <w:sz w:val="22"/>
        </w:rPr>
        <w:t xml:space="preserve">     (2026)京02民终8052号</w:t>
      </w:r>
    </w:p>
    <w:p>
      <w:pPr>
        <w:spacing w:after="100" w:line="312" w:lineRule="auto"/>
        <w:ind w:firstLine="0"/>
      </w:pPr>
      <w:r>
        <w:rPr>
          <w:rFonts w:ascii="Arial Unicode MS" w:hAnsi="Arial Unicode MS" w:eastAsia="Arial Unicode MS" w:cs="Arial Unicode MS"/>
          <w:b w:val="0"/>
          <w:color w:val="000000"/>
          <w:sz w:val="22"/>
        </w:rPr>
        <w:t xml:space="preserve">　　上诉人(原审互为原、被告)：某甲公司。</w:t>
      </w:r>
    </w:p>
    <w:p>
      <w:pPr>
        <w:spacing w:after="100" w:line="312" w:lineRule="auto"/>
        <w:ind w:firstLine="0"/>
      </w:pPr>
      <w:r>
        <w:rPr>
          <w:rFonts w:ascii="Arial Unicode MS" w:hAnsi="Arial Unicode MS" w:eastAsia="Arial Unicode MS" w:cs="Arial Unicode MS"/>
          <w:b w:val="0"/>
          <w:color w:val="000000"/>
          <w:sz w:val="22"/>
        </w:rPr>
        <w:t xml:space="preserve">　　被上诉人(原审互为原、被告)：袁某。</w:t>
      </w:r>
    </w:p>
    <w:p>
      <w:pPr>
        <w:spacing w:after="100" w:line="312" w:lineRule="auto"/>
        <w:ind w:firstLine="369"/>
      </w:pPr>
      <w:r>
        <w:rPr>
          <w:rFonts w:ascii="Arial Unicode MS" w:hAnsi="Arial Unicode MS" w:eastAsia="Arial Unicode MS" w:cs="Arial Unicode MS"/>
          <w:b w:val="0"/>
          <w:color w:val="000000"/>
          <w:sz w:val="22"/>
        </w:rPr>
        <w:t xml:space="preserve">　　上诉人某甲公司因与被上诉人袁某劳动争议一案，不服北京市大兴区人民法院(2025)京0115民初33591号民事判决，向本院提起上诉。本院于2026年6月9日立案后，依法组成合议庭进行了审理，本案现已审理终结。</w:t>
      </w:r>
    </w:p>
    <w:p>
      <w:pPr>
        <w:spacing w:after="100" w:line="312" w:lineRule="auto"/>
        <w:ind w:firstLine="369"/>
      </w:pPr>
      <w:r>
        <w:rPr>
          <w:rFonts w:ascii="Arial Unicode MS" w:hAnsi="Arial Unicode MS" w:eastAsia="Arial Unicode MS" w:cs="Arial Unicode MS"/>
          <w:b w:val="0"/>
          <w:color w:val="000000"/>
          <w:sz w:val="22"/>
        </w:rPr>
        <w:t xml:space="preserve">　　某甲公司上诉请求：1.撤销一审判决第一、二、三、四、六项；2.改判确认某甲公司与袁某之间不存在劳动关系；3.改判某甲公司无需支付袁某未签订劳动合同双倍工资差额19387.81元、解除劳动关系经济补偿金7355.7元、工资差额1596.38元；4.本案一、二审诉讼费用由袁某承担。事实和理由：一、袁某系以“自由职业者”身份挂靠第三方平台，与某甲公司不存在劳动关系。袁某于2024年7月15日与某乙公司签订《自由职业者挂靠经营协议》，该协议开宗明义约定：“您与某乙公司签订本协议建立挂靠关系……您是对合作公司完成服务任务的经营主体…本协议适用《中华人民共和国民法典》和其他民事法律，不适用《中华人民共和国劳动合同法》。”该协议还明确，袁某通过“合作公司指定的接单平台”完成服务订单，取得经营所得或临时生产经营所得，且袁某应确认与合作公司不存在法律上和事实上的人事劳动关系。上述约定充分说明：袁某是作为独立经营主体，通过某乙公司平台承接业务，与某甲公司之间不存在任何建立劳动关系的合意，亦不具备劳动关系的人身依附性和组织从属性。二、袁某的工作模式符合“平台接单、自由执业”特征，不具备劳动关系核心要素。袁某通过“蜂鸟骑士”APP自主注册、自主选择接单时间与工作量，其收入来源于计件报酬，多劳多得、不劳不得，完全符合自由职业者按成果取酬的特征：无固定工作时间：袁某可自行决定上线接单时段；无固定工作地点：配送任务分散，不受某甲公司直接指挥；无考勤约束：虽有“出勤奖”激励，但属平台运营规则，并非劳动管理；无工资发放关系：袁某收入由某乙公司通过支付宝代发，来源为“经营所得”，并非某甲公司支付的“劳动报酬”。一审法院仅凭“参加早会”“向站长请假”等表象，即认定存在管理关系，忽略了平台经济下自由职业者接受平台规则约束的普遍性，该等约束不等同于劳动关系中的“管理”。三、某甲公司与某乙公司系业务外包关系，袁某的服务提供对象为某乙公司。1.某甲公司与某乙公司签订有《服务合作合同》，约定：2.某乙公司根据某甲公司需求，与自由职业者签署服务协议；3.自由职业者通过接单平台完成业务后，由某乙公司根据某甲公司提交的结算结果代发服务收入；合同明确自由职业者与某甲公司均不存在劳动关系。袁某与某乙公司签订的挂靠协议，正是履行该外包合同的具体体现。袁某的服务收入来源于某乙公司，其请求权对象应为某乙公司，而非某甲公司。四、一审判决对关键证据采信不当，逻辑存在矛盾。1.挂靠协议真实性已确认：袁某当庭认可该协议真实性，但一审法院未就该协议的法律效力作出充分回应，亦未说明为何该协议不能阻却劳动关系成立。协议内容载明：“您(即袁某)与某乙公司签订本协议建立挂靠关系，我司为您提供对外服务的挂靠平台，您是对合作公司完成服务任务的经营主体，由您对外承担服务主体的法律责任，我司为您提供服务收入的发放。本协议适用民法典和其他民事法律，不适用劳动合同法。”此处的约定和某甲公司和某乙公司的《服务合作合同》中关于自由职业者的约定是对应的，“自由职业者是指个人从事生产经营活动、能够自由分配工作时间凭个人技术或能力根据客户要求完成工作任务的人员，其不受客户人事规章制度限制，与甲、乙双方间均不存在劳动或劳务关系，而仅就其工作成果向客户承担责任并获得所得。”结合这两份合同内容，袁某系以自由职业者身份在平台接单，某甲公司作为饿了么平台的代理商，需要根据平台规则对袁某的工作成果进行考核和结算，该行为并非以袁某用人单位的身份来实施，一审判决对此认定错误；2.对“站长”身份认定错误：某甲公司已说明刘某系第三方公司人员，并提供其与某丙公司的《服务合作协议》佐证，仲裁阶段，某甲公司表示刘某是站点站长，这和一审所述其不是某甲公司员工并不矛盾，站长也并未和某甲公司成立劳动关系，一审法院仅凭某甲公司仲裁阶段表述不一致即认定刘某为某甲公司员工，证据采信标准过低；五、退一步讲，即使存在劳动关系，一审部分判项亦无事实与法律依据。1.双倍工资差额：袁某与某乙公司已签订书面协议，明确双方为挂靠关系，袁某亦未提供证据证明其曾向某甲公司主张签订劳动合同，双倍工资差额无事实基础；2.解除劳动关系经济补偿金：袁某账号被停用系因平台运营规则调整，并非某甲公司单方解除行为，且袁某未能举证证明系某甲公司实施封号，一审比照“协商一致解除”判令补偿，属法律适用错误；3.工资差额：袁某未能提供完整工资核算周期及扣款明细，其截图证据无原始载体，不应采信。综上，本案争议本质是互联网平台经济下新型用工关系的定性问题。袁某自愿与第三方公司签订挂靠协议，明确选择以自由职业者身份从事配送服务，其权利义务应受《民法典》调整，不应适用《劳动合同法》。一审判决混淆劳动关系与合作关系，认定事实错误，适用法律不当，严重损害某甲公司合法权益。</w:t>
      </w:r>
    </w:p>
    <w:p>
      <w:pPr>
        <w:spacing w:after="100" w:line="312" w:lineRule="auto"/>
        <w:ind w:firstLine="369"/>
      </w:pPr>
      <w:r>
        <w:rPr>
          <w:rFonts w:ascii="Arial Unicode MS" w:hAnsi="Arial Unicode MS" w:eastAsia="Arial Unicode MS" w:cs="Arial Unicode MS"/>
          <w:b w:val="0"/>
          <w:color w:val="000000"/>
          <w:sz w:val="22"/>
        </w:rPr>
        <w:t xml:space="preserve">　　袁某辩称，同意一审判决，不同意某甲公司的上诉请求及理由。首先，双方形成的是财产、人身的从属性关系，符合劳动关系的构成要件，依据劳动和社会保障部关于确立劳动关系有关事项的通知第一条规定，本案中，双方分别具有法律法规规定的劳动者、用人单位的主体资格，袁某作为某甲公司经营的义和庄站点的全职骑手，从事相关的工作，且完全服从于某甲公司各项规章制度、参加早会、服从某甲公司的排班安排、接受某甲公司的奖罚制度，袁某在饿了么北京义和庄站点承接的外卖速递业务且是该站点的全职骑手，袁某提供的劳动是公司的重要组成业务，公司规律性的向袁某支付薪资报酬，完全符合用人单位向劳动者支付工资报酬的特征，综上，双方存在财产上、人身上的从属关系，存在事实劳动合同关系，一审法院认定双方存在劳动关系的认定正确，应依法予以维持。关于未签劳动合同二倍工资差额，袁某持有异议，但是为了避免在诉讼在过程中分散其精力的缘故没有上诉，但并不代表袁某完全认可工资基数的计算方式。一审工资基数完全与袁某的薪资不匹配，其月薪工资应在6000-7000元之间，但一审仅按照北京市最低工资标准支付二倍工资差额，对该认定不认可，但并没有提起上诉。关于解除劳动合同，袁某认为是违法解除合同，是某甲公司一方直接将袁某的账号进行了封号处理，导致袁某无法从事工作，某甲公司的行为已构成违法解除劳动合同，应支付两倍工资差额，但为避免长期诉讼影响其生活和工作，袁某没有提起上诉。</w:t>
      </w:r>
    </w:p>
    <w:p>
      <w:pPr>
        <w:spacing w:after="100" w:line="312" w:lineRule="auto"/>
        <w:ind w:firstLine="369"/>
      </w:pPr>
      <w:r>
        <w:rPr>
          <w:rFonts w:ascii="Arial Unicode MS" w:hAnsi="Arial Unicode MS" w:eastAsia="Arial Unicode MS" w:cs="Arial Unicode MS"/>
          <w:b w:val="0"/>
          <w:color w:val="000000"/>
          <w:sz w:val="22"/>
        </w:rPr>
        <w:t xml:space="preserve">　　袁某向一审法院起诉请求：1.判令双方自2024年7月14日至2025年4月11日期间存在劳动关系；2.判令某甲公司支付袁某自2024年8月14日至2025年4月11日未签署劳动合同双倍工资差额60833.44元；3.某甲公司支付袁某违法解除劳动关系赔偿金15208.36元；4.某甲公司支付袁某自2024年7月14日至2025年4月11日期间未休带薪年休假工资4370元；5.某甲公司向袁某支付自2024年7月14日至2025年4月11日平时延时加班工资8303元；6.某甲公司向袁某支付自2024年7月14日至2025年4月11日休息日加班工资33212元；7.某甲公司向袁某支付2024年7月14日至2025年4月11日法定节假日加班工资8740元；8.某甲公司向袁某支付自2024年7月14日至2025年4月11日工资差额7969.23元。</w:t>
      </w:r>
    </w:p>
    <w:p>
      <w:pPr>
        <w:spacing w:after="100" w:line="312" w:lineRule="auto"/>
        <w:ind w:firstLine="369"/>
      </w:pPr>
      <w:r>
        <w:rPr>
          <w:rFonts w:ascii="Arial Unicode MS" w:hAnsi="Arial Unicode MS" w:eastAsia="Arial Unicode MS" w:cs="Arial Unicode MS"/>
          <w:b w:val="0"/>
          <w:color w:val="000000"/>
          <w:sz w:val="22"/>
        </w:rPr>
        <w:t xml:space="preserve">　　某甲公司向一审法院起诉请求：1.判令双方自2024年7月14日至2025年4月11日期间不存在劳动关系；2.判令某甲公司无需向袁某支付2024年8月14日至2025年4月11日未签订劳动合同双倍工资差额19387.81元；3.判令某甲公司无需向袁某支付2024年7月14日至2025年4月11日工资差额7969.23元。</w:t>
      </w:r>
    </w:p>
    <w:p>
      <w:pPr>
        <w:spacing w:after="100" w:line="312" w:lineRule="auto"/>
        <w:ind w:firstLine="369"/>
      </w:pPr>
      <w:r>
        <w:rPr>
          <w:rFonts w:ascii="Arial Unicode MS" w:hAnsi="Arial Unicode MS" w:eastAsia="Arial Unicode MS" w:cs="Arial Unicode MS"/>
          <w:b w:val="0"/>
          <w:color w:val="000000"/>
          <w:sz w:val="22"/>
        </w:rPr>
        <w:t xml:space="preserve">　　一审法院认定事实：2025年5月14日，袁某向北京市大兴区劳动人事争议仲裁委员会(以下简称大兴仲裁委)提出仲裁申请，请求：1.确认自2024年7月14日至2025年4月11日期间双方存在劳动关系；2.支付自2024年8月14日至2025年4月11日未签署劳动合同双倍工资差额60833.44元；3.支付违法解除劳动关系赔偿金15208.36元；4.支付自2024年7月14日至2025年4月11日期间未休带薪年休假工资4370元；5.支付自2024年7月14日至2025年4月11日延时加班工资8303元；6.支付自2024年7月14日至2025年4月11日休息日加班工资33212元；7.支付2024年7月14日至2025年4月11日法定节假日加班工资8740元；8.支付自2024年7月14日至2025年4月11日工资差额7969.23元。在仲裁中，某甲公司称经与某乙公司核实，案涉站点站长系刘某1，刘某1与某乙公司签订了自由职业者挂靠协议，申请庭后核实刘某1的具体工作内容，但未在期限内提交书面核实意见。2025年8月4日，大兴仲裁委作出京兴劳人仲字[2025]第4690号裁决书，裁决：一、确认袁某与某甲公司自2024年7月14日至2025年4月11日期间存在劳动关系；二、某甲公司于本裁决生效之日起十日内支付袁某2024年8月14日至2025年4月11日未签订劳动合同双倍工资差额19387.81元；三、某甲公司于本裁决生效之日起十日内支付袁某2024年7月14日至2025年4月11日工资差额7969.23元；四、驳回袁某的其他仲裁请求。</w:t>
      </w:r>
    </w:p>
    <w:p>
      <w:pPr>
        <w:spacing w:after="100" w:line="312" w:lineRule="auto"/>
        <w:ind w:firstLine="369"/>
      </w:pPr>
      <w:r>
        <w:rPr>
          <w:rFonts w:ascii="Arial Unicode MS" w:hAnsi="Arial Unicode MS" w:eastAsia="Arial Unicode MS" w:cs="Arial Unicode MS"/>
          <w:b w:val="0"/>
          <w:color w:val="000000"/>
          <w:sz w:val="22"/>
        </w:rPr>
        <w:t xml:space="preserve">　　案件审理过程中，袁某主张其2024年7月14日入职某甲公司，是全职骑手，2025年4月11日被某甲公司违法解除劳动关系，具体解除行为是某甲公司将袁某的账号进行封号，且将袁某移出工作群，袁某无法再进行工作，其是被刘某招聘进某甲公司的，工作时间是根据站点上线接单，每天早上9点在黄村东大街一家酒店门口开早会，一天有4个班次，只要派单了就必须配送，不配送就会扣款，袁某的上级是刘某，刘某是义和庄站的站长，休息、请假必须在前一天2点前向刘某打报告。某甲公司称，某甲公司在北京有三十多个代理区域，所有的主体显示都是某甲公司，这是饿了么大主体的业务需要，实际人员管理及薪资发放都是由第三方进行的，某甲公司只负责后台运营维护，数据整理，刘某是谁某甲公司不清楚，不是某甲公司的员工，而是第三方公司的人。某甲公司已经将义和庄站点区域内的餐饮配送业务整体外包给某乙公司，袁某称的“站点”“站长”及调度，法律归属均为某乙公司及其合作方，因此袁某与某甲公司不存在劳动关系。</w:t>
      </w:r>
    </w:p>
    <w:p>
      <w:pPr>
        <w:spacing w:after="100" w:line="312" w:lineRule="auto"/>
        <w:ind w:firstLine="369"/>
      </w:pPr>
      <w:r>
        <w:rPr>
          <w:rFonts w:ascii="Arial Unicode MS" w:hAnsi="Arial Unicode MS" w:eastAsia="Arial Unicode MS" w:cs="Arial Unicode MS"/>
          <w:b w:val="0"/>
          <w:color w:val="000000"/>
          <w:sz w:val="22"/>
        </w:rPr>
        <w:t xml:space="preserve">　　为证明自己的主张，袁某提供了以下证据：1.饿了么APP收入账单截图和扣款截图、银行卡流水明细、2025年4月工资发放短信截图和银行流水春节假期奖励。其中，“收入账单”显示了2024年7月至2025年2月的“实发薪资”，发薪站点为“北京-乐信韵达-义和庄站”。银行流水与“收入账单”的“实发薪资”基本对应；“出勤奖”截图显示：如何完成出勤，当日有效完成单≥15单且当日00：00-24：00时段内在线时长≥7.0小时，即为出勤。某甲公司认可银行流水真实性。</w:t>
      </w:r>
    </w:p>
    <w:p>
      <w:pPr>
        <w:spacing w:after="100" w:line="312" w:lineRule="auto"/>
        <w:ind w:firstLine="369"/>
      </w:pPr>
      <w:r>
        <w:rPr>
          <w:rFonts w:ascii="Arial Unicode MS" w:hAnsi="Arial Unicode MS" w:eastAsia="Arial Unicode MS" w:cs="Arial Unicode MS"/>
          <w:b w:val="0"/>
          <w:color w:val="000000"/>
          <w:sz w:val="22"/>
        </w:rPr>
        <w:t xml:space="preserve">　　2.招聘广告、袁某与站长刘某的某平台聊天记录、袁某被封号的截图和被移出群聊的截图、袁某部分在线时长截图。其中，袁某与刘某(某平台名为“刘某1”)的聊天记录显示，袁某曾几次向“刘某1”提出请假，“刘某1”作出回复；袁某表示因为身体不舒服，“跑完午高峰一会儿撤了啊”，刘某1回复“考核午高峰，高峰期不跑不行”。“刘某1”曾在某平台中将袁某拉入“义和庄(政策通知群)”，该群中“刘某1”曾发布“义和庄站薪资方案”和“群公告”，群公告中提示了单量要求、全勤定义、差评与处罚的关系等，2025年4月11日，袁某被移出该群。袁某提交的截图显示与“刘某1”的聊天持续至2025年4月14日。某甲公司认可袁某与“刘某1”聊天截图真实性。</w:t>
      </w:r>
    </w:p>
    <w:p>
      <w:pPr>
        <w:spacing w:after="100" w:line="312" w:lineRule="auto"/>
        <w:ind w:firstLine="369"/>
      </w:pPr>
      <w:r>
        <w:rPr>
          <w:rFonts w:ascii="Arial Unicode MS" w:hAnsi="Arial Unicode MS" w:eastAsia="Arial Unicode MS" w:cs="Arial Unicode MS"/>
          <w:b w:val="0"/>
          <w:color w:val="000000"/>
          <w:sz w:val="22"/>
        </w:rPr>
        <w:t xml:space="preserve">　　3.2023年9月10日，某丁公司与某甲公司签订《代理商站点交接协议》。协议载明，某丁公司拟转让其承接的饿了么北京-新盈-义和庄站配送业务，某甲公司同意接收并聘用甲方转让配送站点的人员并开展配送业务，协议生效之日起，站点员工将根据自愿原则将劳动关系转签至乙方，对于愿意转签乙方的站点员工乙方必须全部接收，并附了《站点人员确认函》。某甲公司认可该证据的真实性，但认为协议名单里没有袁某，主张这之后已经将站点运营管理承包给第三方公司。</w:t>
      </w:r>
    </w:p>
    <w:p>
      <w:pPr>
        <w:spacing w:after="100" w:line="312" w:lineRule="auto"/>
        <w:ind w:firstLine="0"/>
      </w:pPr>
      <w:r>
        <w:rPr>
          <w:rFonts w:ascii="Arial Unicode MS" w:hAnsi="Arial Unicode MS" w:eastAsia="Arial Unicode MS" w:cs="Arial Unicode MS"/>
          <w:b w:val="0"/>
          <w:color w:val="000000"/>
          <w:sz w:val="22"/>
        </w:rPr>
        <w:t xml:space="preserve">　　4.裁决书。某甲公司认可该证据的真实性和证明目的。</w:t>
      </w:r>
    </w:p>
    <w:p>
      <w:pPr>
        <w:spacing w:after="100" w:line="312" w:lineRule="auto"/>
        <w:ind w:firstLine="369"/>
      </w:pPr>
      <w:r>
        <w:rPr>
          <w:rFonts w:ascii="Arial Unicode MS" w:hAnsi="Arial Unicode MS" w:eastAsia="Arial Unicode MS" w:cs="Arial Unicode MS"/>
          <w:b w:val="0"/>
          <w:color w:val="000000"/>
          <w:sz w:val="22"/>
        </w:rPr>
        <w:t xml:space="preserve">　　某甲公司提供了以下证据：1.2023年10月12日某甲公司与某乙公司签订的《服务合作合同》。合同载明，鉴于甲方(某甲公司)主要经营饿了么配送等外包业务，且业务范围遍布全国各地，需要向全国各地招揽大量的自由职业者协助甲方完成以上服务；而乙方是一家根据中国法律法规注册成立的公司，开发和运营面向公众开放的“灵活用工服务一站式平台”。现甲乙双方本着互惠互利、诚实信用的原则，经协商一致，就乙方向甲方提供本合同约定服务达成以下条款，以资共同遵守。1.1本合同所指自由职业者是指个人从事生产经营活动、能够自由分配工作时间凭个人技术或能力根据客户要求完成工作任务的人员，其不受客户人事规章制度限制，与甲、乙双方间均不存在劳动或劳务关系，而仅就其工作成果向客户承担责任并获得所得。2.服务内容。自本合同生效日起，甲方应在“服务平台”上注册账号，乙方根据甲方的需要与甲方已确认合作的自由职业者签署相关服务协议。自由职业者通过甲方指定的接单平台完成甲方的相关业务后，甲方根据自由职业者的交付成果进行考核、结算，乙方根据甲方提交的结算结果向自由职业者代发服务收入。3.1本合同的服务期2023年10月12日至2024年10月11日。袁某认为该协议与本案无关，系某甲公司的业务安排。</w:t>
      </w:r>
    </w:p>
    <w:p>
      <w:pPr>
        <w:spacing w:after="100" w:line="312" w:lineRule="auto"/>
        <w:ind w:firstLine="369"/>
      </w:pPr>
      <w:r>
        <w:rPr>
          <w:rFonts w:ascii="Arial Unicode MS" w:hAnsi="Arial Unicode MS" w:eastAsia="Arial Unicode MS" w:cs="Arial Unicode MS"/>
          <w:b w:val="0"/>
          <w:color w:val="000000"/>
          <w:sz w:val="22"/>
        </w:rPr>
        <w:t xml:space="preserve">　　2.2024年7月15日甲方(某乙公司)与乙方(袁某)签订的《自由职业者挂靠经营协议》。协议载明，您与某乙公司签订本协议建立挂靠关系，我司为您提供对外服务的挂靠平台，您是对合作公司完成服务任务的经营主体，由您对外承担服务主体的法律责任，我司为您提供服务收入的发放。本协议适用民法典和其他民事法律，不适用劳动合同法。【合作公司】向我司提出灵活用工服务需求的公司，即发布服务订单和服务标准，并接受您承担订单的企业。【服务收入】您通过合作公司指定的接单平台完成相应服务订单而取得的服务收入属于经营所得或临时生产经营所得。我司仅为自由职业者提供灵活用工平台综合服务，您应确认与合作公司不存在法律上和事实上的人事劳动关系。如我司发现您不符合前述要求，我司有权随时暂停服务或解除合同。您为合作公司提供服务的工作成果由合作公司进行验收，我司按合作公司的结算数据及时向您支付服务收入。此处您应明确：您作为我司的挂靠人员，在合作公司向我司完成结算支付的情况下，我司再向您支付相关收入。在向您支付了相关收入后，您不应向合作公司或其管理公司主张任何费用。如您对合作公司结算的收入有异议，可向合作公司核对、申诉，由合作公司解释处理。因您的服务收入是从合作公司向我司支付的合作费用中支出，如因合作公司未向我司支付或足额支付合作费用，导致我司无法向您支付收入超过30日的，您可直接向合作公司追索，我司予以协助配合。袁某对该证据的真实性认可。</w:t>
      </w:r>
    </w:p>
    <w:p>
      <w:pPr>
        <w:spacing w:after="100" w:line="312" w:lineRule="auto"/>
        <w:ind w:firstLine="369"/>
      </w:pPr>
      <w:r>
        <w:rPr>
          <w:rFonts w:ascii="Arial Unicode MS" w:hAnsi="Arial Unicode MS" w:eastAsia="Arial Unicode MS" w:cs="Arial Unicode MS"/>
          <w:b w:val="0"/>
          <w:color w:val="000000"/>
          <w:sz w:val="22"/>
        </w:rPr>
        <w:t xml:space="preserve">　　3.2023年11月6日刘某与某丙公司签订的《服务合作协议》，协议载明：您(刘某)与我司通过本协议建立合作关系，适用《中华人民共和国民法典》和其他民事法律，不适用《中华人民共和国劳动合同法》。本协议自签订之日起一年内有效。期限届满，双方应另行前述新协议；若双方未再签署新的协议，而以实际行动继续合作的，视为双方同意协议期限顺延直至按照本协议约定终止或解除时为止。袁某认为该证据的真实性无法核实，即便刘某为站长，其也是某甲公司的员工，且从该协议可以看出某甲公司对工作人员进行考核并核算工资。</w:t>
      </w:r>
    </w:p>
    <w:p>
      <w:pPr>
        <w:spacing w:after="100" w:line="312" w:lineRule="auto"/>
        <w:ind w:firstLine="369"/>
      </w:pPr>
      <w:r>
        <w:rPr>
          <w:rFonts w:ascii="Arial Unicode MS" w:hAnsi="Arial Unicode MS" w:eastAsia="Arial Unicode MS" w:cs="Arial Unicode MS"/>
          <w:b w:val="0"/>
          <w:color w:val="000000"/>
          <w:sz w:val="22"/>
        </w:rPr>
        <w:t xml:space="preserve">　　一审法院认为，关于用人单位与劳动者是否存在劳动关系，双方产生争议的，应进行事实认定。具体而言，用人单位与劳动者存在劳动关系，主要表现在以下几个方面：第一，提供劳动一方和用人单位分别具备法律法规规定的劳动者、用人单位的主体资格；第二，劳动者实际接受用人单位管理、监督；第三，劳动者提供的劳动是用人单位业务组成部分；第四，由用人单位向劳动者提供基本劳动条件、支付劳动报酬。本案中，袁某、某甲公司分别具备法律法规规定的劳动者、用人单位的主体资格；袁某接受义和庄站点管理人员关于出勤、请假等事宜的直接管理；袁某提供的外卖速递服务系义和庄站点速递服务的组成部分；袁某按月有规律性的接受作为“发薪站点”的义和庄站点支付的薪资报酬。因此，双方是否存在劳动关系的争议焦点为，袁某在义和庄站点提供劳动期间，义和庄站点的直接经营主体是否为某甲公司。法院认为，某甲公司称将配送业务整体外包给某乙公司，但某甲公司与某乙公司的《服务合作合同》并不能充分体现该述称。根据《服务合作合同》，某乙公司根据某甲公司对袁某等所谓“自由职业者”的交付成果进行考核、结算，某乙公司根据某甲公司提交的结算结果向袁某代发服务收入，足以看出向袁某发放的薪资来源并非某乙公司，“考核、结算”为某甲公司，且某甲公司与某乙公司的合同服务为2023年10月12日至2024年10月11日，某甲公司未提供证据证明与某乙公司该合同已经顺延或持续生效，但某平台记录显示2024年10月11日之前和之后直至2025年4月袁某与义和庄站站长“刘某1”仍在进行工作沟通，该日期前后袁某的薪资发放周期和模式都没有变化。某甲公司在仲裁中称经核实义和庄站点站长是刘某1，在本案中称刘某是谁不清楚，不是某甲公司的员工，是第三方公司的人。某甲公司的陈述前后矛盾，且关于义和庄站点的直接经营主体、对袁某等人的管理方为某乙公司的说法在时间节点上、合同的服务内容上无法与某甲公司提供的《服务合同》形成对应关系。另外，根据袁某提供的银行流水显示，对方账户也并非某乙公司，而是“某戊公司”，该公司向袁某的转账金额及时间大致与袁某提供的“发薪站点北京-乐信韵达-义和庄站”收入账单相对应，某甲公司对此未进行合理解释。综上，结合袁某的陈述、工资流水、某平台聊天记录，法院认定袁某在职期间即2024年7月14日至2025年4月11日期间义和庄站点的直接经营管理主体为某甲公司，袁某与某甲公司存在劳动关系。在此期间，某甲公司与袁某未签订书面劳动合同，某甲公司应支付袁某2024年8月14日至2025年4月11日期间未签订书面劳动合同双倍工资差额，具体数额以法院核算为准。</w:t>
      </w:r>
    </w:p>
    <w:p>
      <w:pPr>
        <w:spacing w:after="100" w:line="312" w:lineRule="auto"/>
        <w:ind w:firstLine="369"/>
      </w:pPr>
      <w:r>
        <w:rPr>
          <w:rFonts w:ascii="Arial Unicode MS" w:hAnsi="Arial Unicode MS" w:eastAsia="Arial Unicode MS" w:cs="Arial Unicode MS"/>
          <w:b w:val="0"/>
          <w:color w:val="000000"/>
          <w:sz w:val="22"/>
        </w:rPr>
        <w:t xml:space="preserve">　　关于某甲公司是否违法解除与袁某的劳动关系。某甲公司否认与袁某存在劳动关系，袁某认为某甲公司违法解除劳动关系，将袁某封号，袁某无法再进行工作，但仅提供其被移出工作群聊的聊天记录，并未提交其他证据加以佐证。经释明，袁某主张若法院无法支持赔偿金，其同时主张补偿金，现双方劳动关系已解除，故法院比照双方协商一致解除劳动关系，支持某甲公司应向袁某支付解除劳动关系经济补偿金，具体数额以法院核算为准。</w:t>
      </w:r>
    </w:p>
    <w:p>
      <w:pPr>
        <w:spacing w:after="100" w:line="312" w:lineRule="auto"/>
        <w:ind w:firstLine="369"/>
      </w:pPr>
      <w:r>
        <w:rPr>
          <w:rFonts w:ascii="Arial Unicode MS" w:hAnsi="Arial Unicode MS" w:eastAsia="Arial Unicode MS" w:cs="Arial Unicode MS"/>
          <w:b w:val="0"/>
          <w:color w:val="000000"/>
          <w:sz w:val="22"/>
        </w:rPr>
        <w:t xml:space="preserve">　　关于未休年休假工资。袁某未举证证明其在入职某甲公司前的工作年限，法院自2024年7月14日起核算其工龄，至2025年4月11日，袁某尚不符合享受带薪年休假的法定条件，故关于其要求某甲公司支付未休年休假工资的请求，于法无据，法院不予支持。</w:t>
      </w:r>
    </w:p>
    <w:p>
      <w:pPr>
        <w:spacing w:after="100" w:line="312" w:lineRule="auto"/>
        <w:ind w:firstLine="369"/>
      </w:pPr>
      <w:r>
        <w:rPr>
          <w:rFonts w:ascii="Arial Unicode MS" w:hAnsi="Arial Unicode MS" w:eastAsia="Arial Unicode MS" w:cs="Arial Unicode MS"/>
          <w:b w:val="0"/>
          <w:color w:val="000000"/>
          <w:sz w:val="22"/>
        </w:rPr>
        <w:t xml:space="preserve">　　关于加班工资。作为主张加班事实成立的一方，袁某就其主张承担举证责任，但其提交的聊天记录、群聊记录仅显示就某一时间点的订单沟通细节，截图显示的时长也仅为在线时长，不足以证明某甲公司安排其加班或存在加班的事实。因此，袁某应当承担举证不利的法律后果，法院对其关于加班工资的请求不予支持。</w:t>
      </w:r>
    </w:p>
    <w:p>
      <w:pPr>
        <w:spacing w:after="100" w:line="312" w:lineRule="auto"/>
        <w:ind w:firstLine="369"/>
      </w:pPr>
      <w:r>
        <w:rPr>
          <w:rFonts w:ascii="Arial Unicode MS" w:hAnsi="Arial Unicode MS" w:eastAsia="Arial Unicode MS" w:cs="Arial Unicode MS"/>
          <w:b w:val="0"/>
          <w:color w:val="000000"/>
          <w:sz w:val="22"/>
        </w:rPr>
        <w:t xml:space="preserve">　　关于工资差额。袁某提交的扣减账单截图虽展示收入构成中存在其他减扣项，但并未载明所对应的周期、对应的核算与被核算主体，亦未提供截图原件或原始载体，某甲公司亦不认可，应承担举证不能的法律后果，故法院对扣减账单截图不予采信，经核算，某甲公司部分月份实发工资收入低于最低工资标准，故法院判决予以补足。</w:t>
      </w:r>
    </w:p>
    <w:p>
      <w:pPr>
        <w:spacing w:after="100" w:line="312" w:lineRule="auto"/>
        <w:ind w:firstLine="0"/>
      </w:pPr>
      <w:r>
        <w:rPr>
          <w:rFonts w:ascii="Arial Unicode MS" w:hAnsi="Arial Unicode MS" w:eastAsia="Arial Unicode MS" w:cs="Arial Unicode MS"/>
          <w:b w:val="0"/>
          <w:color w:val="000000"/>
          <w:sz w:val="22"/>
        </w:rPr>
        <w:t xml:space="preserve">　　一审法院</w:t>
      </w:r>
    </w:p>
    <w:p>
      <w:pPr>
        <w:spacing w:after="100" w:line="312" w:lineRule="auto"/>
        <w:ind w:firstLine="369"/>
      </w:pPr>
      <w:r>
        <w:rPr>
          <w:rFonts w:ascii="Arial Unicode MS" w:hAnsi="Arial Unicode MS" w:eastAsia="Arial Unicode MS" w:cs="Arial Unicode MS"/>
          <w:b w:val="0"/>
          <w:color w:val="000000"/>
          <w:sz w:val="22"/>
        </w:rPr>
        <w:t xml:space="preserve">　　判决：一、确认某甲公司与袁某于2024年7月14日至2025年4月11日期间存在劳动关系；二、某甲公司于判决生效之日起十日内支付袁某2024年8月14日至2025年4月11日未订立书面劳动合同双倍工资差额19387.81元；三、某甲公司于判决生效之日起十日内支付袁某解除劳动关系经济补偿金7355.7元；四、某甲公司于判决生效之日起十日内支付袁某2024年7月14日至2025年4月11日期间工资差额1596.38元；五、驳回袁某的其他诉讼请求；六、驳回某甲公司的其他诉讼请求。如果未按判决指定的期间履行给付金钱义务，应当依照《中华人民共和国民事诉讼法》第二百六十四条之规定，加倍支付迟延履行期间的债务利息。</w:t>
      </w:r>
    </w:p>
    <w:p>
      <w:pPr>
        <w:spacing w:after="100" w:line="312" w:lineRule="auto"/>
        <w:ind w:firstLine="0"/>
      </w:pPr>
      <w:r>
        <w:rPr>
          <w:rFonts w:ascii="Arial Unicode MS" w:hAnsi="Arial Unicode MS" w:eastAsia="Arial Unicode MS" w:cs="Arial Unicode MS"/>
          <w:b w:val="0"/>
          <w:color w:val="000000"/>
          <w:sz w:val="22"/>
        </w:rPr>
        <w:t xml:space="preserve">　　二审期间，当事人没有提交新证据。本院二审经审理查明的事实与一审法院认定的事实无异，法院予以确认。</w:t>
      </w:r>
    </w:p>
    <w:p>
      <w:pPr>
        <w:spacing w:after="100" w:line="312" w:lineRule="auto"/>
        <w:ind w:firstLine="369"/>
      </w:pPr>
      <w:r>
        <w:rPr>
          <w:rFonts w:ascii="Arial Unicode MS" w:hAnsi="Arial Unicode MS" w:eastAsia="Arial Unicode MS" w:cs="Arial Unicode MS"/>
          <w:b w:val="0"/>
          <w:color w:val="000000"/>
          <w:sz w:val="22"/>
        </w:rPr>
        <w:t xml:space="preserve">　　本院认为，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本案争议焦点为：袁某与某甲公司2024年7月14日至2025年4月11日期间是否存在劳动关系。</w:t>
      </w:r>
    </w:p>
    <w:p>
      <w:pPr>
        <w:spacing w:after="100" w:line="312" w:lineRule="auto"/>
        <w:ind w:firstLine="369"/>
      </w:pPr>
      <w:r>
        <w:rPr>
          <w:rFonts w:ascii="Arial Unicode MS" w:hAnsi="Arial Unicode MS" w:eastAsia="Arial Unicode MS" w:cs="Arial Unicode MS"/>
          <w:b w:val="0"/>
          <w:color w:val="000000"/>
          <w:sz w:val="22"/>
        </w:rPr>
        <w:t xml:space="preserve">　　关于劳动关系确认一节。平台企业或者平台用工合作企业与劳动者订立承揽、合作协议，劳动者主张与该企业存在劳动关系的，人民法院应当根据用工事实，综合考虑劳动者对工作时间及工作量的自主决定程度、劳动过程受管理控制程度、劳动者是否需要遵守有关工作规则、劳动纪律和奖惩办法、劳动者工作的持续性等因素，依法作出相应认定；对于存在用工事实，构成支配性劳动管理的，应当依法认定存在劳动关系。首先，关于义和庄站点的经营主体问题。某甲公司主张已将义和庄站点的配送业务整体外包给某乙公司，袁某系与某乙公司签订挂靠协议的自由职业者。经查，2023年9月10日某甲公司与某丁公司签订的《代理商站点交接协议》表明某甲公司系饿了么平台义和庄站点的代理商及配送业务承接主体。袁某在义和庄站点从事外卖配送工作，配送服务系该站点经营业务的组成部分。某甲公司虽称其后将站点运营管理承包给第三方公司，但其所提供的与某乙公司签订的《服务合作合同》服务期截至2024年10月11日，而袁某和义和庄站站长刘某关于工作的某平台聊天记录延续至2025年4月，某甲公司未提供该合同已顺延或持续有效的证据；且该合同内容显示某乙公司系根据某甲公司的考核、结算结果向“自由职业者”代发服务收入，薪资的考核与决定权仍归属于某甲公司，某甲公司并未提交某乙公司实际参与用工管理的证据。综上，某甲公司关于配送业务已整体外包的主张不能成立。其次，关于劳动管理控制程度。袁某提交的某平台聊天记录显示，其接受站点管理人员刘某(某平台名“刘某1”)关于出勤、排班、请假等方面的管理，需参加早会，请假需提前向站长报告，表明袁某在工作时间、工作内容方面受到某甲公司站点的直接管理和约束，不具备自主决定工作时间和工作量的自由，具备明显的人格从属性。再次，关于劳动报酬来源与经济从属性。袁某的“收入账单”显示发薪站点为“北京-乐信韵达-义和庄站”，其按月有规律地获得薪资报酬，薪资来源与某甲公司经营的站点直接关联，且银行流水显示对方账户为“某戊公司”，转账金额及时间与收入账单基本对应。上述证据可以证明薪资的考核与结算由某甲公司决定，某乙公司仅系代发薪资角色，袁某的经济来源依赖于某甲公司，具备经济从属性。综上，袁某与某甲公司之间具备人格从属性、经济从属性和组织从属性，符合劳动关系成立的法定要件。一审认定袁某与某甲公司于2024年7月14日至2025年4月11日期间存在劳动关系正确，本院予以维持。</w:t>
      </w:r>
    </w:p>
    <w:p>
      <w:pPr>
        <w:spacing w:after="100" w:line="312" w:lineRule="auto"/>
        <w:ind w:firstLine="369"/>
      </w:pPr>
      <w:r>
        <w:rPr>
          <w:rFonts w:ascii="Arial Unicode MS" w:hAnsi="Arial Unicode MS" w:eastAsia="Arial Unicode MS" w:cs="Arial Unicode MS"/>
          <w:b w:val="0"/>
          <w:color w:val="000000"/>
          <w:sz w:val="22"/>
        </w:rPr>
        <w:t xml:space="preserve">　　关于未签订劳动合同双倍工资差额一节。用人单位自用工之日起超过一个月不满一年未与劳动者订立书面劳动合同的，应当向劳动者每月支付二倍的工资。某甲公司与袁某在劳动关系存续期间未签订书面劳动合同，某甲公司应支付袁某2024年8月14日至2025年4月11日期间未签订劳动合同双倍工资差额。一审核算该差额为19387.81元，不高于依法应当支付的金额，本院依法维持。某甲公司主张袁某与某乙公司已签订挂靠协议故无需支付双倍工资差额，但该挂靠协议系袁某与某乙公司之间的约定，不能替代用人单位与劳动者之间的书面劳动合同，亦不能免除某甲公司作为实际用工主体的法定义务，其该项主张缺乏法律依据，本院不予支持。</w:t>
      </w:r>
    </w:p>
    <w:p>
      <w:pPr>
        <w:spacing w:after="100" w:line="312" w:lineRule="auto"/>
        <w:ind w:firstLine="369"/>
      </w:pPr>
      <w:r>
        <w:rPr>
          <w:rFonts w:ascii="Arial Unicode MS" w:hAnsi="Arial Unicode MS" w:eastAsia="Arial Unicode MS" w:cs="Arial Unicode MS"/>
          <w:b w:val="0"/>
          <w:color w:val="000000"/>
          <w:sz w:val="22"/>
        </w:rPr>
        <w:t xml:space="preserve">　　关于解除劳动关系经济补偿金一节。本案中，袁某主张某甲公司将其账号封号、移出工作群，系违法解除劳动合同；某甲公司否认与袁某存在劳动关系，主张系平台规则调整。因某甲公司系通过平台管理骑手，完成其站点配送业务，故系某甲公司实际停止了袁某的工作权限，现双方劳动关系已事实上解除，某甲公司作为用人单位未提交充分证据证明解除事由所对应的法定情形，应承担不利后果。一审判令某甲公司支付经济补偿金7355.7元，袁某未就此上诉，故本院予以维持。</w:t>
      </w:r>
    </w:p>
    <w:p>
      <w:pPr>
        <w:spacing w:after="100" w:line="312" w:lineRule="auto"/>
        <w:ind w:firstLine="369"/>
      </w:pPr>
      <w:r>
        <w:rPr>
          <w:rFonts w:ascii="Arial Unicode MS" w:hAnsi="Arial Unicode MS" w:eastAsia="Arial Unicode MS" w:cs="Arial Unicode MS"/>
          <w:b w:val="0"/>
          <w:color w:val="000000"/>
          <w:sz w:val="22"/>
        </w:rPr>
        <w:t xml:space="preserve">　　关于工资差额一节。用人单位支付劳动者的工资不得低于本市最低工资标准。本案中，袁某提交的扣款截图虽未完整反映所有月份的工资构成，但结合袁某提交的银行流水及工资账单，某甲公司部分月份向袁某支付的实发工资低于北京市最低工资标准，某甲公司应就低于法定标准的部分予以补足。一审核算工资差额为1596.38元正确。某甲公司主张袁某未提供完整核算周期及原始载体，但工资支付记录属于用人单位掌握管理的证据，某甲公司作为用人单位未能提交完整的工资核算明细以证明其已足额支付，应承担举证不能的不利后果，故本院对其该项上诉请求不予支持。</w:t>
      </w:r>
    </w:p>
    <w:p>
      <w:pPr>
        <w:spacing w:after="100" w:line="312" w:lineRule="auto"/>
        <w:ind w:firstLine="369"/>
      </w:pPr>
      <w:r>
        <w:rPr>
          <w:rFonts w:ascii="Arial Unicode MS" w:hAnsi="Arial Unicode MS" w:eastAsia="Arial Unicode MS" w:cs="Arial Unicode MS"/>
          <w:b w:val="0"/>
          <w:color w:val="000000"/>
          <w:sz w:val="22"/>
        </w:rPr>
        <w:t xml:space="preserve">　　综上所述，某甲公司的上诉请求不能成立，应予驳回；一审判决认定事实清楚，适用法律正确，应予维持。依照《中华人民共和国民事诉讼法》第一百七十七条第一款第一项规定，判决如下：</w:t>
      </w:r>
    </w:p>
    <w:p>
      <w:pPr>
        <w:spacing w:after="100" w:line="312" w:lineRule="auto"/>
        <w:ind w:firstLine="0"/>
      </w:pPr>
      <w:r>
        <w:rPr>
          <w:rFonts w:ascii="Arial Unicode MS" w:hAnsi="Arial Unicode MS" w:eastAsia="Arial Unicode MS" w:cs="Arial Unicode MS"/>
          <w:b w:val="0"/>
          <w:color w:val="000000"/>
          <w:sz w:val="22"/>
        </w:rPr>
        <w:t xml:space="preserve">　　驳回上诉，维持原判。</w:t>
      </w:r>
    </w:p>
    <w:p>
      <w:pPr>
        <w:spacing w:after="100" w:line="312" w:lineRule="auto"/>
        <w:ind w:firstLine="0"/>
      </w:pPr>
      <w:r>
        <w:rPr>
          <w:rFonts w:ascii="Arial Unicode MS" w:hAnsi="Arial Unicode MS" w:eastAsia="Arial Unicode MS" w:cs="Arial Unicode MS"/>
          <w:b w:val="0"/>
          <w:color w:val="000000"/>
          <w:sz w:val="22"/>
        </w:rPr>
        <w:t xml:space="preserve">　　二审案件受理费10元，由某甲公司负担(已交纳)。</w:t>
      </w:r>
    </w:p>
    <w:p>
      <w:pPr>
        <w:spacing w:after="100" w:line="312" w:lineRule="auto"/>
        <w:ind w:firstLine="0"/>
      </w:pPr>
      <w:r>
        <w:rPr>
          <w:rFonts w:ascii="Arial Unicode MS" w:hAnsi="Arial Unicode MS" w:eastAsia="Arial Unicode MS" w:cs="Arial Unicode MS"/>
          <w:b w:val="0"/>
          <w:color w:val="000000"/>
          <w:sz w:val="22"/>
        </w:rPr>
        <w:t xml:space="preserve">　　本判决为终审判决。</w:t>
      </w:r>
    </w:p>
    <w:p>
      <w:pPr>
        <w:spacing w:after="100" w:line="312" w:lineRule="auto"/>
        <w:ind w:firstLine="0"/>
      </w:pPr>
      <w:r>
        <w:rPr>
          <w:rFonts w:ascii="Arial Unicode MS" w:hAnsi="Arial Unicode MS" w:eastAsia="Arial Unicode MS" w:cs="Arial Unicode MS"/>
          <w:b w:val="0"/>
          <w:color w:val="000000"/>
          <w:sz w:val="22"/>
        </w:rPr>
        <w:t>审 判 长　徐 宁</w:t>
      </w:r>
    </w:p>
    <w:p>
      <w:pPr>
        <w:spacing w:after="100" w:line="312" w:lineRule="auto"/>
        <w:ind w:firstLine="0"/>
      </w:pPr>
      <w:r>
        <w:rPr>
          <w:rFonts w:ascii="Arial Unicode MS" w:hAnsi="Arial Unicode MS" w:eastAsia="Arial Unicode MS" w:cs="Arial Unicode MS"/>
          <w:b w:val="0"/>
          <w:color w:val="000000"/>
          <w:sz w:val="22"/>
        </w:rPr>
        <w:t>审 判 员　张玉贤</w:t>
      </w:r>
    </w:p>
    <w:p>
      <w:pPr>
        <w:spacing w:after="100" w:line="312" w:lineRule="auto"/>
        <w:ind w:firstLine="0"/>
      </w:pPr>
      <w:r>
        <w:rPr>
          <w:rFonts w:ascii="Arial Unicode MS" w:hAnsi="Arial Unicode MS" w:eastAsia="Arial Unicode MS" w:cs="Arial Unicode MS"/>
          <w:b w:val="0"/>
          <w:color w:val="000000"/>
          <w:sz w:val="22"/>
        </w:rPr>
        <w:t>审 判 员　卜晓飞</w:t>
      </w:r>
    </w:p>
    <w:p>
      <w:pPr>
        <w:spacing w:after="100" w:line="312" w:lineRule="auto"/>
        <w:ind w:firstLine="0"/>
      </w:pPr>
      <w:r>
        <w:rPr>
          <w:rFonts w:ascii="Arial Unicode MS" w:hAnsi="Arial Unicode MS" w:eastAsia="Arial Unicode MS" w:cs="Arial Unicode MS"/>
          <w:b w:val="0"/>
          <w:color w:val="000000"/>
          <w:sz w:val="22"/>
        </w:rPr>
        <w:t>二〇二六年七月三十日</w:t>
      </w:r>
    </w:p>
    <w:p>
      <w:pPr>
        <w:spacing w:after="100" w:line="312" w:lineRule="auto"/>
        <w:ind w:firstLine="0"/>
      </w:pPr>
      <w:r>
        <w:rPr>
          <w:rFonts w:ascii="Arial Unicode MS" w:hAnsi="Arial Unicode MS" w:eastAsia="Arial Unicode MS" w:cs="Arial Unicode MS"/>
          <w:b w:val="0"/>
          <w:color w:val="000000"/>
          <w:sz w:val="22"/>
        </w:rPr>
        <w:t>法官助理　文玉婷</w:t>
      </w:r>
    </w:p>
    <w:p>
      <w:pPr>
        <w:spacing w:after="100" w:line="312" w:lineRule="auto"/>
        <w:ind w:firstLine="0"/>
      </w:pPr>
      <w:r>
        <w:rPr>
          <w:rFonts w:ascii="Arial Unicode MS" w:hAnsi="Arial Unicode MS" w:eastAsia="Arial Unicode MS" w:cs="Arial Unicode MS"/>
          <w:b w:val="0"/>
          <w:color w:val="000000"/>
          <w:sz w:val="22"/>
        </w:rPr>
        <w:t>书 记 员　蒋 畅</w:t>
      </w:r>
    </w:p>
    <w:p>
      <w:pPr>
        <w:pStyle w:val="Heading1"/>
        <w:spacing w:after="120" w:line="312" w:lineRule="auto"/>
      </w:pPr>
      <w:r>
        <w:rPr>
          <w:rFonts w:ascii="Arial Unicode MS" w:hAnsi="Arial Unicode MS" w:eastAsia="Arial Unicode MS" w:cs="Arial Unicode MS"/>
          <w:b/>
          <w:color w:val="000000"/>
          <w:sz w:val="26"/>
        </w:rPr>
        <w:t>参考摘要</w:t>
      </w:r>
    </w:p>
    <w:p>
      <w:pPr>
        <w:spacing w:after="100" w:line="312" w:lineRule="auto"/>
        <w:ind w:firstLine="0"/>
      </w:pPr>
      <w:r>
        <w:rPr>
          <w:rFonts w:ascii="Arial Unicode MS" w:hAnsi="Arial Unicode MS" w:eastAsia="Arial Unicode MS" w:cs="Arial Unicode MS"/>
          <w:b w:val="0"/>
          <w:color w:val="000000"/>
          <w:sz w:val="22"/>
        </w:rPr>
        <w:t>1. 劳动关系及岗位</w:t>
      </w:r>
    </w:p>
    <w:p>
      <w:pPr>
        <w:spacing w:after="100" w:line="312" w:lineRule="auto"/>
        <w:ind w:firstLine="369"/>
      </w:pPr>
      <w:r>
        <w:rPr>
          <w:rFonts w:ascii="Arial Unicode MS" w:hAnsi="Arial Unicode MS" w:eastAsia="Arial Unicode MS" w:cs="Arial Unicode MS"/>
          <w:b w:val="0"/>
          <w:color w:val="000000"/>
          <w:sz w:val="22"/>
        </w:rPr>
        <w:t>袁某于2024年7月14日入职某甲公司（饿了么平台代理商），担任全职骑手，在义和庄站从事外卖配送工作。接受站长刘某管理，需参加早会、按排班接单、请假需提前报告，通过APP接单。未签订书面劳动合同，未缴纳社保。2025年4月11日账号被封、被移出工作群，停止工作。</w:t>
      </w:r>
    </w:p>
    <w:p>
      <w:pPr>
        <w:spacing w:after="100" w:line="312" w:lineRule="auto"/>
        <w:ind w:firstLine="0"/>
      </w:pPr>
      <w:r>
        <w:rPr>
          <w:rFonts w:ascii="Arial Unicode MS" w:hAnsi="Arial Unicode MS" w:eastAsia="Arial Unicode MS" w:cs="Arial Unicode MS"/>
          <w:b w:val="0"/>
          <w:color w:val="000000"/>
          <w:sz w:val="22"/>
        </w:rPr>
        <w:t>某甲公司主张袁某系与某乙公司签订挂靠协议的“自由职业者”，配送业务已外包给某乙公司。</w:t>
      </w:r>
    </w:p>
    <w:p>
      <w:pPr>
        <w:spacing w:after="100" w:line="312" w:lineRule="auto"/>
        <w:ind w:firstLine="0"/>
      </w:pPr>
      <w:r>
        <w:rPr>
          <w:rFonts w:ascii="Arial Unicode MS" w:hAnsi="Arial Unicode MS" w:eastAsia="Arial Unicode MS" w:cs="Arial Unicode MS"/>
          <w:b w:val="0"/>
          <w:color w:val="000000"/>
          <w:sz w:val="22"/>
        </w:rPr>
        <w:t>2. 争议焦点与裁判</w:t>
      </w:r>
    </w:p>
    <w:p>
      <w:pPr>
        <w:spacing w:after="100" w:line="312" w:lineRule="auto"/>
        <w:ind w:firstLine="0"/>
      </w:pPr>
      <w:r>
        <w:rPr>
          <w:rFonts w:ascii="Arial Unicode MS" w:hAnsi="Arial Unicode MS" w:eastAsia="Arial Unicode MS" w:cs="Arial Unicode MS"/>
          <w:b w:val="0"/>
          <w:color w:val="000000"/>
          <w:sz w:val="22"/>
        </w:rPr>
        <w:t>2.1 劳动关系是否存在（2024.7.14—2025.4.11）</w:t>
      </w:r>
    </w:p>
    <w:p>
      <w:pPr>
        <w:spacing w:after="100" w:line="312" w:lineRule="auto"/>
        <w:ind w:firstLine="369"/>
      </w:pPr>
      <w:r>
        <w:rPr>
          <w:rFonts w:ascii="Arial Unicode MS" w:hAnsi="Arial Unicode MS" w:eastAsia="Arial Unicode MS" w:cs="Arial Unicode MS"/>
          <w:b w:val="0"/>
          <w:color w:val="000000"/>
          <w:sz w:val="22"/>
        </w:rPr>
        <w:t>法院认定： ①某甲公司系义和庄站点的代理商及配送业务承接主体，外包合同服务期截至2024.10.11，但袁某与站长聊天记录延续至2025.4，某甲公司未证明合同顺延；外包合同显示考核结算权归属某甲公司，某乙公司仅代发薪资；②袁某接受站长关于出勤、排班、请假等直接管理，无自主决定权，具备人格从属性；③薪资由某甲公司考核结算，按月规律发放，经济来源依赖某甲公司，具备经济从属性。</w:t>
      </w:r>
    </w:p>
    <w:p>
      <w:pPr>
        <w:spacing w:after="100" w:line="312" w:lineRule="auto"/>
        <w:ind w:firstLine="0"/>
      </w:pPr>
      <w:r>
        <w:rPr>
          <w:rFonts w:ascii="Arial Unicode MS" w:hAnsi="Arial Unicode MS" w:eastAsia="Arial Unicode MS" w:cs="Arial Unicode MS"/>
          <w:b w:val="0"/>
          <w:color w:val="000000"/>
          <w:sz w:val="22"/>
        </w:rPr>
        <w:t>结论：存在劳动关系。</w:t>
      </w:r>
    </w:p>
    <w:p>
      <w:pPr>
        <w:spacing w:after="100" w:line="312" w:lineRule="auto"/>
        <w:ind w:firstLine="0"/>
      </w:pPr>
      <w:r>
        <w:rPr>
          <w:rFonts w:ascii="Arial Unicode MS" w:hAnsi="Arial Unicode MS" w:eastAsia="Arial Unicode MS" w:cs="Arial Unicode MS"/>
          <w:b w:val="0"/>
          <w:color w:val="000000"/>
          <w:sz w:val="22"/>
        </w:rPr>
        <w:t>2.2 未签合同双倍工资差额</w:t>
      </w:r>
    </w:p>
    <w:p>
      <w:pPr>
        <w:spacing w:after="100" w:line="312" w:lineRule="auto"/>
        <w:ind w:firstLine="369"/>
      </w:pPr>
      <w:r>
        <w:rPr>
          <w:rFonts w:ascii="Arial Unicode MS" w:hAnsi="Arial Unicode MS" w:eastAsia="Arial Unicode MS" w:cs="Arial Unicode MS"/>
          <w:b w:val="0"/>
          <w:color w:val="000000"/>
          <w:sz w:val="22"/>
        </w:rPr>
        <w:t>某甲公司未与袁某签订书面劳动合同，应支付2024.8.14—2025.4.11双倍工资差额。袁某与某乙公司的挂靠协议不能替代劳动合同。</w:t>
      </w:r>
    </w:p>
    <w:p>
      <w:pPr>
        <w:spacing w:after="100" w:line="312" w:lineRule="auto"/>
        <w:ind w:firstLine="0"/>
      </w:pPr>
      <w:r>
        <w:rPr>
          <w:rFonts w:ascii="Arial Unicode MS" w:hAnsi="Arial Unicode MS" w:eastAsia="Arial Unicode MS" w:cs="Arial Unicode MS"/>
          <w:b w:val="0"/>
          <w:color w:val="000000"/>
          <w:sz w:val="22"/>
        </w:rPr>
        <w:t>2.3 解除补偿金</w:t>
      </w:r>
    </w:p>
    <w:p>
      <w:pPr>
        <w:spacing w:after="100" w:line="312" w:lineRule="auto"/>
        <w:ind w:firstLine="0"/>
      </w:pPr>
      <w:r>
        <w:rPr>
          <w:rFonts w:ascii="Arial Unicode MS" w:hAnsi="Arial Unicode MS" w:eastAsia="Arial Unicode MS" w:cs="Arial Unicode MS"/>
          <w:b w:val="0"/>
          <w:color w:val="000000"/>
          <w:sz w:val="22"/>
        </w:rPr>
        <w:t>某甲公司实际停止了袁某的工作权限，劳动关系已事实解除。袁某未就违法解除上诉，一审比照协商一致解除判令支付经济补偿金，二审维持。</w:t>
      </w:r>
    </w:p>
    <w:p>
      <w:pPr>
        <w:spacing w:after="100" w:line="312" w:lineRule="auto"/>
        <w:ind w:firstLine="0"/>
      </w:pPr>
      <w:r>
        <w:rPr>
          <w:rFonts w:ascii="Arial Unicode MS" w:hAnsi="Arial Unicode MS" w:eastAsia="Arial Unicode MS" w:cs="Arial Unicode MS"/>
          <w:b w:val="0"/>
          <w:color w:val="000000"/>
          <w:sz w:val="22"/>
        </w:rPr>
        <w:t>2.4 工资差额</w:t>
      </w:r>
    </w:p>
    <w:p>
      <w:pPr>
        <w:spacing w:after="100" w:line="312" w:lineRule="auto"/>
        <w:ind w:firstLine="0"/>
      </w:pPr>
      <w:r>
        <w:rPr>
          <w:rFonts w:ascii="Arial Unicode MS" w:hAnsi="Arial Unicode MS" w:eastAsia="Arial Unicode MS" w:cs="Arial Unicode MS"/>
          <w:b w:val="0"/>
          <w:color w:val="000000"/>
          <w:sz w:val="22"/>
        </w:rPr>
        <w:t>部分月份实发工资低于北京市最低工资标准，应予补足。</w:t>
      </w:r>
    </w:p>
    <w:p>
      <w:pPr>
        <w:spacing w:after="100" w:line="312" w:lineRule="auto"/>
        <w:ind w:firstLine="0"/>
      </w:pPr>
      <w:r>
        <w:rPr>
          <w:rFonts w:ascii="Arial Unicode MS" w:hAnsi="Arial Unicode MS" w:eastAsia="Arial Unicode MS" w:cs="Arial Unicode MS"/>
          <w:b w:val="0"/>
          <w:color w:val="000000"/>
          <w:sz w:val="22"/>
        </w:rPr>
        <w:t>3.诉讼时间线</w:t>
        <w:tab/>
      </w:r>
    </w:p>
    <w:tbl>
      <w:tblPr>
        <w:tblStyle w:val="TableGrid"/>
        <w:tblW w:type="auto" w:w="0"/>
        <w:tblLook w:firstColumn="1" w:firstRow="1" w:lastColumn="0" w:lastRow="0" w:noHBand="0" w:noVBand="1" w:val="04A0"/>
      </w:tblPr>
      <w:tblGrid>
        <w:gridCol w:w="4706"/>
        <w:gridCol w:w="4706"/>
      </w:tblGrid>
      <w:tr>
        <w:trPr>
          <w:cantSplit/>
          <w:tblHeader/>
        </w:trPr>
        <w:tc>
          <w:tcPr>
            <w:tcW w:type="dxa" w:w="4706"/>
          </w:tcPr>
          <w:p>
            <w:pPr>
              <w:spacing w:after="80"/>
            </w:pPr>
            <w:r>
              <w:rPr>
                <w:rFonts w:ascii="Arial Unicode MS" w:hAnsi="Arial Unicode MS" w:eastAsia="Arial Unicode MS" w:cs="Arial Unicode MS"/>
                <w:b/>
                <w:color w:val="000000"/>
                <w:sz w:val="20"/>
              </w:rPr>
              <w:t>时间</w:t>
            </w:r>
          </w:p>
        </w:tc>
        <w:tc>
          <w:tcPr>
            <w:tcW w:type="dxa" w:w="4706"/>
          </w:tcPr>
          <w:p>
            <w:pPr>
              <w:spacing w:after="80"/>
            </w:pPr>
            <w:r>
              <w:rPr>
                <w:rFonts w:ascii="Arial Unicode MS" w:hAnsi="Arial Unicode MS" w:eastAsia="Arial Unicode MS" w:cs="Arial Unicode MS"/>
                <w:b/>
                <w:color w:val="000000"/>
                <w:sz w:val="20"/>
              </w:rPr>
              <w:tab/>
              <w:t>事件</w:t>
            </w:r>
          </w:p>
        </w:tc>
      </w:tr>
      <w:tr>
        <w:trPr>
          <w:cantSplit/>
        </w:trPr>
        <w:tc>
          <w:tcPr>
            <w:tcW w:type="dxa" w:w="4706"/>
          </w:tcPr>
          <w:p>
            <w:pPr>
              <w:spacing w:after="80"/>
            </w:pPr>
            <w:r>
              <w:rPr>
                <w:rFonts w:ascii="Arial Unicode MS" w:hAnsi="Arial Unicode MS" w:eastAsia="Arial Unicode MS" w:cs="Arial Unicode MS"/>
                <w:b w:val="0"/>
                <w:color w:val="000000"/>
                <w:sz w:val="20"/>
              </w:rPr>
              <w:t>2024.7.14</w:t>
            </w:r>
          </w:p>
        </w:tc>
        <w:tc>
          <w:tcPr>
            <w:tcW w:type="dxa" w:w="4706"/>
          </w:tcPr>
          <w:p>
            <w:pPr>
              <w:spacing w:after="80"/>
            </w:pPr>
            <w:r>
              <w:rPr>
                <w:rFonts w:ascii="Arial Unicode MS" w:hAnsi="Arial Unicode MS" w:eastAsia="Arial Unicode MS" w:cs="Arial Unicode MS"/>
                <w:b w:val="0"/>
                <w:color w:val="000000"/>
                <w:sz w:val="20"/>
              </w:rPr>
              <w:t>入职</w:t>
            </w:r>
          </w:p>
        </w:tc>
      </w:tr>
      <w:tr>
        <w:trPr>
          <w:cantSplit/>
        </w:trPr>
        <w:tc>
          <w:tcPr>
            <w:tcW w:type="dxa" w:w="4706"/>
          </w:tcPr>
          <w:p>
            <w:pPr>
              <w:spacing w:after="80"/>
            </w:pPr>
            <w:r>
              <w:rPr>
                <w:rFonts w:ascii="Arial Unicode MS" w:hAnsi="Arial Unicode MS" w:eastAsia="Arial Unicode MS" w:cs="Arial Unicode MS"/>
                <w:b w:val="0"/>
                <w:color w:val="000000"/>
                <w:sz w:val="20"/>
              </w:rPr>
              <w:t>2025.4.11</w:t>
            </w:r>
          </w:p>
        </w:tc>
        <w:tc>
          <w:tcPr>
            <w:tcW w:type="dxa" w:w="4706"/>
          </w:tcPr>
          <w:p>
            <w:pPr>
              <w:spacing w:after="80"/>
            </w:pPr>
            <w:r>
              <w:rPr>
                <w:rFonts w:ascii="Arial Unicode MS" w:hAnsi="Arial Unicode MS" w:eastAsia="Arial Unicode MS" w:cs="Arial Unicode MS"/>
                <w:b w:val="0"/>
                <w:color w:val="000000"/>
                <w:sz w:val="20"/>
              </w:rPr>
              <w:t>账号封停，停止工作</w:t>
            </w:r>
          </w:p>
        </w:tc>
      </w:tr>
      <w:tr>
        <w:trPr>
          <w:cantSplit/>
        </w:trPr>
        <w:tc>
          <w:tcPr>
            <w:tcW w:type="dxa" w:w="4706"/>
          </w:tcPr>
          <w:p>
            <w:pPr>
              <w:spacing w:after="80"/>
            </w:pPr>
            <w:r>
              <w:rPr>
                <w:rFonts w:ascii="Arial Unicode MS" w:hAnsi="Arial Unicode MS" w:eastAsia="Arial Unicode MS" w:cs="Arial Unicode MS"/>
                <w:b w:val="0"/>
                <w:color w:val="000000"/>
                <w:sz w:val="20"/>
              </w:rPr>
              <w:t>2025.5.14</w:t>
            </w:r>
          </w:p>
        </w:tc>
        <w:tc>
          <w:tcPr>
            <w:tcW w:type="dxa" w:w="4706"/>
          </w:tcPr>
          <w:p>
            <w:pPr>
              <w:spacing w:after="80"/>
            </w:pPr>
            <w:r>
              <w:rPr>
                <w:rFonts w:ascii="Arial Unicode MS" w:hAnsi="Arial Unicode MS" w:eastAsia="Arial Unicode MS" w:cs="Arial Unicode MS"/>
                <w:b w:val="0"/>
                <w:color w:val="000000"/>
                <w:sz w:val="20"/>
              </w:rPr>
              <w:t>申请仲裁</w:t>
            </w:r>
          </w:p>
        </w:tc>
      </w:tr>
      <w:tr>
        <w:trPr>
          <w:cantSplit/>
        </w:trPr>
        <w:tc>
          <w:tcPr>
            <w:tcW w:type="dxa" w:w="4706"/>
          </w:tcPr>
          <w:p>
            <w:pPr>
              <w:spacing w:after="80"/>
            </w:pPr>
            <w:r>
              <w:rPr>
                <w:rFonts w:ascii="Arial Unicode MS" w:hAnsi="Arial Unicode MS" w:eastAsia="Arial Unicode MS" w:cs="Arial Unicode MS"/>
                <w:b w:val="0"/>
                <w:color w:val="000000"/>
                <w:sz w:val="20"/>
              </w:rPr>
              <w:t>2025.8.4</w:t>
            </w:r>
          </w:p>
        </w:tc>
        <w:tc>
          <w:tcPr>
            <w:tcW w:type="dxa" w:w="4706"/>
          </w:tcPr>
          <w:p>
            <w:pPr>
              <w:spacing w:after="80"/>
            </w:pPr>
            <w:r>
              <w:rPr>
                <w:rFonts w:ascii="Arial Unicode MS" w:hAnsi="Arial Unicode MS" w:eastAsia="Arial Unicode MS" w:cs="Arial Unicode MS"/>
                <w:b w:val="0"/>
                <w:color w:val="000000"/>
                <w:sz w:val="20"/>
              </w:rPr>
              <w:t>仲裁裁决</w:t>
            </w:r>
          </w:p>
        </w:tc>
      </w:tr>
      <w:tr>
        <w:trPr>
          <w:cantSplit/>
        </w:trPr>
        <w:tc>
          <w:tcPr>
            <w:tcW w:type="dxa" w:w="4706"/>
          </w:tcPr>
          <w:p>
            <w:pPr>
              <w:spacing w:after="80"/>
            </w:pPr>
            <w:r>
              <w:rPr>
                <w:rFonts w:ascii="Arial Unicode MS" w:hAnsi="Arial Unicode MS" w:eastAsia="Arial Unicode MS" w:cs="Arial Unicode MS"/>
                <w:b w:val="0"/>
                <w:color w:val="000000"/>
                <w:sz w:val="20"/>
              </w:rPr>
              <w:t>2026.7.30</w:t>
            </w:r>
          </w:p>
        </w:tc>
        <w:tc>
          <w:tcPr>
            <w:tcW w:type="dxa" w:w="4706"/>
          </w:tcPr>
          <w:p>
            <w:pPr>
              <w:spacing w:after="80"/>
            </w:pPr>
            <w:r>
              <w:rPr>
                <w:rFonts w:ascii="Arial Unicode MS" w:hAnsi="Arial Unicode MS" w:eastAsia="Arial Unicode MS" w:cs="Arial Unicode MS"/>
                <w:b w:val="0"/>
                <w:color w:val="000000"/>
                <w:sz w:val="20"/>
              </w:rPr>
              <w:t>二审判决</w:t>
            </w:r>
          </w:p>
        </w:tc>
      </w:tr>
    </w:tbl>
    <w:p>
      <w:pPr>
        <w:spacing w:after="120" w:line="312" w:lineRule="auto"/>
      </w:pPr>
      <w:r>
        <w:rPr>
          <w:rFonts w:ascii="Arial Unicode MS" w:hAnsi="Arial Unicode MS" w:eastAsia="Arial Unicode MS" w:cs="Arial Unicode MS"/>
          <w:b w:val="0"/>
          <w:color w:val="000000"/>
          <w:sz w:val="22"/>
        </w:rPr>
      </w:r>
    </w:p>
    <w:p>
      <w:pPr>
        <w:pStyle w:val="Heading1"/>
        <w:spacing w:after="120" w:line="312" w:lineRule="auto"/>
      </w:pPr>
      <w:r>
        <w:rPr>
          <w:rFonts w:ascii="Arial Unicode MS" w:hAnsi="Arial Unicode MS" w:eastAsia="Arial Unicode MS" w:cs="Arial Unicode MS"/>
          <w:b/>
          <w:color w:val="000000"/>
          <w:sz w:val="26"/>
        </w:rPr>
        <w:t>4. 焦点</w:t>
      </w:r>
    </w:p>
    <w:p>
      <w:pPr>
        <w:spacing w:after="100" w:line="312" w:lineRule="auto"/>
        <w:ind w:firstLine="369"/>
      </w:pPr>
      <w:r>
        <w:rPr>
          <w:rFonts w:ascii="Arial Unicode MS" w:hAnsi="Arial Unicode MS" w:eastAsia="Arial Unicode MS" w:cs="Arial Unicode MS"/>
          <w:b w:val="0"/>
          <w:color w:val="000000"/>
          <w:sz w:val="22"/>
        </w:rPr>
        <w:tab/>
        <w:t>1.平台用工劳动关系认定：应综合考虑劳动者对工作时间的自主决定程度、受管理控制程度、是否需要遵守工作规则和奖惩办法等因素。存在支配性劳动管理的，应认定存在劳动关系。</w:t>
      </w:r>
    </w:p>
    <w:p>
      <w:pPr>
        <w:spacing w:after="100" w:line="312" w:lineRule="auto"/>
        <w:ind w:firstLine="0"/>
      </w:pPr>
      <w:r>
        <w:rPr>
          <w:rFonts w:ascii="Arial Unicode MS" w:hAnsi="Arial Unicode MS" w:eastAsia="Arial Unicode MS" w:cs="Arial Unicode MS"/>
          <w:b w:val="0"/>
          <w:color w:val="000000"/>
          <w:sz w:val="22"/>
        </w:rPr>
        <w:tab/>
        <w:t>2.外包不能否定劳动关系：第三方仅代发薪资、用工管理仍由平台企业实际实施的，不影响平台企业与劳动者之间劳动关系的认定。</w:t>
      </w:r>
    </w:p>
    <w:p>
      <w:pPr>
        <w:spacing w:after="100" w:line="312" w:lineRule="auto"/>
        <w:ind w:firstLine="0"/>
      </w:pPr>
      <w:r>
        <w:rPr>
          <w:rFonts w:ascii="Arial Unicode MS" w:hAnsi="Arial Unicode MS" w:eastAsia="Arial Unicode MS" w:cs="Arial Unicode MS"/>
          <w:b w:val="0"/>
          <w:color w:val="000000"/>
          <w:sz w:val="22"/>
        </w:rPr>
        <w:tab/>
        <w:t>3.人格从属性：接受排班、考勤、请假等直接管理，不具备自主决定工作时间和工作量的自由，应认定人格从属性。</w:t>
      </w:r>
    </w:p>
    <w:p>
      <w:pPr>
        <w:spacing w:after="100" w:line="312" w:lineRule="auto"/>
        <w:ind w:firstLine="0"/>
      </w:pPr>
      <w:r>
        <w:rPr>
          <w:rFonts w:ascii="Arial Unicode MS" w:hAnsi="Arial Unicode MS" w:eastAsia="Arial Unicode MS" w:cs="Arial Unicode MS"/>
          <w:b w:val="0"/>
          <w:color w:val="000000"/>
          <w:sz w:val="22"/>
        </w:rPr>
        <w:tab/>
        <w:t>4.挂靠协议不能替代劳动合同：劳动者与第三方签订的挂靠协议，不能免除实际用工单位签订书面劳动合同的法定义务。</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000000"/>
        <w:sz w:val="18"/>
      </w:rPr>
      <w:t xml:space="preserve">第 </w:t>
    </w:r>
    <w:fldSimple w:instr="PAGE"/>
    <w:r>
      <w:rPr>
        <w:rFonts w:ascii="Arial Unicode MS" w:hAnsi="Arial Unicode MS" w:eastAsia="Arial Unicode MS" w:cs="Arial Unicode MS"/>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s="Arial Unicode MS"/>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