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纯合成劳动争议材料</w:t>
      </w:r>
    </w:p>
    <w:p>
      <w:r>
        <w:t>所有名称、金额与经过均为合成示例；不对应真实案件。</w:t>
      </w:r>
    </w:p>
    <w:p>
      <w:r>
        <w:t>林澄</w:t>
      </w:r>
    </w:p>
    <w:p>
      <w:r>
        <w:t>星桥示例科技有限公司</w:t>
      </w:r>
    </w:p>
    <w:p>
      <w:r>
        <w:t>林澄与星桥示例科技有限公司建立劳动关系。</w:t>
      </w:r>
    </w:p>
    <w:p>
      <w:r>
        <w:t>林澄主张星桥示例科技有限公司未支付工资。</w:t>
      </w:r>
    </w:p>
    <w:p>
      <w:r>
        <w:t>双方于2025年3月12日签署劳动合同。</w:t>
      </w:r>
    </w:p>
    <w:p>
      <w:r>
        <w:t>劳动者主张未支付工资12000元。</w:t>
      </w:r>
    </w:p>
    <w:p>
      <w:r>
        <w:t>劳动合同与工资表用于支持劳动关系及工资金额。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合成证据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工资表</w:t>
            </w:r>
          </w:p>
        </w:tc>
        <w:tc>
          <w:tcPr>
            <w:tcW w:type="dxa" w:w="4320"/>
          </w:tcPr>
          <w:p>
            <w:r>
              <w:t>示例金额：12000元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