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F29DFCB">
      <w:pPr>
        <w:pStyle w:val="2"/>
        <w:keepNext w:val="0"/>
        <w:keepLines w:val="0"/>
        <w:widowControl/>
        <w:suppressLineNumbers w:val="0"/>
        <w:rPr>
          <w:rFonts w:hint="eastAsia" w:ascii="方正仿宋_GB2312" w:hAnsi="方正仿宋_GB2312" w:eastAsia="方正仿宋_GB2312" w:cs="方正仿宋_GB2312"/>
        </w:rPr>
      </w:pPr>
      <w:r>
        <w:rPr>
          <w:rFonts w:hint="eastAsia" w:ascii="方正仿宋_GB2312" w:hAnsi="方正仿宋_GB2312" w:eastAsia="方正仿宋_GB2312" w:cs="方正仿宋_GB2312"/>
        </w:rPr>
        <w:t>1. 执行摘要 (Executive Summary)</w:t>
      </w:r>
    </w:p>
    <w:p w14:paraId="045C6E5F">
      <w:pPr>
        <w:pStyle w:val="3"/>
        <w:keepNext w:val="0"/>
        <w:keepLines w:val="0"/>
        <w:widowControl/>
        <w:suppressLineNumbers w:val="0"/>
        <w:rPr>
          <w:rFonts w:hint="eastAsia" w:ascii="方正仿宋_GB2312" w:hAnsi="方正仿宋_GB2312" w:eastAsia="方正仿宋_GB2312" w:cs="方正仿宋_GB2312"/>
        </w:rPr>
      </w:pPr>
      <w:r>
        <w:rPr>
          <w:rFonts w:hint="eastAsia" w:ascii="方正仿宋_GB2312" w:hAnsi="方正仿宋_GB2312" w:eastAsia="方正仿宋_GB2312" w:cs="方正仿宋_GB2312"/>
        </w:rPr>
        <w:t>1.1 项目使命：重塑司法效率的纳什均衡点</w:t>
      </w:r>
    </w:p>
    <w:p w14:paraId="0BB10E15">
      <w:pPr>
        <w:pStyle w:val="5"/>
        <w:keepNext w:val="0"/>
        <w:keepLines w:val="0"/>
        <w:widowControl/>
        <w:suppressLineNumbers w:val="0"/>
        <w:ind w:firstLine="480" w:firstLineChars="200"/>
        <w:rPr>
          <w:rFonts w:hint="eastAsia" w:ascii="方正仿宋_GB2312" w:hAnsi="方正仿宋_GB2312" w:eastAsia="方正仿宋_GB2312" w:cs="方正仿宋_GB2312"/>
        </w:rPr>
      </w:pPr>
      <w:r>
        <w:rPr>
          <w:rFonts w:hint="eastAsia" w:ascii="方正仿宋_GB2312" w:hAnsi="方正仿宋_GB2312" w:eastAsia="方正仿宋_GB2312" w:cs="方正仿宋_GB2312"/>
        </w:rPr>
        <w:t>在法律科技（LegalTech）的浪潮中，“元弈言枢”不仅是一个软件产品，更是一场关于法律智能的认知革命。我们的使命极其明确：构建“懂博弈、守规矩”的下一代法律智能体，让优质法律服务像水电一样触手可及 。</w:t>
      </w:r>
    </w:p>
    <w:p w14:paraId="34BDBB65">
      <w:pPr>
        <w:pStyle w:val="5"/>
        <w:keepNext w:val="0"/>
        <w:keepLines w:val="0"/>
        <w:widowControl/>
        <w:suppressLineNumbers w:val="0"/>
        <w:ind w:firstLine="480" w:firstLineChars="200"/>
        <w:rPr>
          <w:rFonts w:hint="eastAsia" w:ascii="方正仿宋_GB2312" w:hAnsi="方正仿宋_GB2312" w:eastAsia="方正仿宋_GB2312" w:cs="方正仿宋_GB2312"/>
        </w:rPr>
      </w:pPr>
      <w:r>
        <w:rPr>
          <w:rFonts w:hint="eastAsia" w:ascii="方正仿宋_GB2312" w:hAnsi="方正仿宋_GB2312" w:eastAsia="方正仿宋_GB2312" w:cs="方正仿宋_GB2312"/>
        </w:rPr>
        <w:t>我们深知，法律</w:t>
      </w:r>
      <w:r>
        <w:rPr>
          <w:rFonts w:hint="eastAsia" w:ascii="方正仿宋_GB2312" w:hAnsi="方正仿宋_GB2312" w:eastAsia="方正仿宋_GB2312" w:cs="方正仿宋_GB2312"/>
          <w:lang w:val="en-US" w:eastAsia="zh-CN"/>
        </w:rPr>
        <w:t>程序</w:t>
      </w:r>
      <w:r>
        <w:rPr>
          <w:rFonts w:hint="eastAsia" w:ascii="方正仿宋_GB2312" w:hAnsi="方正仿宋_GB2312" w:eastAsia="方正仿宋_GB2312" w:cs="方正仿宋_GB2312"/>
        </w:rPr>
        <w:t>的本质是对抗，而不仅仅是文本的堆砌。正如博弈论的深刻洞见所言：</w:t>
      </w:r>
      <w:r>
        <w:rPr>
          <w:rFonts w:hint="eastAsia" w:ascii="方正仿宋_GB2312" w:hAnsi="方正仿宋_GB2312" w:eastAsia="方正仿宋_GB2312" w:cs="方正仿宋_GB2312"/>
          <w:b w:val="0"/>
          <w:bCs w:val="0"/>
        </w:rPr>
        <w:t>“博弈论的灵魂在于策略性交互，而其生命则在于由此产生的反馈。没有交互，博弈就失去了舞台；没有反馈，博弈就失去了学习与演化的动力。现代博弈论的强化，正是越来越精细地刻画这两者如何共同塑造了从个体决策到宏观秩序的全过程。”</w:t>
      </w:r>
    </w:p>
    <w:p w14:paraId="54AABDBF">
      <w:pPr>
        <w:pStyle w:val="5"/>
        <w:keepNext w:val="0"/>
        <w:keepLines w:val="0"/>
        <w:widowControl/>
        <w:suppressLineNumbers w:val="0"/>
        <w:ind w:firstLine="480" w:firstLineChars="200"/>
        <w:rPr>
          <w:rFonts w:hint="eastAsia" w:ascii="方正仿宋_GB2312" w:hAnsi="方正仿宋_GB2312" w:eastAsia="方正仿宋_GB2312" w:cs="方正仿宋_GB2312"/>
        </w:rPr>
      </w:pPr>
      <w:r>
        <w:rPr>
          <w:rFonts w:hint="eastAsia" w:ascii="方正仿宋_GB2312" w:hAnsi="方正仿宋_GB2312" w:eastAsia="方正仿宋_GB2312" w:cs="方正仿宋_GB2312"/>
        </w:rPr>
        <w:t>“元弈言枢”正是这</w:t>
      </w:r>
      <w:r>
        <w:rPr>
          <w:rFonts w:hint="eastAsia" w:ascii="方正仿宋_GB2312" w:hAnsi="方正仿宋_GB2312" w:eastAsia="方正仿宋_GB2312" w:cs="方正仿宋_GB2312"/>
          <w:lang w:val="en-US" w:eastAsia="zh-CN"/>
        </w:rPr>
        <w:t>一</w:t>
      </w:r>
      <w:r>
        <w:rPr>
          <w:rFonts w:hint="eastAsia" w:ascii="方正仿宋_GB2312" w:hAnsi="方正仿宋_GB2312" w:eastAsia="方正仿宋_GB2312" w:cs="方正仿宋_GB2312"/>
        </w:rPr>
        <w:t>哲学的实体化身。我们致力于打破法律服务的“黑箱”，通过多智能体的动态博弈，将每一次诉讼准备从静态的文书撰写转化为可预测、可量化的策略推演，最终实现司法资源配置的最优解——即司法效率的“纳什均衡点” 。</w:t>
      </w:r>
    </w:p>
    <w:p w14:paraId="2949903C">
      <w:pPr>
        <w:keepNext w:val="0"/>
        <w:keepLines w:val="0"/>
        <w:widowControl/>
        <w:suppressLineNumbers w:val="0"/>
        <w:spacing w:before="0" w:beforeAutospacing="1" w:after="0" w:afterAutospacing="1"/>
        <w:ind w:left="0" w:leftChars="0" w:firstLine="0" w:firstLineChars="0"/>
        <w:jc w:val="left"/>
        <w:rPr>
          <w:rFonts w:hint="eastAsia" w:ascii="方正仿宋_GB2312" w:hAnsi="方正仿宋_GB2312" w:eastAsia="方正仿宋_GB2312" w:cs="方正仿宋_GB2312"/>
          <w:b/>
          <w:bCs/>
          <w:kern w:val="0"/>
          <w:sz w:val="27"/>
          <w:szCs w:val="27"/>
          <w:lang w:val="en-US" w:eastAsia="zh-CN" w:bidi="ar"/>
        </w:rPr>
      </w:pPr>
      <w:r>
        <w:rPr>
          <w:rFonts w:hint="eastAsia" w:ascii="方正仿宋_GB2312" w:hAnsi="方正仿宋_GB2312" w:eastAsia="方正仿宋_GB2312" w:cs="方正仿宋_GB2312"/>
          <w:b/>
          <w:bCs/>
          <w:kern w:val="0"/>
          <w:sz w:val="27"/>
          <w:szCs w:val="27"/>
          <w:lang w:val="en-US" w:eastAsia="zh-CN" w:bidi="ar"/>
        </w:rPr>
        <w:t>1.2 核心痛点：破解行业“不可能三角”与技术瓶颈</w:t>
      </w:r>
    </w:p>
    <w:p w14:paraId="6B2D4CCF">
      <w:pPr>
        <w:keepNext w:val="0"/>
        <w:keepLines w:val="0"/>
        <w:widowControl/>
        <w:suppressLineNumbers w:val="0"/>
        <w:spacing w:before="0" w:beforeAutospacing="1" w:after="0" w:afterAutospacing="1"/>
        <w:ind w:left="0" w:leftChars="0"/>
        <w:jc w:val="left"/>
        <w:rPr>
          <w:rFonts w:hint="eastAsia" w:ascii="方正仿宋_GB2312" w:hAnsi="方正仿宋_GB2312" w:eastAsia="方正仿宋_GB2312" w:cs="方正仿宋_GB2312"/>
          <w:b w:val="0"/>
          <w:bCs w:val="0"/>
          <w:kern w:val="0"/>
          <w:sz w:val="24"/>
          <w:szCs w:val="24"/>
          <w:lang w:val="en-US" w:eastAsia="zh-CN" w:bidi="ar"/>
        </w:rPr>
      </w:pPr>
      <w:r>
        <w:rPr>
          <w:rFonts w:hint="eastAsia" w:ascii="方正仿宋_GB2312" w:hAnsi="方正仿宋_GB2312" w:eastAsia="方正仿宋_GB2312" w:cs="方正仿宋_GB2312"/>
          <w:b w:val="0"/>
          <w:bCs w:val="0"/>
          <w:kern w:val="0"/>
          <w:sz w:val="24"/>
          <w:szCs w:val="24"/>
          <w:lang w:val="en-US" w:eastAsia="zh-CN" w:bidi="ar"/>
        </w:rPr>
        <w:t>当前法律服务市场与通用人工智能技术之间存在着巨大的鸿沟，这构成了我们切入市场的核心痛点：</w:t>
      </w:r>
    </w:p>
    <w:p w14:paraId="7358BE93">
      <w:pPr>
        <w:keepNext w:val="0"/>
        <w:keepLines w:val="0"/>
        <w:widowControl/>
        <w:suppressLineNumbers w:val="0"/>
        <w:spacing w:before="0" w:beforeAutospacing="1" w:after="0" w:afterAutospacing="1"/>
        <w:jc w:val="left"/>
        <w:rPr>
          <w:rFonts w:hint="eastAsia" w:ascii="方正仿宋_GB2312" w:hAnsi="方正仿宋_GB2312" w:eastAsia="方正仿宋_GB2312" w:cs="方正仿宋_GB2312"/>
          <w:b w:val="0"/>
          <w:bCs w:val="0"/>
          <w:kern w:val="0"/>
          <w:sz w:val="24"/>
          <w:szCs w:val="24"/>
          <w:lang w:val="en-US" w:eastAsia="zh-CN" w:bidi="ar"/>
        </w:rPr>
      </w:pPr>
      <w:r>
        <w:rPr>
          <w:rFonts w:hint="eastAsia" w:ascii="方正仿宋_GB2312" w:hAnsi="方正仿宋_GB2312" w:eastAsia="方正仿宋_GB2312" w:cs="方正仿宋_GB2312"/>
          <w:b w:val="0"/>
          <w:bCs w:val="0"/>
          <w:kern w:val="0"/>
          <w:sz w:val="24"/>
          <w:szCs w:val="24"/>
          <w:lang w:val="en-US" w:eastAsia="zh-CN" w:bidi="ar"/>
        </w:rPr>
        <w:t>1.2.1通用大模型的“法盲”困境</w:t>
      </w:r>
    </w:p>
    <w:p w14:paraId="41098C66">
      <w:pPr>
        <w:keepNext w:val="0"/>
        <w:keepLines w:val="0"/>
        <w:widowControl/>
        <w:suppressLineNumbers w:val="0"/>
        <w:spacing w:before="0" w:beforeAutospacing="1" w:after="0" w:afterAutospacing="1"/>
        <w:ind w:left="0" w:right="0" w:firstLine="480" w:firstLineChars="200"/>
        <w:jc w:val="left"/>
        <w:rPr>
          <w:rFonts w:hint="eastAsia" w:ascii="方正仿宋_GB2312" w:hAnsi="方正仿宋_GB2312" w:eastAsia="方正仿宋_GB2312" w:cs="方正仿宋_GB2312"/>
          <w:b w:val="0"/>
          <w:bCs w:val="0"/>
          <w:kern w:val="0"/>
          <w:sz w:val="24"/>
          <w:szCs w:val="24"/>
          <w:lang w:val="en-US" w:eastAsia="zh-CN" w:bidi="ar"/>
        </w:rPr>
      </w:pPr>
      <w:r>
        <w:rPr>
          <w:rFonts w:hint="eastAsia" w:ascii="方正仿宋_GB2312" w:hAnsi="方正仿宋_GB2312" w:eastAsia="方正仿宋_GB2312" w:cs="方正仿宋_GB2312"/>
          <w:b w:val="0"/>
          <w:bCs w:val="0"/>
          <w:kern w:val="0"/>
          <w:sz w:val="24"/>
          <w:szCs w:val="24"/>
          <w:lang w:val="en-US" w:eastAsia="zh-CN" w:bidi="ar"/>
        </w:rPr>
        <w:t>以 ChatGPT 为代表的通用大模型在法律领域存在三大顽疾——“幻觉多、逻辑弱、流程不合规” 。它们无法理解严谨的证据链逻辑，常捏造法条或案例，且无法适配各国严格的司法程序规范。这种“概率性预测”无法满足法律对“确定性结果”的刚需 。</w:t>
      </w:r>
    </w:p>
    <w:p w14:paraId="4217E916">
      <w:pPr>
        <w:pStyle w:val="3"/>
        <w:rPr>
          <w:rFonts w:hint="eastAsia" w:ascii="方正仿宋_GB2312" w:hAnsi="方正仿宋_GB2312" w:eastAsia="方正仿宋_GB2312" w:cs="方正仿宋_GB2312"/>
          <w:b w:val="0"/>
          <w:bCs w:val="0"/>
          <w:kern w:val="0"/>
          <w:sz w:val="24"/>
          <w:szCs w:val="24"/>
          <w:lang w:val="en-US" w:eastAsia="zh-CN" w:bidi="ar"/>
        </w:rPr>
      </w:pPr>
      <w:r>
        <w:rPr>
          <w:rFonts w:hint="eastAsia" w:ascii="方正仿宋_GB2312" w:hAnsi="方正仿宋_GB2312" w:eastAsia="方正仿宋_GB2312" w:cs="方正仿宋_GB2312"/>
          <w:b w:val="0"/>
          <w:bCs w:val="0"/>
          <w:kern w:val="0"/>
          <w:sz w:val="24"/>
          <w:szCs w:val="24"/>
          <w:lang w:val="en-US" w:eastAsia="zh-CN" w:bidi="ar"/>
        </w:rPr>
        <w:t>1.2.2司法实践的结构性矛盾</w:t>
      </w:r>
    </w:p>
    <w:p w14:paraId="070A98A6">
      <w:pPr>
        <w:pStyle w:val="4"/>
        <w:rPr>
          <w:rFonts w:hint="eastAsia" w:ascii="方正仿宋_GB2312" w:hAnsi="方正仿宋_GB2312" w:eastAsia="方正仿宋_GB2312" w:cs="方正仿宋_GB2312"/>
          <w:b w:val="0"/>
          <w:bCs w:val="0"/>
          <w:sz w:val="24"/>
          <w:szCs w:val="24"/>
        </w:rPr>
      </w:pPr>
      <w:r>
        <w:rPr>
          <w:rFonts w:hint="eastAsia" w:ascii="方正仿宋_GB2312" w:hAnsi="方正仿宋_GB2312" w:eastAsia="方正仿宋_GB2312" w:cs="方正仿宋_GB2312"/>
          <w:b w:val="0"/>
          <w:bCs w:val="0"/>
          <w:sz w:val="24"/>
          <w:szCs w:val="24"/>
          <w:lang w:eastAsia="zh-CN"/>
        </w:rPr>
        <w:t>（</w:t>
      </w:r>
      <w:r>
        <w:rPr>
          <w:rFonts w:hint="eastAsia" w:ascii="方正仿宋_GB2312" w:hAnsi="方正仿宋_GB2312" w:eastAsia="方正仿宋_GB2312" w:cs="方正仿宋_GB2312"/>
          <w:b w:val="0"/>
          <w:bCs w:val="0"/>
          <w:sz w:val="24"/>
          <w:szCs w:val="24"/>
          <w:lang w:val="en-US" w:eastAsia="zh-CN"/>
        </w:rPr>
        <w:t>1）</w:t>
      </w:r>
      <w:r>
        <w:rPr>
          <w:rFonts w:hint="eastAsia" w:ascii="方正仿宋_GB2312" w:hAnsi="方正仿宋_GB2312" w:eastAsia="方正仿宋_GB2312" w:cs="方正仿宋_GB2312"/>
          <w:b w:val="0"/>
          <w:bCs w:val="0"/>
          <w:sz w:val="24"/>
          <w:szCs w:val="24"/>
        </w:rPr>
        <w:t>C端（当事人）</w:t>
      </w:r>
    </w:p>
    <w:p w14:paraId="3E4360AA">
      <w:pPr>
        <w:keepNext w:val="0"/>
        <w:keepLines w:val="0"/>
        <w:widowControl/>
        <w:suppressLineNumbers w:val="0"/>
        <w:spacing w:before="0" w:beforeAutospacing="1" w:after="0" w:afterAutospacing="1"/>
        <w:ind w:left="0" w:right="0" w:firstLine="480" w:firstLineChars="200"/>
        <w:jc w:val="left"/>
        <w:rPr>
          <w:rFonts w:hint="eastAsia" w:ascii="方正仿宋_GB2312" w:hAnsi="方正仿宋_GB2312" w:eastAsia="方正仿宋_GB2312" w:cs="方正仿宋_GB2312"/>
          <w:b w:val="0"/>
          <w:bCs w:val="0"/>
          <w:kern w:val="0"/>
          <w:sz w:val="24"/>
          <w:szCs w:val="24"/>
          <w:lang w:val="en-US" w:eastAsia="zh-CN" w:bidi="ar"/>
        </w:rPr>
      </w:pPr>
      <w:r>
        <w:rPr>
          <w:rFonts w:hint="eastAsia" w:ascii="方正仿宋_GB2312" w:hAnsi="方正仿宋_GB2312" w:eastAsia="方正仿宋_GB2312" w:cs="方正仿宋_GB2312"/>
          <w:b w:val="0"/>
          <w:bCs w:val="0"/>
          <w:kern w:val="0"/>
          <w:sz w:val="24"/>
          <w:szCs w:val="24"/>
          <w:lang w:val="en-US" w:eastAsia="zh-CN" w:bidi="ar"/>
        </w:rPr>
        <w:t>面临“门槛高、博弈难”的困境。普通民众不仅难以承担高昂的律师费（平均 5000+元/案），更缺乏对庭审博弈逻辑的理解，导致有理说不清，在诉讼博弈中处于劣势 。</w:t>
      </w:r>
    </w:p>
    <w:p w14:paraId="481D73DA">
      <w:pPr>
        <w:keepNext w:val="0"/>
        <w:keepLines w:val="0"/>
        <w:widowControl/>
        <w:numPr>
          <w:ilvl w:val="0"/>
          <w:numId w:val="1"/>
        </w:numPr>
        <w:suppressLineNumbers w:val="0"/>
        <w:spacing w:before="0" w:beforeAutospacing="1" w:after="0" w:afterAutospacing="1"/>
        <w:ind w:left="0" w:right="0"/>
        <w:jc w:val="left"/>
        <w:rPr>
          <w:rFonts w:hint="eastAsia" w:ascii="方正仿宋_GB2312" w:hAnsi="方正仿宋_GB2312" w:eastAsia="方正仿宋_GB2312" w:cs="方正仿宋_GB2312"/>
          <w:b w:val="0"/>
          <w:bCs w:val="0"/>
          <w:sz w:val="24"/>
          <w:szCs w:val="24"/>
        </w:rPr>
      </w:pPr>
      <w:r>
        <w:rPr>
          <w:rFonts w:hint="eastAsia" w:ascii="方正仿宋_GB2312" w:hAnsi="方正仿宋_GB2312" w:eastAsia="方正仿宋_GB2312" w:cs="方正仿宋_GB2312"/>
          <w:b w:val="0"/>
          <w:bCs w:val="0"/>
          <w:sz w:val="24"/>
          <w:szCs w:val="24"/>
        </w:rPr>
        <w:t>B端（律师）</w:t>
      </w:r>
    </w:p>
    <w:p w14:paraId="1A0BEAB0">
      <w:pPr>
        <w:keepNext w:val="0"/>
        <w:keepLines w:val="0"/>
        <w:widowControl/>
        <w:numPr>
          <w:numId w:val="0"/>
        </w:numPr>
        <w:suppressLineNumbers w:val="0"/>
        <w:spacing w:before="0" w:beforeAutospacing="1" w:after="0" w:afterAutospacing="1"/>
        <w:ind w:right="0" w:rightChars="0" w:firstLine="480" w:firstLineChars="200"/>
        <w:jc w:val="left"/>
        <w:rPr>
          <w:rFonts w:hint="eastAsia" w:ascii="方正仿宋_GB2312" w:hAnsi="方正仿宋_GB2312" w:eastAsia="方正仿宋_GB2312" w:cs="方正仿宋_GB2312"/>
          <w:b w:val="0"/>
          <w:bCs w:val="0"/>
          <w:sz w:val="24"/>
          <w:szCs w:val="24"/>
        </w:rPr>
      </w:pPr>
      <w:r>
        <w:rPr>
          <w:rFonts w:hint="eastAsia" w:ascii="方正仿宋_GB2312" w:hAnsi="方正仿宋_GB2312" w:eastAsia="方正仿宋_GB2312" w:cs="方正仿宋_GB2312"/>
          <w:b w:val="0"/>
          <w:bCs w:val="0"/>
          <w:sz w:val="24"/>
          <w:szCs w:val="24"/>
        </w:rPr>
        <w:t>陷入“内卷重、效率低”的泥潭。70% 的工作时间被证据整理等重复性劳动占据，且受限于个人经验盲区，缺乏能够进行高强度对抗演练的“红军”陪练，难以穷尽所有抗辩角度 。</w:t>
      </w:r>
    </w:p>
    <w:p w14:paraId="17EC2916">
      <w:pPr>
        <w:keepNext w:val="0"/>
        <w:keepLines w:val="0"/>
        <w:widowControl/>
        <w:numPr>
          <w:ilvl w:val="0"/>
          <w:numId w:val="1"/>
        </w:numPr>
        <w:suppressLineNumbers w:val="0"/>
        <w:spacing w:before="0" w:beforeAutospacing="1" w:after="0" w:afterAutospacing="1"/>
        <w:ind w:left="0" w:leftChars="0" w:right="0" w:firstLine="0" w:firstLineChars="0"/>
        <w:jc w:val="left"/>
        <w:rPr>
          <w:rFonts w:hint="eastAsia" w:ascii="方正仿宋_GB2312" w:hAnsi="方正仿宋_GB2312" w:eastAsia="方正仿宋_GB2312" w:cs="方正仿宋_GB2312"/>
          <w:b w:val="0"/>
          <w:bCs w:val="0"/>
          <w:sz w:val="24"/>
          <w:szCs w:val="24"/>
        </w:rPr>
      </w:pPr>
      <w:r>
        <w:rPr>
          <w:rFonts w:hint="eastAsia" w:ascii="方正仿宋_GB2312" w:hAnsi="方正仿宋_GB2312" w:eastAsia="方正仿宋_GB2312" w:cs="方正仿宋_GB2312"/>
          <w:b w:val="0"/>
          <w:bCs w:val="0"/>
          <w:sz w:val="24"/>
          <w:szCs w:val="24"/>
        </w:rPr>
        <w:t>G端（法院）</w:t>
      </w:r>
    </w:p>
    <w:p w14:paraId="65874104">
      <w:pPr>
        <w:keepNext w:val="0"/>
        <w:keepLines w:val="0"/>
        <w:widowControl/>
        <w:numPr>
          <w:numId w:val="0"/>
        </w:numPr>
        <w:suppressLineNumbers w:val="0"/>
        <w:spacing w:before="0" w:beforeAutospacing="1" w:after="0" w:afterAutospacing="1"/>
        <w:ind w:leftChars="0" w:right="0" w:rightChars="0" w:firstLine="480" w:firstLineChars="200"/>
        <w:jc w:val="left"/>
        <w:rPr>
          <w:rFonts w:hint="eastAsia" w:ascii="方正仿宋_GB2312" w:hAnsi="方正仿宋_GB2312" w:eastAsia="方正仿宋_GB2312" w:cs="方正仿宋_GB2312"/>
          <w:b w:val="0"/>
          <w:bCs w:val="0"/>
          <w:sz w:val="24"/>
          <w:szCs w:val="24"/>
        </w:rPr>
      </w:pPr>
      <w:r>
        <w:rPr>
          <w:rFonts w:hint="eastAsia" w:ascii="方正仿宋_GB2312" w:hAnsi="方正仿宋_GB2312" w:eastAsia="方正仿宋_GB2312" w:cs="方正仿宋_GB2312"/>
          <w:b w:val="0"/>
          <w:bCs w:val="0"/>
          <w:sz w:val="24"/>
          <w:szCs w:val="24"/>
        </w:rPr>
        <w:t>承受“案多人少”的极限压力。案件量年均增长 10%，法官人均年办案超 300 件，传统辅助工具仅能生成模板，无法分担核心的裁判说理与逻辑校验工作 。</w:t>
      </w:r>
    </w:p>
    <w:p w14:paraId="54377A36">
      <w:pPr>
        <w:pStyle w:val="3"/>
        <w:keepNext w:val="0"/>
        <w:keepLines w:val="0"/>
        <w:widowControl/>
        <w:suppressLineNumbers w:val="0"/>
        <w:rPr>
          <w:rFonts w:hint="eastAsia" w:ascii="方正仿宋_GB2312" w:hAnsi="方正仿宋_GB2312" w:eastAsia="方正仿宋_GB2312" w:cs="方正仿宋_GB2312"/>
          <w:b/>
          <w:bCs/>
        </w:rPr>
      </w:pPr>
      <w:r>
        <w:rPr>
          <w:rFonts w:hint="eastAsia" w:ascii="方正仿宋_GB2312" w:hAnsi="方正仿宋_GB2312" w:eastAsia="方正仿宋_GB2312" w:cs="方正仿宋_GB2312"/>
          <w:b/>
          <w:bCs/>
        </w:rPr>
        <w:t>1.3 解决方案：Trinity-Loop 架构下的博弈智能体</w:t>
      </w:r>
    </w:p>
    <w:p w14:paraId="2A03FB2C">
      <w:pPr>
        <w:pStyle w:val="5"/>
        <w:keepNext w:val="0"/>
        <w:keepLines w:val="0"/>
        <w:widowControl/>
        <w:suppressLineNumbers w:val="0"/>
        <w:ind w:firstLine="480" w:firstLineChars="200"/>
        <w:rPr>
          <w:rFonts w:hint="eastAsia" w:ascii="方正仿宋_GB2312" w:hAnsi="方正仿宋_GB2312" w:eastAsia="方正仿宋_GB2312" w:cs="方正仿宋_GB2312"/>
        </w:rPr>
      </w:pPr>
      <w:r>
        <w:rPr>
          <w:rFonts w:hint="eastAsia" w:ascii="方正仿宋_GB2312" w:hAnsi="方正仿宋_GB2312" w:eastAsia="方正仿宋_GB2312" w:cs="方正仿宋_GB2312"/>
        </w:rPr>
        <w:t xml:space="preserve">针对上述痛点，“元弈言枢”首创了 </w:t>
      </w:r>
      <w:r>
        <w:rPr>
          <w:rFonts w:hint="eastAsia" w:ascii="方正仿宋_GB2312" w:hAnsi="方正仿宋_GB2312" w:eastAsia="方正仿宋_GB2312" w:cs="方正仿宋_GB2312"/>
          <w:b/>
          <w:bCs/>
        </w:rPr>
        <w:t>Trinity-Loop（三位一体）博弈架构</w:t>
      </w:r>
      <w:r>
        <w:rPr>
          <w:rFonts w:hint="eastAsia" w:ascii="方正仿宋_GB2312" w:hAnsi="方正仿宋_GB2312" w:eastAsia="方正仿宋_GB2312" w:cs="方正仿宋_GB2312"/>
        </w:rPr>
        <w:t>，这不仅是技术的创新，更是法律思维的代码化重构 。</w:t>
      </w:r>
    </w:p>
    <w:p w14:paraId="17B8FD30">
      <w:pPr>
        <w:keepNext w:val="0"/>
        <w:keepLines w:val="0"/>
        <w:widowControl/>
        <w:suppressLineNumbers w:val="0"/>
        <w:spacing w:before="0" w:beforeAutospacing="1" w:after="0" w:afterAutospacing="1"/>
        <w:jc w:val="left"/>
        <w:rPr>
          <w:rFonts w:hint="eastAsia" w:ascii="方正仿宋_GB2312" w:hAnsi="方正仿宋_GB2312" w:eastAsia="方正仿宋_GB2312" w:cs="方正仿宋_GB2312"/>
          <w:b w:val="0"/>
          <w:bCs w:val="0"/>
          <w:kern w:val="0"/>
          <w:sz w:val="24"/>
          <w:szCs w:val="24"/>
          <w:lang w:val="en-US" w:eastAsia="zh-CN" w:bidi="ar"/>
        </w:rPr>
      </w:pPr>
      <w:r>
        <w:rPr>
          <w:rFonts w:hint="eastAsia" w:ascii="方正仿宋_GB2312" w:hAnsi="方正仿宋_GB2312" w:eastAsia="方正仿宋_GB2312" w:cs="方正仿宋_GB2312"/>
          <w:b w:val="0"/>
          <w:bCs w:val="0"/>
          <w:kern w:val="0"/>
          <w:sz w:val="24"/>
          <w:szCs w:val="24"/>
          <w:lang w:val="en-US" w:eastAsia="zh-CN" w:bidi="ar"/>
        </w:rPr>
        <w:t>1.3.1动态博弈闭环</w:t>
      </w:r>
    </w:p>
    <w:p w14:paraId="716D43A2">
      <w:pPr>
        <w:keepNext w:val="0"/>
        <w:keepLines w:val="0"/>
        <w:widowControl/>
        <w:suppressLineNumbers w:val="0"/>
        <w:spacing w:before="0" w:beforeAutospacing="1" w:after="0" w:afterAutospacing="1"/>
        <w:ind w:left="0" w:right="0"/>
        <w:jc w:val="left"/>
        <w:rPr>
          <w:rFonts w:hint="eastAsia" w:ascii="方正仿宋_GB2312" w:hAnsi="方正仿宋_GB2312" w:eastAsia="方正仿宋_GB2312" w:cs="方正仿宋_GB2312"/>
          <w:b w:val="0"/>
          <w:bCs w:val="0"/>
          <w:kern w:val="0"/>
          <w:sz w:val="24"/>
          <w:szCs w:val="24"/>
          <w:lang w:val="en-US" w:eastAsia="zh-CN" w:bidi="ar"/>
        </w:rPr>
      </w:pPr>
      <w:r>
        <w:rPr>
          <w:rFonts w:hint="eastAsia" w:ascii="方正仿宋_GB2312" w:hAnsi="方正仿宋_GB2312" w:eastAsia="方正仿宋_GB2312" w:cs="方正仿宋_GB2312"/>
          <w:b w:val="0"/>
          <w:bCs w:val="0"/>
          <w:kern w:val="0"/>
          <w:sz w:val="24"/>
          <w:szCs w:val="24"/>
          <w:lang w:val="en-US" w:eastAsia="zh-CN" w:bidi="ar"/>
        </w:rPr>
        <w:t>系统不再单向生成内容，而是构建了一个虚拟法庭。</w:t>
      </w:r>
    </w:p>
    <w:p w14:paraId="60E2E2F7">
      <w:pPr>
        <w:keepNext w:val="0"/>
        <w:keepLines w:val="0"/>
        <w:widowControl/>
        <w:suppressLineNumbers w:val="0"/>
        <w:spacing w:before="0" w:beforeAutospacing="1" w:after="0" w:afterAutospacing="1"/>
        <w:jc w:val="left"/>
        <w:rPr>
          <w:rFonts w:hint="eastAsia" w:ascii="方正仿宋_GB2312" w:hAnsi="方正仿宋_GB2312" w:eastAsia="方正仿宋_GB2312" w:cs="方正仿宋_GB2312"/>
          <w:b w:val="0"/>
          <w:bCs w:val="0"/>
          <w:kern w:val="0"/>
          <w:sz w:val="24"/>
          <w:szCs w:val="24"/>
          <w:lang w:val="en-US" w:eastAsia="zh-CN" w:bidi="ar"/>
        </w:rPr>
      </w:pPr>
      <w:r>
        <w:rPr>
          <w:rFonts w:hint="eastAsia" w:ascii="方正仿宋_GB2312" w:hAnsi="方正仿宋_GB2312" w:eastAsia="方正仿宋_GB2312" w:cs="方正仿宋_GB2312"/>
          <w:b w:val="0"/>
          <w:bCs w:val="0"/>
          <w:kern w:val="0"/>
          <w:sz w:val="24"/>
          <w:szCs w:val="24"/>
          <w:lang w:val="en-US" w:eastAsia="zh-CN" w:bidi="ar"/>
        </w:rPr>
        <w:t>（1）Generator（蓝军/执行者）：基于 RAG 检索生成初始策略与文书初稿。</w:t>
      </w:r>
    </w:p>
    <w:p w14:paraId="618BB0B3">
      <w:pPr>
        <w:keepNext w:val="0"/>
        <w:keepLines w:val="0"/>
        <w:widowControl/>
        <w:suppressLineNumbers w:val="0"/>
        <w:spacing w:before="0" w:beforeAutospacing="1" w:after="0" w:afterAutospacing="1"/>
        <w:ind w:left="0" w:leftChars="0" w:right="0"/>
        <w:jc w:val="left"/>
        <w:rPr>
          <w:rFonts w:hint="eastAsia" w:ascii="方正仿宋_GB2312" w:hAnsi="方正仿宋_GB2312" w:eastAsia="方正仿宋_GB2312" w:cs="方正仿宋_GB2312"/>
          <w:b w:val="0"/>
          <w:bCs w:val="0"/>
          <w:sz w:val="24"/>
          <w:szCs w:val="24"/>
        </w:rPr>
      </w:pPr>
      <w:r>
        <w:rPr>
          <w:rFonts w:hint="eastAsia" w:ascii="方正仿宋_GB2312" w:hAnsi="方正仿宋_GB2312" w:eastAsia="方正仿宋_GB2312" w:cs="方正仿宋_GB2312"/>
          <w:b w:val="0"/>
          <w:bCs w:val="0"/>
          <w:sz w:val="24"/>
          <w:szCs w:val="24"/>
          <w:lang w:eastAsia="zh-CN"/>
        </w:rPr>
        <w:t>（</w:t>
      </w:r>
      <w:r>
        <w:rPr>
          <w:rFonts w:hint="eastAsia" w:ascii="方正仿宋_GB2312" w:hAnsi="方正仿宋_GB2312" w:eastAsia="方正仿宋_GB2312" w:cs="方正仿宋_GB2312"/>
          <w:b w:val="0"/>
          <w:bCs w:val="0"/>
          <w:sz w:val="24"/>
          <w:szCs w:val="24"/>
          <w:lang w:val="en-US" w:eastAsia="zh-CN"/>
        </w:rPr>
        <w:t>2）</w:t>
      </w:r>
      <w:r>
        <w:rPr>
          <w:rFonts w:hint="eastAsia" w:ascii="方正仿宋_GB2312" w:hAnsi="方正仿宋_GB2312" w:eastAsia="方正仿宋_GB2312" w:cs="方正仿宋_GB2312"/>
          <w:b w:val="0"/>
          <w:bCs w:val="0"/>
          <w:sz w:val="24"/>
          <w:szCs w:val="24"/>
        </w:rPr>
        <w:t>Discriminator（红军/挑战者）：基于反向逻辑，模拟对手律师进行高强度攻击（如提出时效抗辩、证据漏洞质疑） 。</w:t>
      </w:r>
    </w:p>
    <w:p w14:paraId="6CDF38CD">
      <w:pPr>
        <w:keepNext w:val="0"/>
        <w:keepLines w:val="0"/>
        <w:widowControl/>
        <w:suppressLineNumbers w:val="0"/>
        <w:spacing w:before="0" w:beforeAutospacing="1" w:after="0" w:afterAutospacing="1"/>
        <w:ind w:left="0" w:leftChars="0" w:right="0"/>
        <w:jc w:val="left"/>
        <w:rPr>
          <w:rFonts w:hint="eastAsia" w:ascii="方正仿宋_GB2312" w:hAnsi="方正仿宋_GB2312" w:eastAsia="方正仿宋_GB2312" w:cs="方正仿宋_GB2312"/>
          <w:b w:val="0"/>
          <w:bCs w:val="0"/>
          <w:sz w:val="24"/>
          <w:szCs w:val="24"/>
        </w:rPr>
      </w:pPr>
      <w:r>
        <w:rPr>
          <w:rFonts w:hint="eastAsia" w:ascii="方正仿宋_GB2312" w:hAnsi="方正仿宋_GB2312" w:eastAsia="方正仿宋_GB2312" w:cs="方正仿宋_GB2312"/>
          <w:b w:val="0"/>
          <w:bCs w:val="0"/>
          <w:sz w:val="24"/>
          <w:szCs w:val="24"/>
          <w:lang w:eastAsia="zh-CN"/>
        </w:rPr>
        <w:t>（</w:t>
      </w:r>
      <w:r>
        <w:rPr>
          <w:rFonts w:hint="eastAsia" w:ascii="方正仿宋_GB2312" w:hAnsi="方正仿宋_GB2312" w:eastAsia="方正仿宋_GB2312" w:cs="方正仿宋_GB2312"/>
          <w:b w:val="0"/>
          <w:bCs w:val="0"/>
          <w:sz w:val="24"/>
          <w:szCs w:val="24"/>
          <w:lang w:val="en-US" w:eastAsia="zh-CN"/>
        </w:rPr>
        <w:t>3）</w:t>
      </w:r>
      <w:r>
        <w:rPr>
          <w:rFonts w:hint="eastAsia" w:ascii="方正仿宋_GB2312" w:hAnsi="方正仿宋_GB2312" w:eastAsia="方正仿宋_GB2312" w:cs="方正仿宋_GB2312"/>
          <w:b w:val="0"/>
          <w:bCs w:val="0"/>
          <w:sz w:val="24"/>
          <w:szCs w:val="24"/>
        </w:rPr>
        <w:t>Adjudicator（裁判者/状态机）：维持程序正义，判定胜负，确保每一轮博弈流程 100% 合规 。 这一过程产生的文书，是经过数千次虚拟对抗后，双方均无法单方面优化策略时的“纳什均衡解” 。</w:t>
      </w:r>
    </w:p>
    <w:p w14:paraId="319F23AB">
      <w:pPr>
        <w:keepNext w:val="0"/>
        <w:keepLines w:val="0"/>
        <w:widowControl/>
        <w:suppressLineNumbers w:val="0"/>
        <w:spacing w:before="0" w:beforeAutospacing="1" w:after="0" w:afterAutospacing="1"/>
        <w:ind w:left="0" w:leftChars="0" w:right="0"/>
        <w:jc w:val="left"/>
        <w:rPr>
          <w:rFonts w:hint="eastAsia" w:ascii="方正仿宋_GB2312" w:hAnsi="方正仿宋_GB2312" w:eastAsia="方正仿宋_GB2312" w:cs="方正仿宋_GB2312"/>
          <w:b w:val="0"/>
          <w:bCs w:val="0"/>
          <w:sz w:val="24"/>
          <w:szCs w:val="24"/>
        </w:rPr>
      </w:pPr>
      <w:r>
        <w:rPr>
          <w:rFonts w:hint="eastAsia" w:ascii="方正仿宋_GB2312" w:hAnsi="方正仿宋_GB2312" w:eastAsia="方正仿宋_GB2312" w:cs="方正仿宋_GB2312"/>
          <w:b w:val="0"/>
          <w:bCs w:val="0"/>
          <w:sz w:val="24"/>
          <w:szCs w:val="24"/>
          <w:lang w:val="en-US" w:eastAsia="zh-CN"/>
        </w:rPr>
        <w:t xml:space="preserve">1.3.2 </w:t>
      </w:r>
      <w:r>
        <w:rPr>
          <w:rFonts w:hint="eastAsia" w:ascii="方正仿宋_GB2312" w:hAnsi="方正仿宋_GB2312" w:eastAsia="方正仿宋_GB2312" w:cs="方正仿宋_GB2312"/>
          <w:b w:val="0"/>
          <w:bCs w:val="0"/>
          <w:sz w:val="24"/>
          <w:szCs w:val="24"/>
        </w:rPr>
        <w:t>LACP 法律智能体协同协议</w:t>
      </w:r>
    </w:p>
    <w:p w14:paraId="36521AB5">
      <w:pPr>
        <w:keepNext w:val="0"/>
        <w:keepLines w:val="0"/>
        <w:widowControl/>
        <w:suppressLineNumbers w:val="0"/>
        <w:spacing w:before="0" w:beforeAutospacing="1" w:after="0" w:afterAutospacing="1"/>
        <w:ind w:left="0" w:leftChars="0" w:right="0"/>
        <w:jc w:val="left"/>
        <w:rPr>
          <w:rFonts w:hint="eastAsia" w:ascii="方正仿宋_GB2312" w:hAnsi="方正仿宋_GB2312" w:eastAsia="方正仿宋_GB2312" w:cs="方正仿宋_GB2312"/>
          <w:b w:val="0"/>
          <w:bCs w:val="0"/>
          <w:sz w:val="24"/>
          <w:szCs w:val="24"/>
        </w:rPr>
      </w:pPr>
      <w:r>
        <w:rPr>
          <w:rFonts w:hint="eastAsia" w:ascii="方正仿宋_GB2312" w:hAnsi="方正仿宋_GB2312" w:eastAsia="方正仿宋_GB2312" w:cs="方正仿宋_GB2312"/>
          <w:b w:val="0"/>
          <w:bCs w:val="0"/>
          <w:sz w:val="24"/>
          <w:szCs w:val="24"/>
        </w:rPr>
        <w:t>为了让多个智能体高效协作，我们制定了行业标准 LACP。它定义了智能体间的通信语言，确保“事实原子 (Fact Atom)”在多轮传输中不失真，彻底解决了长文本遗忘问题，让法律逻辑链条严丝合缝 。</w:t>
      </w:r>
    </w:p>
    <w:p w14:paraId="07E86FEB">
      <w:pPr>
        <w:keepNext w:val="0"/>
        <w:keepLines w:val="0"/>
        <w:widowControl/>
        <w:suppressLineNumbers w:val="0"/>
        <w:spacing w:before="0" w:beforeAutospacing="1" w:after="0" w:afterAutospacing="1"/>
        <w:ind w:left="0" w:leftChars="0" w:right="0"/>
        <w:jc w:val="left"/>
        <w:rPr>
          <w:rFonts w:hint="eastAsia" w:ascii="方正仿宋_GB2312" w:hAnsi="方正仿宋_GB2312" w:eastAsia="方正仿宋_GB2312" w:cs="方正仿宋_GB2312"/>
          <w:b w:val="0"/>
          <w:bCs w:val="0"/>
          <w:sz w:val="24"/>
          <w:szCs w:val="24"/>
        </w:rPr>
      </w:pPr>
      <w:r>
        <w:rPr>
          <w:rFonts w:hint="eastAsia" w:ascii="方正仿宋_GB2312" w:hAnsi="方正仿宋_GB2312" w:eastAsia="方正仿宋_GB2312" w:cs="方正仿宋_GB2312"/>
          <w:b w:val="0"/>
          <w:bCs w:val="0"/>
          <w:sz w:val="24"/>
          <w:szCs w:val="24"/>
          <w:lang w:val="en-US" w:eastAsia="zh-CN"/>
        </w:rPr>
        <w:t xml:space="preserve">1.3.3 </w:t>
      </w:r>
      <w:r>
        <w:rPr>
          <w:rFonts w:hint="eastAsia" w:ascii="方正仿宋_GB2312" w:hAnsi="方正仿宋_GB2312" w:eastAsia="方正仿宋_GB2312" w:cs="方正仿宋_GB2312"/>
          <w:b w:val="0"/>
          <w:bCs w:val="0"/>
          <w:sz w:val="24"/>
          <w:szCs w:val="24"/>
        </w:rPr>
        <w:t>Justicia 多维评测引擎</w:t>
      </w:r>
    </w:p>
    <w:p w14:paraId="2F78D4C8">
      <w:pPr>
        <w:keepNext w:val="0"/>
        <w:keepLines w:val="0"/>
        <w:widowControl/>
        <w:suppressLineNumbers w:val="0"/>
        <w:spacing w:before="0" w:beforeAutospacing="1" w:after="0" w:afterAutospacing="1"/>
        <w:ind w:left="0" w:leftChars="0" w:right="0"/>
        <w:jc w:val="left"/>
        <w:rPr>
          <w:rFonts w:hint="eastAsia" w:ascii="方正仿宋_GB2312" w:hAnsi="方正仿宋_GB2312" w:eastAsia="方正仿宋_GB2312" w:cs="方正仿宋_GB2312"/>
          <w:b w:val="0"/>
          <w:bCs w:val="0"/>
          <w:sz w:val="24"/>
          <w:szCs w:val="24"/>
        </w:rPr>
      </w:pPr>
      <w:r>
        <w:rPr>
          <w:rFonts w:hint="eastAsia" w:ascii="方正仿宋_GB2312" w:hAnsi="方正仿宋_GB2312" w:eastAsia="方正仿宋_GB2312" w:cs="方正仿宋_GB2312"/>
          <w:b w:val="0"/>
          <w:bCs w:val="0"/>
          <w:sz w:val="24"/>
          <w:szCs w:val="24"/>
        </w:rPr>
        <w:t>为了解决信任问题，我们引入了三重审计机制——DOC（信息完备度）确保事实零遗漏；FOR（格式合规性）确保符合最高法文书规范；REA（逻辑对抗性）</w:t>
      </w:r>
      <w:r>
        <w:rPr>
          <w:rFonts w:hint="eastAsia" w:ascii="方正仿宋_GB2312" w:hAnsi="方正仿宋_GB2312" w:eastAsia="方正仿宋_GB2312" w:cs="方正仿宋_GB2312"/>
          <w:b w:val="0"/>
          <w:bCs w:val="0"/>
          <w:sz w:val="24"/>
          <w:szCs w:val="24"/>
          <w:lang w:eastAsia="zh-CN"/>
        </w:rPr>
        <w:t>。</w:t>
      </w:r>
      <w:r>
        <w:rPr>
          <w:rFonts w:hint="eastAsia" w:ascii="方正仿宋_GB2312" w:hAnsi="方正仿宋_GB2312" w:eastAsia="方正仿宋_GB2312" w:cs="方正仿宋_GB2312"/>
          <w:b w:val="0"/>
          <w:bCs w:val="0"/>
          <w:sz w:val="24"/>
          <w:szCs w:val="24"/>
        </w:rPr>
        <w:t>基于胜率预测模型评估逻辑强度。这使得我们的输出不仅“写得快”，更是“打得赢”的高质量法律文书 。</w:t>
      </w:r>
    </w:p>
    <w:p w14:paraId="66775688">
      <w:pPr>
        <w:keepNext w:val="0"/>
        <w:keepLines w:val="0"/>
        <w:widowControl/>
        <w:suppressLineNumbers w:val="0"/>
        <w:spacing w:before="0" w:beforeAutospacing="1" w:after="0" w:afterAutospacing="1"/>
        <w:ind w:left="0" w:leftChars="0" w:right="0"/>
        <w:jc w:val="left"/>
        <w:rPr>
          <w:rFonts w:hint="eastAsia" w:ascii="方正仿宋_GB2312" w:hAnsi="方正仿宋_GB2312" w:eastAsia="方正仿宋_GB2312" w:cs="方正仿宋_GB2312"/>
          <w:b w:val="0"/>
          <w:bCs w:val="0"/>
          <w:sz w:val="24"/>
          <w:szCs w:val="24"/>
        </w:rPr>
      </w:pPr>
      <w:r>
        <w:rPr>
          <w:rFonts w:hint="eastAsia" w:ascii="方正仿宋_GB2312" w:hAnsi="方正仿宋_GB2312" w:eastAsia="方正仿宋_GB2312" w:cs="方正仿宋_GB2312"/>
          <w:b w:val="0"/>
          <w:bCs w:val="0"/>
          <w:sz w:val="24"/>
          <w:szCs w:val="24"/>
          <w:lang w:val="en-US" w:eastAsia="zh-CN"/>
        </w:rPr>
        <w:t>1.3.3</w:t>
      </w:r>
      <w:r>
        <w:rPr>
          <w:rFonts w:hint="eastAsia" w:ascii="方正仿宋_GB2312" w:hAnsi="方正仿宋_GB2312" w:eastAsia="方正仿宋_GB2312" w:cs="方正仿宋_GB2312"/>
          <w:b w:val="0"/>
          <w:bCs w:val="0"/>
          <w:sz w:val="24"/>
          <w:szCs w:val="24"/>
        </w:rPr>
        <w:t>全场</w:t>
      </w:r>
      <w:bookmarkStart w:id="0" w:name="_GoBack"/>
      <w:bookmarkEnd w:id="0"/>
      <w:r>
        <w:rPr>
          <w:rFonts w:hint="eastAsia" w:ascii="方正仿宋_GB2312" w:hAnsi="方正仿宋_GB2312" w:eastAsia="方正仿宋_GB2312" w:cs="方正仿宋_GB2312"/>
          <w:b w:val="0"/>
          <w:bCs w:val="0"/>
          <w:sz w:val="24"/>
          <w:szCs w:val="24"/>
        </w:rPr>
        <w:t>景产品矩阵</w:t>
      </w:r>
    </w:p>
    <w:p w14:paraId="0FE289AF">
      <w:pPr>
        <w:keepNext w:val="0"/>
        <w:keepLines w:val="0"/>
        <w:widowControl/>
        <w:suppressLineNumbers w:val="0"/>
        <w:spacing w:before="0" w:beforeAutospacing="1" w:after="0" w:afterAutospacing="1"/>
        <w:ind w:left="0" w:leftChars="0" w:right="0"/>
        <w:jc w:val="left"/>
        <w:rPr>
          <w:rFonts w:hint="eastAsia" w:ascii="方正仿宋_GB2312" w:hAnsi="方正仿宋_GB2312" w:eastAsia="方正仿宋_GB2312" w:cs="方正仿宋_GB2312"/>
          <w:b w:val="0"/>
          <w:bCs w:val="0"/>
          <w:sz w:val="24"/>
          <w:szCs w:val="24"/>
        </w:rPr>
      </w:pPr>
      <w:r>
        <w:rPr>
          <w:rFonts w:hint="eastAsia" w:ascii="方正仿宋_GB2312" w:hAnsi="方正仿宋_GB2312" w:eastAsia="方正仿宋_GB2312" w:cs="方正仿宋_GB2312"/>
          <w:b w:val="0"/>
          <w:bCs w:val="0"/>
          <w:sz w:val="24"/>
          <w:szCs w:val="24"/>
        </w:rPr>
        <w:t>技术落地为三大核心产品——Legal-CD（庭前智囊）</w:t>
      </w:r>
      <w:r>
        <w:rPr>
          <w:rFonts w:hint="eastAsia" w:ascii="方正仿宋_GB2312" w:hAnsi="方正仿宋_GB2312" w:eastAsia="方正仿宋_GB2312" w:cs="方正仿宋_GB2312"/>
          <w:b w:val="0"/>
          <w:bCs w:val="0"/>
          <w:sz w:val="24"/>
          <w:szCs w:val="24"/>
          <w:lang w:eastAsia="zh-CN"/>
        </w:rPr>
        <w:t>，</w:t>
      </w:r>
      <w:r>
        <w:rPr>
          <w:rFonts w:hint="eastAsia" w:ascii="方正仿宋_GB2312" w:hAnsi="方正仿宋_GB2312" w:eastAsia="方正仿宋_GB2312" w:cs="方正仿宋_GB2312"/>
          <w:b w:val="0"/>
          <w:bCs w:val="0"/>
          <w:sz w:val="24"/>
          <w:szCs w:val="24"/>
        </w:rPr>
        <w:t>为当事人生成攻守兼备的起诉状；Legal-DD（防御护盾）</w:t>
      </w:r>
      <w:r>
        <w:rPr>
          <w:rFonts w:hint="eastAsia" w:ascii="方正仿宋_GB2312" w:hAnsi="方正仿宋_GB2312" w:eastAsia="方正仿宋_GB2312" w:cs="方正仿宋_GB2312"/>
          <w:b w:val="0"/>
          <w:bCs w:val="0"/>
          <w:sz w:val="24"/>
          <w:szCs w:val="24"/>
          <w:lang w:eastAsia="zh-CN"/>
        </w:rPr>
        <w:t>，</w:t>
      </w:r>
      <w:r>
        <w:rPr>
          <w:rFonts w:hint="eastAsia" w:ascii="方正仿宋_GB2312" w:hAnsi="方正仿宋_GB2312" w:eastAsia="方正仿宋_GB2312" w:cs="方正仿宋_GB2312"/>
          <w:b w:val="0"/>
          <w:bCs w:val="0"/>
          <w:sz w:val="24"/>
          <w:szCs w:val="24"/>
        </w:rPr>
        <w:t>为被告挖掘漏洞并生成防御策略；Legal-CI（数字法官）</w:t>
      </w:r>
      <w:r>
        <w:rPr>
          <w:rFonts w:hint="eastAsia" w:ascii="方正仿宋_GB2312" w:hAnsi="方正仿宋_GB2312" w:eastAsia="方正仿宋_GB2312" w:cs="方正仿宋_GB2312"/>
          <w:b w:val="0"/>
          <w:bCs w:val="0"/>
          <w:sz w:val="24"/>
          <w:szCs w:val="24"/>
          <w:lang w:eastAsia="zh-CN"/>
        </w:rPr>
        <w:t>，</w:t>
      </w:r>
      <w:r>
        <w:rPr>
          <w:rFonts w:hint="eastAsia" w:ascii="方正仿宋_GB2312" w:hAnsi="方正仿宋_GB2312" w:eastAsia="方正仿宋_GB2312" w:cs="方正仿宋_GB2312"/>
          <w:b w:val="0"/>
          <w:bCs w:val="0"/>
          <w:sz w:val="24"/>
          <w:szCs w:val="24"/>
        </w:rPr>
        <w:t>作为法官的第二大脑，辅助全流程庭审控场与判决生成 。</w:t>
      </w:r>
    </w:p>
    <w:p w14:paraId="6DF0273B">
      <w:pPr>
        <w:pStyle w:val="3"/>
        <w:keepNext w:val="0"/>
        <w:keepLines w:val="0"/>
        <w:widowControl/>
        <w:suppressLineNumbers w:val="0"/>
        <w:rPr>
          <w:rFonts w:hint="eastAsia" w:ascii="方正仿宋_GB2312" w:hAnsi="方正仿宋_GB2312" w:eastAsia="方正仿宋_GB2312" w:cs="方正仿宋_GB2312"/>
          <w:b/>
          <w:bCs/>
          <w:sz w:val="24"/>
          <w:szCs w:val="24"/>
        </w:rPr>
      </w:pPr>
      <w:r>
        <w:rPr>
          <w:rFonts w:hint="eastAsia" w:ascii="方正仿宋_GB2312" w:hAnsi="方正仿宋_GB2312" w:eastAsia="方正仿宋_GB2312" w:cs="方正仿宋_GB2312"/>
          <w:b/>
          <w:bCs/>
          <w:sz w:val="24"/>
          <w:szCs w:val="24"/>
        </w:rPr>
        <w:t>1.4 商业愿景：从工具到生态的进化之路</w:t>
      </w:r>
    </w:p>
    <w:p w14:paraId="1F55ADB6">
      <w:pPr>
        <w:pStyle w:val="5"/>
        <w:keepNext w:val="0"/>
        <w:keepLines w:val="0"/>
        <w:widowControl/>
        <w:suppressLineNumbers w:val="0"/>
        <w:ind w:firstLine="480" w:firstLineChars="200"/>
        <w:rPr>
          <w:rFonts w:hint="eastAsia" w:ascii="方正仿宋_GB2312" w:hAnsi="方正仿宋_GB2312" w:eastAsia="方正仿宋_GB2312" w:cs="方正仿宋_GB2312"/>
          <w:b w:val="0"/>
          <w:bCs w:val="0"/>
          <w:sz w:val="24"/>
          <w:szCs w:val="24"/>
        </w:rPr>
      </w:pPr>
      <w:r>
        <w:rPr>
          <w:rFonts w:hint="eastAsia" w:ascii="方正仿宋_GB2312" w:hAnsi="方正仿宋_GB2312" w:eastAsia="方正仿宋_GB2312" w:cs="方正仿宋_GB2312"/>
          <w:b w:val="0"/>
          <w:bCs w:val="0"/>
          <w:sz w:val="24"/>
          <w:szCs w:val="24"/>
        </w:rPr>
        <w:t>我们的愿景远不止于做一款软件，而是要从“辅助工具”进化为法律人的“决策外脑”，最终赋能 30万+ 律师与 3000+ 法院 。</w:t>
      </w:r>
    </w:p>
    <w:p w14:paraId="2004A741">
      <w:pPr>
        <w:keepNext w:val="0"/>
        <w:keepLines w:val="0"/>
        <w:widowControl/>
        <w:suppressLineNumbers w:val="0"/>
        <w:spacing w:before="0" w:beforeAutospacing="1" w:after="0" w:afterAutospacing="1"/>
        <w:ind w:left="0" w:right="0"/>
        <w:jc w:val="left"/>
        <w:rPr>
          <w:rFonts w:hint="eastAsia" w:ascii="方正仿宋_GB2312" w:hAnsi="方正仿宋_GB2312" w:eastAsia="方正仿宋_GB2312" w:cs="方正仿宋_GB2312"/>
          <w:b w:val="0"/>
          <w:bCs w:val="0"/>
          <w:kern w:val="0"/>
          <w:sz w:val="24"/>
          <w:szCs w:val="24"/>
          <w:lang w:val="en-US" w:eastAsia="zh-CN" w:bidi="ar"/>
        </w:rPr>
      </w:pPr>
      <w:r>
        <w:rPr>
          <w:rFonts w:hint="eastAsia" w:ascii="方正仿宋_GB2312" w:hAnsi="方正仿宋_GB2312" w:eastAsia="方正仿宋_GB2312" w:cs="方正仿宋_GB2312"/>
          <w:b w:val="0"/>
          <w:bCs w:val="0"/>
          <w:kern w:val="0"/>
          <w:sz w:val="24"/>
          <w:szCs w:val="24"/>
          <w:lang w:val="en-US" w:eastAsia="zh-CN" w:bidi="ar"/>
        </w:rPr>
        <w:t>1.4.1商业模式的闭环</w:t>
      </w:r>
    </w:p>
    <w:p w14:paraId="715A6BD0">
      <w:pPr>
        <w:keepNext w:val="0"/>
        <w:keepLines w:val="0"/>
        <w:widowControl/>
        <w:suppressLineNumbers w:val="0"/>
        <w:spacing w:before="0" w:beforeAutospacing="1" w:after="0" w:afterAutospacing="1"/>
        <w:ind w:left="0" w:right="0"/>
        <w:jc w:val="left"/>
        <w:rPr>
          <w:rFonts w:hint="eastAsia" w:ascii="方正仿宋_GB2312" w:hAnsi="方正仿宋_GB2312" w:eastAsia="方正仿宋_GB2312" w:cs="方正仿宋_GB2312"/>
          <w:b w:val="0"/>
          <w:bCs w:val="0"/>
          <w:kern w:val="0"/>
          <w:sz w:val="24"/>
          <w:szCs w:val="24"/>
          <w:lang w:val="en-US" w:eastAsia="zh-CN" w:bidi="ar"/>
        </w:rPr>
      </w:pPr>
      <w:r>
        <w:rPr>
          <w:rFonts w:hint="eastAsia" w:ascii="方正仿宋_GB2312" w:hAnsi="方正仿宋_GB2312" w:eastAsia="方正仿宋_GB2312" w:cs="方正仿宋_GB2312"/>
          <w:b w:val="0"/>
          <w:bCs w:val="0"/>
          <w:kern w:val="0"/>
          <w:sz w:val="24"/>
          <w:szCs w:val="24"/>
          <w:lang w:val="en-US" w:eastAsia="zh-CN" w:bidi="ar"/>
        </w:rPr>
        <w:t>（1）To C (普惠)</w:t>
      </w:r>
    </w:p>
    <w:p w14:paraId="1FF71659">
      <w:pPr>
        <w:keepNext w:val="0"/>
        <w:keepLines w:val="0"/>
        <w:widowControl/>
        <w:suppressLineNumbers w:val="0"/>
        <w:spacing w:before="0" w:beforeAutospacing="1" w:after="0" w:afterAutospacing="1"/>
        <w:ind w:left="0" w:leftChars="0" w:right="0" w:firstLine="480" w:firstLineChars="200"/>
        <w:jc w:val="left"/>
        <w:rPr>
          <w:rFonts w:hint="eastAsia" w:ascii="方正仿宋_GB2312" w:hAnsi="方正仿宋_GB2312" w:eastAsia="方正仿宋_GB2312" w:cs="方正仿宋_GB2312"/>
          <w:b w:val="0"/>
          <w:bCs w:val="0"/>
          <w:kern w:val="0"/>
          <w:sz w:val="24"/>
          <w:szCs w:val="24"/>
          <w:lang w:val="en-US" w:eastAsia="zh-CN" w:bidi="ar"/>
        </w:rPr>
      </w:pPr>
      <w:r>
        <w:rPr>
          <w:rFonts w:hint="eastAsia" w:ascii="方正仿宋_GB2312" w:hAnsi="方正仿宋_GB2312" w:eastAsia="方正仿宋_GB2312" w:cs="方正仿宋_GB2312"/>
          <w:b w:val="0"/>
          <w:bCs w:val="0"/>
          <w:kern w:val="0"/>
          <w:sz w:val="24"/>
          <w:szCs w:val="24"/>
          <w:lang w:val="en-US" w:eastAsia="zh-CN" w:bidi="ar"/>
        </w:rPr>
        <w:t>通过 Freemium 模式降低门槛，以 29.9 元的极低价格提供“纳什均衡版”文书，实现法律服务的普惠性。</w:t>
      </w:r>
    </w:p>
    <w:p w14:paraId="30359C0F">
      <w:pPr>
        <w:keepNext w:val="0"/>
        <w:keepLines w:val="0"/>
        <w:widowControl/>
        <w:numPr>
          <w:ilvl w:val="0"/>
          <w:numId w:val="2"/>
        </w:numPr>
        <w:suppressLineNumbers w:val="0"/>
        <w:spacing w:before="0" w:beforeAutospacing="1" w:after="0" w:afterAutospacing="1"/>
        <w:ind w:left="0" w:leftChars="0" w:right="0"/>
        <w:jc w:val="left"/>
        <w:rPr>
          <w:rFonts w:hint="eastAsia" w:ascii="方正仿宋_GB2312" w:hAnsi="方正仿宋_GB2312" w:eastAsia="方正仿宋_GB2312" w:cs="方正仿宋_GB2312"/>
          <w:b w:val="0"/>
          <w:bCs w:val="0"/>
          <w:sz w:val="24"/>
          <w:szCs w:val="24"/>
        </w:rPr>
      </w:pPr>
      <w:r>
        <w:rPr>
          <w:rFonts w:hint="eastAsia" w:ascii="方正仿宋_GB2312" w:hAnsi="方正仿宋_GB2312" w:eastAsia="方正仿宋_GB2312" w:cs="方正仿宋_GB2312"/>
          <w:b w:val="0"/>
          <w:bCs w:val="0"/>
          <w:sz w:val="24"/>
          <w:szCs w:val="24"/>
        </w:rPr>
        <w:t>To B (赋能)</w:t>
      </w:r>
    </w:p>
    <w:p w14:paraId="1F18A582">
      <w:pPr>
        <w:keepNext w:val="0"/>
        <w:keepLines w:val="0"/>
        <w:widowControl/>
        <w:numPr>
          <w:numId w:val="0"/>
        </w:numPr>
        <w:suppressLineNumbers w:val="0"/>
        <w:spacing w:before="0" w:beforeAutospacing="1" w:after="0" w:afterAutospacing="1"/>
        <w:ind w:right="0" w:rightChars="0" w:firstLine="480" w:firstLineChars="200"/>
        <w:jc w:val="left"/>
        <w:rPr>
          <w:rFonts w:hint="eastAsia" w:ascii="方正仿宋_GB2312" w:hAnsi="方正仿宋_GB2312" w:eastAsia="方正仿宋_GB2312" w:cs="方正仿宋_GB2312"/>
          <w:b w:val="0"/>
          <w:bCs w:val="0"/>
          <w:sz w:val="24"/>
          <w:szCs w:val="24"/>
        </w:rPr>
      </w:pPr>
      <w:r>
        <w:rPr>
          <w:rFonts w:hint="eastAsia" w:ascii="方正仿宋_GB2312" w:hAnsi="方正仿宋_GB2312" w:eastAsia="方正仿宋_GB2312" w:cs="方正仿宋_GB2312"/>
          <w:b w:val="0"/>
          <w:bCs w:val="0"/>
          <w:sz w:val="24"/>
          <w:szCs w:val="24"/>
        </w:rPr>
        <w:t>为律所提供 SaaS 订阅与 API 调用，打造“虚拟模拟法庭”，将律师从重复劳动中解放出来，专注于高价值的策略制定 。</w:t>
      </w:r>
    </w:p>
    <w:p w14:paraId="7B2A068D">
      <w:pPr>
        <w:keepNext w:val="0"/>
        <w:keepLines w:val="0"/>
        <w:widowControl/>
        <w:numPr>
          <w:ilvl w:val="0"/>
          <w:numId w:val="2"/>
        </w:numPr>
        <w:suppressLineNumbers w:val="0"/>
        <w:spacing w:before="0" w:beforeAutospacing="1" w:after="0" w:afterAutospacing="1"/>
        <w:ind w:left="0" w:leftChars="0" w:right="0" w:firstLine="0" w:firstLineChars="0"/>
        <w:jc w:val="left"/>
        <w:rPr>
          <w:rFonts w:hint="eastAsia" w:ascii="方正仿宋_GB2312" w:hAnsi="方正仿宋_GB2312" w:eastAsia="方正仿宋_GB2312" w:cs="方正仿宋_GB2312"/>
          <w:b w:val="0"/>
          <w:bCs w:val="0"/>
          <w:sz w:val="24"/>
          <w:szCs w:val="24"/>
        </w:rPr>
      </w:pPr>
      <w:r>
        <w:rPr>
          <w:rFonts w:hint="eastAsia" w:ascii="方正仿宋_GB2312" w:hAnsi="方正仿宋_GB2312" w:eastAsia="方正仿宋_GB2312" w:cs="方正仿宋_GB2312"/>
          <w:b w:val="0"/>
          <w:bCs w:val="0"/>
          <w:sz w:val="24"/>
          <w:szCs w:val="24"/>
        </w:rPr>
        <w:t>To G (提效)</w:t>
      </w:r>
    </w:p>
    <w:p w14:paraId="62ED275D">
      <w:pPr>
        <w:keepNext w:val="0"/>
        <w:keepLines w:val="0"/>
        <w:widowControl/>
        <w:numPr>
          <w:numId w:val="0"/>
        </w:numPr>
        <w:suppressLineNumbers w:val="0"/>
        <w:spacing w:before="0" w:beforeAutospacing="1" w:after="0" w:afterAutospacing="1"/>
        <w:ind w:leftChars="0" w:right="0" w:rightChars="0" w:firstLine="480" w:firstLineChars="200"/>
        <w:jc w:val="left"/>
        <w:rPr>
          <w:rFonts w:hint="eastAsia" w:ascii="方正仿宋_GB2312" w:hAnsi="方正仿宋_GB2312" w:eastAsia="方正仿宋_GB2312" w:cs="方正仿宋_GB2312"/>
          <w:b w:val="0"/>
          <w:bCs w:val="0"/>
          <w:sz w:val="24"/>
          <w:szCs w:val="24"/>
        </w:rPr>
      </w:pPr>
      <w:r>
        <w:rPr>
          <w:rFonts w:hint="eastAsia" w:ascii="方正仿宋_GB2312" w:hAnsi="方正仿宋_GB2312" w:eastAsia="方正仿宋_GB2312" w:cs="方正仿宋_GB2312"/>
          <w:b w:val="0"/>
          <w:bCs w:val="0"/>
          <w:sz w:val="24"/>
          <w:szCs w:val="24"/>
        </w:rPr>
        <w:t>通过政府采购与项目定制，协助法院处理简易程序与数据治理，直接缓解司法压力 。</w:t>
      </w:r>
    </w:p>
    <w:p w14:paraId="3D4E714A">
      <w:pPr>
        <w:keepNext w:val="0"/>
        <w:keepLines w:val="0"/>
        <w:widowControl/>
        <w:suppressLineNumbers w:val="0"/>
        <w:spacing w:before="0" w:beforeAutospacing="1" w:after="0" w:afterAutospacing="1"/>
        <w:ind w:left="0" w:leftChars="0" w:right="0"/>
        <w:jc w:val="left"/>
        <w:rPr>
          <w:rFonts w:hint="eastAsia" w:ascii="方正仿宋_GB2312" w:hAnsi="方正仿宋_GB2312" w:eastAsia="方正仿宋_GB2312" w:cs="方正仿宋_GB2312"/>
          <w:b w:val="0"/>
          <w:bCs w:val="0"/>
          <w:sz w:val="24"/>
          <w:szCs w:val="24"/>
        </w:rPr>
      </w:pPr>
      <w:r>
        <w:rPr>
          <w:rFonts w:hint="eastAsia" w:ascii="方正仿宋_GB2312" w:hAnsi="方正仿宋_GB2312" w:eastAsia="方正仿宋_GB2312" w:cs="方正仿宋_GB2312"/>
          <w:b w:val="0"/>
          <w:bCs w:val="0"/>
          <w:sz w:val="24"/>
          <w:szCs w:val="24"/>
          <w:lang w:val="en-US" w:eastAsia="zh-CN"/>
        </w:rPr>
        <w:t>1.4.2</w:t>
      </w:r>
      <w:r>
        <w:rPr>
          <w:rFonts w:hint="eastAsia" w:ascii="方正仿宋_GB2312" w:hAnsi="方正仿宋_GB2312" w:eastAsia="方正仿宋_GB2312" w:cs="方正仿宋_GB2312"/>
          <w:b w:val="0"/>
          <w:bCs w:val="0"/>
          <w:sz w:val="24"/>
          <w:szCs w:val="24"/>
        </w:rPr>
        <w:t>可持续增长规划</w:t>
      </w:r>
    </w:p>
    <w:p w14:paraId="19E45C81">
      <w:pPr>
        <w:keepNext w:val="0"/>
        <w:keepLines w:val="0"/>
        <w:widowControl/>
        <w:suppressLineNumbers w:val="0"/>
        <w:spacing w:before="0" w:beforeAutospacing="1" w:after="0" w:afterAutospacing="1"/>
        <w:ind w:left="0" w:leftChars="0" w:right="0" w:firstLine="480" w:firstLineChars="200"/>
        <w:jc w:val="left"/>
        <w:rPr>
          <w:rFonts w:hint="eastAsia" w:ascii="方正仿宋_GB2312" w:hAnsi="方正仿宋_GB2312" w:eastAsia="方正仿宋_GB2312" w:cs="方正仿宋_GB2312"/>
          <w:b w:val="0"/>
          <w:bCs w:val="0"/>
          <w:sz w:val="24"/>
          <w:szCs w:val="24"/>
        </w:rPr>
      </w:pPr>
      <w:r>
        <w:rPr>
          <w:rFonts w:hint="eastAsia" w:ascii="方正仿宋_GB2312" w:hAnsi="方正仿宋_GB2312" w:eastAsia="方正仿宋_GB2312" w:cs="方正仿宋_GB2312"/>
          <w:b w:val="0"/>
          <w:bCs w:val="0"/>
          <w:sz w:val="24"/>
          <w:szCs w:val="24"/>
        </w:rPr>
        <w:t>我们制定了清晰的三阶段战略。第一阶段通过高校合作与小程序低成本切入，验证 PMF；第二阶段通过律所合作构建数据护城河，打造“法律 Prompt 集市”；第三阶段推广 LACP 协议与 Justicia 标准，成为法律智能行业的“基础设施服务商” 。</w:t>
      </w:r>
    </w:p>
    <w:p w14:paraId="77DE9D07">
      <w:pPr>
        <w:keepNext w:val="0"/>
        <w:keepLines w:val="0"/>
        <w:widowControl/>
        <w:suppressLineNumbers w:val="0"/>
        <w:spacing w:before="0" w:beforeAutospacing="1" w:after="0" w:afterAutospacing="1"/>
        <w:ind w:left="0" w:leftChars="0" w:right="0"/>
        <w:jc w:val="left"/>
        <w:rPr>
          <w:rFonts w:hint="eastAsia" w:ascii="方正仿宋_GB2312" w:hAnsi="方正仿宋_GB2312" w:eastAsia="方正仿宋_GB2312" w:cs="方正仿宋_GB2312"/>
          <w:b w:val="0"/>
          <w:bCs w:val="0"/>
          <w:sz w:val="24"/>
          <w:szCs w:val="24"/>
        </w:rPr>
      </w:pPr>
      <w:r>
        <w:rPr>
          <w:rFonts w:hint="eastAsia" w:ascii="方正仿宋_GB2312" w:hAnsi="方正仿宋_GB2312" w:eastAsia="方正仿宋_GB2312" w:cs="方正仿宋_GB2312"/>
          <w:b w:val="0"/>
          <w:bCs w:val="0"/>
          <w:sz w:val="24"/>
          <w:szCs w:val="24"/>
          <w:lang w:val="en-US" w:eastAsia="zh-CN"/>
        </w:rPr>
        <w:t>1.4.3</w:t>
      </w:r>
      <w:r>
        <w:rPr>
          <w:rFonts w:hint="eastAsia" w:ascii="方正仿宋_GB2312" w:hAnsi="方正仿宋_GB2312" w:eastAsia="方正仿宋_GB2312" w:cs="方正仿宋_GB2312"/>
          <w:b w:val="0"/>
          <w:bCs w:val="0"/>
          <w:sz w:val="24"/>
          <w:szCs w:val="24"/>
        </w:rPr>
        <w:t>财务前景</w:t>
      </w:r>
    </w:p>
    <w:p w14:paraId="623CC935">
      <w:pPr>
        <w:keepNext w:val="0"/>
        <w:keepLines w:val="0"/>
        <w:widowControl/>
        <w:suppressLineNumbers w:val="0"/>
        <w:spacing w:before="0" w:beforeAutospacing="1" w:after="0" w:afterAutospacing="1"/>
        <w:ind w:left="0" w:leftChars="0" w:right="0" w:firstLine="480" w:firstLineChars="200"/>
        <w:jc w:val="left"/>
        <w:rPr>
          <w:rFonts w:hint="eastAsia" w:ascii="方正仿宋_GB2312" w:hAnsi="方正仿宋_GB2312" w:eastAsia="方正仿宋_GB2312" w:cs="方正仿宋_GB2312"/>
          <w:b w:val="0"/>
          <w:bCs w:val="0"/>
          <w:sz w:val="24"/>
          <w:szCs w:val="24"/>
        </w:rPr>
      </w:pPr>
      <w:r>
        <w:rPr>
          <w:rFonts w:hint="eastAsia" w:ascii="方正仿宋_GB2312" w:hAnsi="方正仿宋_GB2312" w:eastAsia="方正仿宋_GB2312" w:cs="方正仿宋_GB2312"/>
          <w:b w:val="0"/>
          <w:bCs w:val="0"/>
          <w:sz w:val="24"/>
          <w:szCs w:val="24"/>
        </w:rPr>
        <w:t>项目计划融资 5000 万元用于算力与研发。财务模型显示，项目将在第 3 年实现盈亏平衡，第 5 年预计净利率达 57%，投资回报率（IRR）高达 42.5%，具有极强的投资价值与独角兽潜力 。</w:t>
      </w:r>
    </w:p>
    <w:p w14:paraId="35F1F101">
      <w:pPr>
        <w:keepNext w:val="0"/>
        <w:keepLines w:val="0"/>
        <w:widowControl/>
        <w:suppressLineNumbers w:val="0"/>
        <w:spacing w:before="0" w:beforeAutospacing="1" w:after="0" w:afterAutospacing="1"/>
        <w:ind w:right="0"/>
        <w:jc w:val="left"/>
        <w:rPr>
          <w:rFonts w:hint="eastAsia" w:ascii="方正仿宋_GB2312" w:hAnsi="方正仿宋_GB2312" w:eastAsia="方正仿宋_GB2312" w:cs="方正仿宋_GB2312"/>
          <w:b w:val="0"/>
          <w:bCs w:val="0"/>
          <w:sz w:val="24"/>
          <w:szCs w:val="24"/>
          <w:lang w:val="en-US" w:eastAsia="zh-CN"/>
        </w:rPr>
      </w:pPr>
      <w:r>
        <w:rPr>
          <w:rFonts w:hint="eastAsia" w:ascii="方正仿宋_GB2312" w:hAnsi="方正仿宋_GB2312" w:eastAsia="方正仿宋_GB2312" w:cs="方正仿宋_GB2312"/>
          <w:b w:val="0"/>
          <w:bCs w:val="0"/>
          <w:sz w:val="24"/>
          <w:szCs w:val="24"/>
          <w:lang w:val="en-US" w:eastAsia="zh-CN"/>
        </w:rPr>
        <w:t>1.4.4小结</w:t>
      </w:r>
    </w:p>
    <w:p w14:paraId="68008DCA">
      <w:pPr>
        <w:pStyle w:val="5"/>
        <w:keepNext w:val="0"/>
        <w:keepLines w:val="0"/>
        <w:widowControl/>
        <w:suppressLineNumbers w:val="0"/>
        <w:ind w:firstLine="480" w:firstLineChars="200"/>
        <w:rPr>
          <w:rFonts w:hint="eastAsia" w:ascii="方正仿宋_GB2312" w:hAnsi="方正仿宋_GB2312" w:eastAsia="方正仿宋_GB2312" w:cs="方正仿宋_GB2312"/>
        </w:rPr>
      </w:pPr>
      <w:r>
        <w:rPr>
          <w:rFonts w:hint="eastAsia" w:ascii="方正仿宋_GB2312" w:hAnsi="方正仿宋_GB2312" w:eastAsia="方正仿宋_GB2312" w:cs="方正仿宋_GB2312"/>
        </w:rPr>
        <w:t>“元弈言枢”矢志以</w:t>
      </w:r>
      <w:r>
        <w:rPr>
          <w:rFonts w:hint="eastAsia" w:ascii="方正仿宋_GB2312" w:hAnsi="方正仿宋_GB2312" w:eastAsia="方正仿宋_GB2312" w:cs="方正仿宋_GB2312"/>
          <w:lang w:val="en-US" w:eastAsia="zh-CN"/>
        </w:rPr>
        <w:t>技术</w:t>
      </w:r>
      <w:r>
        <w:rPr>
          <w:rFonts w:hint="eastAsia" w:ascii="方正仿宋_GB2312" w:hAnsi="方正仿宋_GB2312" w:eastAsia="方正仿宋_GB2312" w:cs="方正仿宋_GB2312"/>
        </w:rPr>
        <w:t>重构法律服务的边界，利用人工智能打破传统司法的高门槛与信息壁垒，让法律服务从少数人的特权转化为普惠大众的基础设施 。在通过技术创新实现显著商业价值的同时 ，我们更坚守技术向善的初心，致力于捍卫每一个个体的合法权益，让正义不再缺席 。最终，我们将以智能化的力量，为法治社会的数字化进程注入强劲动力，构建更加公平、高效的未来司法生态 。</w:t>
      </w:r>
    </w:p>
    <w:p w14:paraId="15C78AEE">
      <w:pPr>
        <w:keepNext w:val="0"/>
        <w:keepLines w:val="0"/>
        <w:widowControl/>
        <w:suppressLineNumbers w:val="0"/>
        <w:spacing w:before="0" w:beforeAutospacing="1" w:after="0" w:afterAutospacing="1"/>
        <w:ind w:right="0"/>
        <w:jc w:val="left"/>
        <w:rPr>
          <w:rFonts w:hint="default" w:ascii="方正仿宋_GB2312" w:hAnsi="方正仿宋_GB2312" w:eastAsia="方正仿宋_GB2312" w:cs="方正仿宋_GB2312"/>
          <w:b w:val="0"/>
          <w:bCs w:val="0"/>
          <w:sz w:val="24"/>
          <w:szCs w:val="24"/>
          <w:lang w:val="en-US" w:eastAsia="zh-CN"/>
        </w:rPr>
      </w:pPr>
    </w:p>
    <w:p w14:paraId="2AA93FE4">
      <w:pPr>
        <w:numPr>
          <w:numId w:val="0"/>
        </w:numPr>
        <w:rPr>
          <w:rFonts w:ascii="Google Sans Text" w:hAnsi="Google Sans Text" w:eastAsia="Google Sans Text" w:cs="Google Sans Text"/>
          <w:b/>
          <w:bCs/>
          <w:i w:val="0"/>
          <w:iCs w:val="0"/>
          <w:sz w:val="36"/>
          <w:szCs w:val="36"/>
          <w:rtl w:val="0"/>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Google Sans Text">
    <w:altName w:val="Segoe Print"/>
    <w:panose1 w:val="00000000000000000000"/>
    <w:charset w:val="00"/>
    <w:family w:val="auto"/>
    <w:pitch w:val="default"/>
    <w:sig w:usb0="00000000" w:usb1="00000000" w:usb2="00000000" w:usb3="00000000" w:csb0="00000000" w:csb1="00000000"/>
    <w:embedRegular r:id="rId1" w:fontKey="{06C1A306-583D-4D5D-8596-ACBDEFD40E99}"/>
  </w:font>
  <w:font w:name="Segoe Print">
    <w:panose1 w:val="02000600000000000000"/>
    <w:charset w:val="00"/>
    <w:family w:val="auto"/>
    <w:pitch w:val="default"/>
    <w:sig w:usb0="0000028F" w:usb1="00000000" w:usb2="00000000" w:usb3="00000000" w:csb0="2000009F" w:csb1="4701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sans-serif">
    <w:altName w:val="Segoe Print"/>
    <w:panose1 w:val="00000000000000000000"/>
    <w:charset w:val="00"/>
    <w:family w:val="auto"/>
    <w:pitch w:val="default"/>
    <w:sig w:usb0="00000000" w:usb1="00000000" w:usb2="00000000" w:usb3="00000000" w:csb0="00000000" w:csb1="00000000"/>
  </w:font>
  <w:font w:name="方正楷体_GB2312">
    <w:panose1 w:val="02000000000000000000"/>
    <w:charset w:val="86"/>
    <w:family w:val="auto"/>
    <w:pitch w:val="default"/>
    <w:sig w:usb0="A00002BF" w:usb1="184F6CFA" w:usb2="00000012" w:usb3="00000000" w:csb0="00040001" w:csb1="00000000"/>
  </w:font>
  <w:font w:name="华文仿宋">
    <w:panose1 w:val="02010600040101010101"/>
    <w:charset w:val="86"/>
    <w:family w:val="auto"/>
    <w:pitch w:val="default"/>
    <w:sig w:usb0="00000287" w:usb1="080F0000" w:usb2="00000000" w:usb3="00000000" w:csb0="0004009F" w:csb1="DFD70000"/>
  </w:font>
  <w:font w:name="方正仿宋_GB2312">
    <w:panose1 w:val="02000000000000000000"/>
    <w:charset w:val="86"/>
    <w:family w:val="auto"/>
    <w:pitch w:val="default"/>
    <w:sig w:usb0="A00002BF" w:usb1="184F6CFA" w:usb2="00000012" w:usb3="00000000" w:csb0="00040001" w:csb1="00000000"/>
    <w:embedRegular r:id="rId2" w:fontKey="{567EF736-96E6-4AD2-A624-5B6CB5145BA7}"/>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B02D533"/>
    <w:multiLevelType w:val="singleLevel"/>
    <w:tmpl w:val="1B02D533"/>
    <w:lvl w:ilvl="0" w:tentative="0">
      <w:start w:val="2"/>
      <w:numFmt w:val="decimal"/>
      <w:suff w:val="nothing"/>
      <w:lvlText w:val="（%1）"/>
      <w:lvlJc w:val="left"/>
    </w:lvl>
  </w:abstractNum>
  <w:abstractNum w:abstractNumId="1">
    <w:nsid w:val="29C53C8A"/>
    <w:multiLevelType w:val="singleLevel"/>
    <w:tmpl w:val="29C53C8A"/>
    <w:lvl w:ilvl="0" w:tentative="0">
      <w:start w:val="2"/>
      <w:numFmt w:val="decimal"/>
      <w:suff w:val="nothing"/>
      <w:lvlText w:val="（%1）"/>
      <w:lvlJc w:val="left"/>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50377B3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3">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4">
    <w:name w:val="heading 4"/>
    <w:basedOn w:val="1"/>
    <w:next w:val="1"/>
    <w:semiHidden/>
    <w:unhideWhenUsed/>
    <w:qFormat/>
    <w:uiPriority w:val="0"/>
    <w:pPr>
      <w:keepNext/>
      <w:keepLines/>
      <w:spacing w:before="280" w:beforeLines="0" w:beforeAutospacing="0" w:after="290" w:afterLines="0" w:afterAutospacing="0" w:line="372" w:lineRule="auto"/>
      <w:outlineLvl w:val="3"/>
    </w:pPr>
    <w:rPr>
      <w:rFonts w:ascii="Arial" w:hAnsi="Arial" w:eastAsia="黑体"/>
      <w:b/>
      <w:sz w:val="28"/>
    </w:rPr>
  </w:style>
  <w:style w:type="character" w:default="1" w:styleId="7">
    <w:name w:val="Default Paragraph Font"/>
    <w:semiHidden/>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5">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16</TotalTime>
  <ScaleCrop>false</ScaleCrop>
  <LinksUpToDate>false</LinksUpToDate>
  <CharactersWithSpaces>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2026-01-11T14:07:57Z</dcterms:created>
  <dc:creator>hyhyz</dc:creator>
  <cp:lastModifiedBy>张瀚元</cp:lastModifiedBy>
  <dcterms:modified xsi:type="dcterms:W3CDTF">2026-01-11T14:24:47Z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TemplateDocerSaveRecord">
    <vt:lpwstr>eyJoZGlkIjoiYmVjYzMwZDk0MWI2Y2Q2MmI5YWJhOTA1ZjRjODIyOTIiLCJ1c2VySWQiOiIxNjkxOTYxNzQ2In0=</vt:lpwstr>
  </property>
  <property fmtid="{D5CDD505-2E9C-101B-9397-08002B2CF9AE}" pid="4" name="ICV">
    <vt:lpwstr>986E9EEA84A14718983DDE8795AF946D_12</vt:lpwstr>
  </property>
</Properties>
</file>