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42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60" w:lineRule="exact"/>
        <w:ind w:right="-57"/>
        <w:jc w:val="center"/>
        <w:textAlignment w:val="baseline"/>
        <w:outlineLvl w:val="0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t>北京市自然科学基金本科生“启研”计划</w:t>
      </w:r>
    </w:p>
    <w:p w14:paraId="60F099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60" w:lineRule="exact"/>
        <w:ind w:right="-57"/>
        <w:jc w:val="center"/>
        <w:textAlignment w:val="baseline"/>
        <w:outlineLvl w:val="0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t>依托单位推荐意见</w:t>
      </w:r>
    </w:p>
    <w:tbl>
      <w:tblPr>
        <w:tblStyle w:val="3"/>
        <w:tblpPr w:leftFromText="180" w:rightFromText="180" w:vertAnchor="text" w:horzAnchor="page" w:tblpXSpec="center" w:tblpY="195"/>
        <w:tblOverlap w:val="never"/>
        <w:tblW w:w="92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406"/>
      </w:tblGrid>
      <w:tr w14:paraId="7DB6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838" w:type="dxa"/>
            <w:noWrap w:val="0"/>
            <w:vAlign w:val="center"/>
          </w:tcPr>
          <w:p w14:paraId="0612D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  <w:t>推荐内容</w:t>
            </w:r>
          </w:p>
        </w:tc>
        <w:tc>
          <w:tcPr>
            <w:tcW w:w="7406" w:type="dxa"/>
            <w:noWrap w:val="0"/>
            <w:vAlign w:val="center"/>
          </w:tcPr>
          <w:p w14:paraId="7CD2D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  <w:t>情况说明及意见</w:t>
            </w:r>
          </w:p>
        </w:tc>
      </w:tr>
      <w:tr w14:paraId="0DE7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8" w:hRule="atLeast"/>
          <w:jc w:val="center"/>
        </w:trPr>
        <w:tc>
          <w:tcPr>
            <w:tcW w:w="1838" w:type="dxa"/>
            <w:noWrap w:val="0"/>
            <w:vAlign w:val="center"/>
          </w:tcPr>
          <w:p w14:paraId="5F005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  <w:t>推荐理由</w:t>
            </w:r>
          </w:p>
          <w:p w14:paraId="3A29C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24"/>
                <w:szCs w:val="24"/>
              </w:rPr>
              <w:t>（500字以内）</w:t>
            </w:r>
          </w:p>
        </w:tc>
        <w:tc>
          <w:tcPr>
            <w:tcW w:w="7406" w:type="dxa"/>
            <w:noWrap w:val="0"/>
            <w:vAlign w:val="top"/>
          </w:tcPr>
          <w:p w14:paraId="42670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该项目结合了博弈论与法律实践的跨学科交叉，旨在通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过扩展式博弈（SPNE）模型，验证其在民事诉讼中的应用，特别是在预测原告与被告策略选择及案件结果方面的优势。此研究不仅在博弈论领域具有创新性，也为法律智能化提供了新的探索路径。</w:t>
            </w:r>
          </w:p>
          <w:p w14:paraId="3E08D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目前，法律领域对博弈论的应用尚处于初步探索阶段，尤其是在模拟法庭环境中引入多智能体博弈模型，能够更精确地反映诉讼中的动态决策过程。相比传统的静态纳什均衡（NE），SPNE能够更加真实地模拟原告与被告在诉讼过程中的互动，具有较强的实际应用潜力。该项目不仅有助于推动博弈论在法律领域的进一步应用，还能够为民事诉讼中的策略预测、裁判决策优化提供理论支持，具有较高的学术价值和社会价值。</w:t>
            </w:r>
          </w:p>
          <w:p w14:paraId="4C7EE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此外，项目已经完成开发的仿真系统，利用已有数据集进行实验验证，能够为法学教育提供互动式学习平台，帮助学生理解博弈论与法律决策的结合，推动法学教育的智能化改革。这一创新性应用具有法律领域的稀缺性，填补了当前模拟法庭教学与理论研究之间的空白。</w:t>
            </w:r>
          </w:p>
          <w:p w14:paraId="4DE1A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综上所述，本课题在博弈论与法律的跨学科应用、多智能体系统的创新设计及对法律领域的稀缺性贡献方面，具有重要的学术价值与社会应用前景。建议给予项目充分支持。</w:t>
            </w:r>
          </w:p>
        </w:tc>
      </w:tr>
      <w:tr w14:paraId="534D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  <w:jc w:val="center"/>
        </w:trPr>
        <w:tc>
          <w:tcPr>
            <w:tcW w:w="1838" w:type="dxa"/>
            <w:noWrap w:val="0"/>
            <w:vAlign w:val="center"/>
          </w:tcPr>
          <w:p w14:paraId="0C925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  <w:t>依托单位支持保障条件</w:t>
            </w:r>
          </w:p>
          <w:p w14:paraId="0B752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napToGrid/>
                <w:kern w:val="2"/>
                <w:sz w:val="24"/>
                <w:szCs w:val="24"/>
              </w:rPr>
              <w:t>（200字以内）</w:t>
            </w:r>
          </w:p>
        </w:tc>
        <w:tc>
          <w:tcPr>
            <w:tcW w:w="7406" w:type="dxa"/>
            <w:noWrap w:val="0"/>
            <w:vAlign w:val="top"/>
          </w:tcPr>
          <w:p w14:paraId="36B4E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afterAutospacing="1" w:line="56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napToGrid/>
                <w:kern w:val="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  <w:lang w:val="en-US" w:eastAsia="zh-CN"/>
              </w:rPr>
              <w:t>依托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napToGrid/>
                <w:kern w:val="2"/>
                <w:sz w:val="32"/>
                <w:szCs w:val="32"/>
              </w:rPr>
              <w:t>单位将为项目提供完备支持。硬件方面，开放高性能计算集群及专用服务器资源，保障多智能体博弈建模的大规模算力需求；软件方面，提供法律科技数据库、模拟法庭实务数据接口及相关领域知识库授权。同时，配备交叉学科导师组（涵盖人工智能、法学及博弈论方向）进行全程学术指导，并给予专项资金配套，优先保障学生科研时间与实验场地，确保项目高质量推进。</w:t>
            </w:r>
          </w:p>
        </w:tc>
      </w:tr>
    </w:tbl>
    <w:p w14:paraId="015861A7">
      <w:pPr>
        <w:widowControl w:val="0"/>
        <w:jc w:val="both"/>
        <w:rPr>
          <w:rFonts w:eastAsia="宋体"/>
          <w:sz w:val="32"/>
          <w:szCs w:val="32"/>
        </w:rPr>
      </w:pPr>
    </w:p>
    <w:p w14:paraId="0E469433">
      <w:pPr>
        <w:widowControl w:val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8172517">
      <w:pPr>
        <w:widowControl w:val="0"/>
        <w:wordWrap w:val="0"/>
        <w:jc w:val="righ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单位（公章）：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</w:t>
      </w:r>
    </w:p>
    <w:p w14:paraId="010A4926">
      <w:pPr>
        <w:widowControl w:val="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日期：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iOWFjOTU4MmRjNDU1ZWU4OWM4NDI1YjQzZjYwZDcifQ=="/>
  </w:docVars>
  <w:rsids>
    <w:rsidRoot w:val="6FFF77BD"/>
    <w:rsid w:val="10395188"/>
    <w:rsid w:val="1AA00AF0"/>
    <w:rsid w:val="29C2732F"/>
    <w:rsid w:val="371A1197"/>
    <w:rsid w:val="483B7FBA"/>
    <w:rsid w:val="53971DA4"/>
    <w:rsid w:val="6F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717</Words>
  <Characters>724</Characters>
  <Lines>0</Lines>
  <Paragraphs>0</Paragraphs>
  <TotalTime>12</TotalTime>
  <ScaleCrop>false</ScaleCrop>
  <LinksUpToDate>false</LinksUpToDate>
  <CharactersWithSpaces>748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2023-09-12T14:01:00Z</dcterms:created>
  <dc:creator>BJNSF</dc:creator>
  <cp:lastModifiedBy>张瀚元</cp:lastModifiedBy>
  <dcterms:modified xsi:type="dcterms:W3CDTF">2026-04-17T03:20:52Z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5F4BA4B157E14C53AF5C22AD2EEED4E0_13</vt:lpwstr>
  </property>
  <property fmtid="{D5CDD505-2E9C-101B-9397-08002B2CF9AE}" pid="4" name="KSOTemplateDocerSaveRecord">
    <vt:lpwstr>eyJoZGlkIjoiYmVjYzMwZDk0MWI2Y2Q2MmI5YWJhOTA1ZjRjODIyOTIiLCJ1c2VySWQiOiIxNjkxOTYxNzQ2In0=</vt:lpwstr>
  </property>
</Properties>
</file>