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9345" w:type="dxa"/>
        <w:tblInd w:w="28" w:type="dxa"/>
        <w:tblLayout w:type="fixed"/>
        <w:tblCellMar>
          <w:top w:w="0" w:type="dxa"/>
          <w:left w:w="28" w:type="dxa"/>
          <w:bottom w:w="0" w:type="dxa"/>
          <w:right w:w="28" w:type="dxa"/>
        </w:tblCellMar>
      </w:tblPr>
      <w:tblGrid>
        <w:gridCol w:w="2100"/>
        <w:gridCol w:w="1728"/>
        <w:gridCol w:w="1701"/>
        <w:gridCol w:w="1191"/>
        <w:gridCol w:w="1365"/>
        <w:gridCol w:w="1260"/>
      </w:tblGrid>
      <w:tr w14:paraId="708D7DB2">
        <w:tblPrEx>
          <w:tblCellMar>
            <w:top w:w="0" w:type="dxa"/>
            <w:left w:w="28" w:type="dxa"/>
            <w:bottom w:w="0" w:type="dxa"/>
            <w:right w:w="28" w:type="dxa"/>
          </w:tblCellMar>
        </w:tblPrEx>
        <w:trPr>
          <w:tblHeader/>
        </w:trPr>
        <w:tc>
          <w:tcPr>
            <w:tcW w:w="2100" w:type="dxa"/>
            <w:tcBorders>
              <w:top w:val="single" w:color="auto" w:sz="6" w:space="0"/>
              <w:left w:val="single" w:color="auto" w:sz="6" w:space="0"/>
              <w:bottom w:val="single" w:color="auto" w:sz="6" w:space="0"/>
              <w:right w:val="single" w:color="auto" w:sz="6" w:space="0"/>
            </w:tcBorders>
            <w:vAlign w:val="center"/>
          </w:tcPr>
          <w:p w14:paraId="0284E7D9">
            <w:pPr>
              <w:wordWrap w:val="0"/>
              <w:jc w:val="center"/>
            </w:pPr>
            <w:r>
              <w:t>报审学科组</w:t>
            </w:r>
          </w:p>
        </w:tc>
        <w:tc>
          <w:tcPr>
            <w:tcW w:w="1728" w:type="dxa"/>
            <w:tcBorders>
              <w:top w:val="single" w:color="auto" w:sz="6" w:space="0"/>
              <w:left w:val="single" w:color="auto" w:sz="6" w:space="0"/>
              <w:bottom w:val="single" w:color="auto" w:sz="6" w:space="0"/>
              <w:right w:val="single" w:color="auto" w:sz="4" w:space="0"/>
            </w:tcBorders>
            <w:vAlign w:val="center"/>
          </w:tcPr>
          <w:p w14:paraId="3FBF1572">
            <w:pPr>
              <w:wordWrap w:val="0"/>
              <w:ind w:firstLine="105" w:firstLineChars="50"/>
              <w:jc w:val="center"/>
            </w:pPr>
            <w:r>
              <w:rPr>
                <w:rFonts w:hint="eastAsia"/>
              </w:rPr>
              <w:t>报审亚学科组</w:t>
            </w:r>
          </w:p>
        </w:tc>
        <w:tc>
          <w:tcPr>
            <w:tcW w:w="1701" w:type="dxa"/>
            <w:tcBorders>
              <w:top w:val="nil"/>
              <w:left w:val="single" w:color="auto" w:sz="4" w:space="0"/>
              <w:bottom w:val="nil"/>
              <w:right w:val="nil"/>
            </w:tcBorders>
            <w:vAlign w:val="center"/>
          </w:tcPr>
          <w:p w14:paraId="20A6974D">
            <w:pPr>
              <w:wordWrap w:val="0"/>
              <w:ind w:left="199" w:hanging="199" w:hangingChars="95"/>
              <w:jc w:val="center"/>
            </w:pPr>
          </w:p>
        </w:tc>
        <w:tc>
          <w:tcPr>
            <w:tcW w:w="1191" w:type="dxa"/>
            <w:tcBorders>
              <w:left w:val="nil"/>
            </w:tcBorders>
            <w:vAlign w:val="center"/>
          </w:tcPr>
          <w:p w14:paraId="32072A22">
            <w:pPr>
              <w:wordWrap w:val="0"/>
              <w:jc w:val="center"/>
            </w:pPr>
          </w:p>
        </w:tc>
        <w:tc>
          <w:tcPr>
            <w:tcW w:w="1365" w:type="dxa"/>
            <w:tcBorders>
              <w:top w:val="single" w:color="auto" w:sz="6" w:space="0"/>
              <w:left w:val="single" w:color="auto" w:sz="6" w:space="0"/>
              <w:bottom w:val="single" w:color="auto" w:sz="6" w:space="0"/>
              <w:right w:val="single" w:color="auto" w:sz="6" w:space="0"/>
            </w:tcBorders>
            <w:vAlign w:val="center"/>
          </w:tcPr>
          <w:p w14:paraId="57E826ED">
            <w:pPr>
              <w:wordWrap w:val="0"/>
              <w:jc w:val="center"/>
            </w:pPr>
            <w:r>
              <w:t>申报编号</w:t>
            </w:r>
          </w:p>
        </w:tc>
        <w:tc>
          <w:tcPr>
            <w:tcW w:w="1260" w:type="dxa"/>
            <w:tcBorders>
              <w:top w:val="single" w:color="auto" w:sz="6" w:space="0"/>
              <w:left w:val="single" w:color="auto" w:sz="6" w:space="0"/>
              <w:bottom w:val="single" w:color="auto" w:sz="6" w:space="0"/>
              <w:right w:val="single" w:color="auto" w:sz="6" w:space="0"/>
            </w:tcBorders>
            <w:vAlign w:val="center"/>
          </w:tcPr>
          <w:p w14:paraId="002A445E">
            <w:pPr>
              <w:wordWrap w:val="0"/>
              <w:jc w:val="center"/>
            </w:pPr>
            <w:r>
              <w:t>资助编号</w:t>
            </w:r>
          </w:p>
        </w:tc>
      </w:tr>
      <w:tr w14:paraId="196520F9">
        <w:tblPrEx>
          <w:tblCellMar>
            <w:top w:w="0" w:type="dxa"/>
            <w:left w:w="28" w:type="dxa"/>
            <w:bottom w:w="0" w:type="dxa"/>
            <w:right w:w="28" w:type="dxa"/>
          </w:tblCellMar>
        </w:tblPrEx>
        <w:tc>
          <w:tcPr>
            <w:tcW w:w="2100" w:type="dxa"/>
            <w:tcBorders>
              <w:top w:val="single" w:color="auto" w:sz="6" w:space="0"/>
              <w:left w:val="single" w:color="auto" w:sz="6" w:space="0"/>
              <w:bottom w:val="single" w:color="auto" w:sz="6" w:space="0"/>
              <w:right w:val="single" w:color="auto" w:sz="6" w:space="0"/>
            </w:tcBorders>
            <w:vAlign w:val="center"/>
          </w:tcPr>
          <w:p w14:paraId="7F1C14AA">
            <w:pPr>
              <w:wordWrap w:val="0"/>
              <w:jc w:val="center"/>
            </w:pPr>
            <w:r>
              <w:rPr>
                <w:rFonts w:hint="eastAsia"/>
              </w:rPr>
              <w:t>信息科学</w:t>
            </w:r>
          </w:p>
        </w:tc>
        <w:tc>
          <w:tcPr>
            <w:tcW w:w="1728" w:type="dxa"/>
            <w:tcBorders>
              <w:top w:val="single" w:color="auto" w:sz="6" w:space="0"/>
              <w:left w:val="single" w:color="auto" w:sz="6" w:space="0"/>
              <w:bottom w:val="single" w:color="auto" w:sz="6" w:space="0"/>
              <w:right w:val="single" w:color="auto" w:sz="4" w:space="0"/>
            </w:tcBorders>
            <w:vAlign w:val="center"/>
          </w:tcPr>
          <w:p w14:paraId="7351C7D9">
            <w:pPr>
              <w:wordWrap w:val="0"/>
              <w:jc w:val="center"/>
            </w:pPr>
            <w:r>
              <w:rPr>
                <w:rFonts w:hint="eastAsia"/>
              </w:rPr>
              <w:t>人工智能</w:t>
            </w:r>
          </w:p>
        </w:tc>
        <w:tc>
          <w:tcPr>
            <w:tcW w:w="1701" w:type="dxa"/>
            <w:tcBorders>
              <w:top w:val="nil"/>
              <w:left w:val="single" w:color="auto" w:sz="4" w:space="0"/>
              <w:bottom w:val="nil"/>
              <w:right w:val="nil"/>
            </w:tcBorders>
            <w:vAlign w:val="center"/>
          </w:tcPr>
          <w:p w14:paraId="236CC70C">
            <w:pPr>
              <w:wordWrap w:val="0"/>
              <w:jc w:val="center"/>
            </w:pPr>
          </w:p>
        </w:tc>
        <w:tc>
          <w:tcPr>
            <w:tcW w:w="1191" w:type="dxa"/>
            <w:tcBorders>
              <w:left w:val="nil"/>
            </w:tcBorders>
            <w:vAlign w:val="center"/>
          </w:tcPr>
          <w:p w14:paraId="1F1CCA8A">
            <w:pPr>
              <w:wordWrap w:val="0"/>
              <w:jc w:val="center"/>
            </w:pPr>
          </w:p>
        </w:tc>
        <w:tc>
          <w:tcPr>
            <w:tcW w:w="1365" w:type="dxa"/>
            <w:tcBorders>
              <w:top w:val="single" w:color="auto" w:sz="6" w:space="0"/>
              <w:left w:val="single" w:color="auto" w:sz="6" w:space="0"/>
              <w:bottom w:val="single" w:color="auto" w:sz="6" w:space="0"/>
              <w:right w:val="single" w:color="auto" w:sz="6" w:space="0"/>
            </w:tcBorders>
            <w:vAlign w:val="center"/>
          </w:tcPr>
          <w:p w14:paraId="2E92C5EF">
            <w:pPr>
              <w:wordWrap w:val="0"/>
              <w:jc w:val="center"/>
            </w:pPr>
            <w:r>
              <w:rPr>
                <w:rFonts w:hint="eastAsia"/>
                <w:color w:val="FF0000"/>
              </w:rPr>
              <w:t>（无需填写）</w:t>
            </w:r>
          </w:p>
        </w:tc>
        <w:tc>
          <w:tcPr>
            <w:tcW w:w="1260" w:type="dxa"/>
            <w:tcBorders>
              <w:top w:val="single" w:color="auto" w:sz="6" w:space="0"/>
              <w:left w:val="single" w:color="auto" w:sz="6" w:space="0"/>
              <w:bottom w:val="single" w:color="auto" w:sz="6" w:space="0"/>
              <w:right w:val="single" w:color="auto" w:sz="6" w:space="0"/>
            </w:tcBorders>
            <w:vAlign w:val="center"/>
          </w:tcPr>
          <w:p w14:paraId="4FC02555">
            <w:pPr>
              <w:wordWrap w:val="0"/>
              <w:jc w:val="center"/>
            </w:pPr>
            <w:r>
              <w:rPr>
                <w:rFonts w:hint="eastAsia"/>
                <w:color w:val="FF0000"/>
              </w:rPr>
              <w:t>（无需填写）</w:t>
            </w:r>
          </w:p>
        </w:tc>
      </w:tr>
    </w:tbl>
    <w:p w14:paraId="57AEA3EF">
      <w:pPr>
        <w:jc w:val="right"/>
      </w:pPr>
    </w:p>
    <w:p w14:paraId="61D3D97F">
      <w:pPr>
        <w:wordWrap w:val="0"/>
      </w:pPr>
    </w:p>
    <w:p w14:paraId="174BB687">
      <w:pPr>
        <w:wordWrap w:val="0"/>
        <w:jc w:val="center"/>
        <w:rPr>
          <w:rFonts w:eastAsia="黑体"/>
          <w:b/>
          <w:sz w:val="48"/>
        </w:rPr>
      </w:pPr>
      <w:r>
        <w:rPr>
          <w:rFonts w:eastAsia="黑体"/>
          <w:b/>
          <w:spacing w:val="-20"/>
          <w:sz w:val="48"/>
        </w:rPr>
        <w:t>北京市自然科学基金</w:t>
      </w:r>
      <w:r>
        <w:rPr>
          <w:rFonts w:eastAsia="黑体"/>
          <w:b/>
          <w:sz w:val="48"/>
        </w:rPr>
        <w:t>申请书</w:t>
      </w:r>
    </w:p>
    <w:p w14:paraId="4EA62744">
      <w:pPr>
        <w:wordWrap w:val="0"/>
        <w:jc w:val="center"/>
        <w:rPr>
          <w:rFonts w:eastAsia="黑体"/>
          <w:b/>
          <w:spacing w:val="-20"/>
          <w:sz w:val="48"/>
        </w:rPr>
      </w:pPr>
      <w:r>
        <w:rPr>
          <w:rFonts w:hint="eastAsia" w:eastAsia="黑体"/>
          <w:b/>
          <w:spacing w:val="-20"/>
          <w:sz w:val="48"/>
        </w:rPr>
        <w:t>（本科生“启研”计划）</w:t>
      </w:r>
    </w:p>
    <w:p w14:paraId="573D4DD1">
      <w:pPr>
        <w:wordWrap w:val="0"/>
      </w:pPr>
    </w:p>
    <w:p w14:paraId="65DF3D44">
      <w:pPr>
        <w:wordWrap w:val="0"/>
      </w:pPr>
    </w:p>
    <w:tbl>
      <w:tblPr>
        <w:tblStyle w:val="13"/>
        <w:tblW w:w="9356" w:type="dxa"/>
        <w:tblInd w:w="108" w:type="dxa"/>
        <w:tblLayout w:type="fixed"/>
        <w:tblCellMar>
          <w:top w:w="0" w:type="dxa"/>
          <w:left w:w="108" w:type="dxa"/>
          <w:bottom w:w="0" w:type="dxa"/>
          <w:right w:w="108" w:type="dxa"/>
        </w:tblCellMar>
      </w:tblPr>
      <w:tblGrid>
        <w:gridCol w:w="1626"/>
        <w:gridCol w:w="7730"/>
      </w:tblGrid>
      <w:tr w14:paraId="5C4885BB">
        <w:tblPrEx>
          <w:tblCellMar>
            <w:top w:w="0" w:type="dxa"/>
            <w:left w:w="108" w:type="dxa"/>
            <w:bottom w:w="0" w:type="dxa"/>
            <w:right w:w="108" w:type="dxa"/>
          </w:tblCellMar>
        </w:tblPrEx>
        <w:trPr>
          <w:trHeight w:val="695" w:hRule="atLeast"/>
        </w:trPr>
        <w:tc>
          <w:tcPr>
            <w:tcW w:w="1626" w:type="dxa"/>
            <w:vAlign w:val="center"/>
          </w:tcPr>
          <w:p w14:paraId="403E3A96">
            <w:pPr>
              <w:wordWrap w:val="0"/>
              <w:rPr>
                <w:rFonts w:eastAsia="黑体"/>
              </w:rPr>
            </w:pPr>
            <w:r>
              <w:rPr>
                <w:rFonts w:eastAsia="黑体"/>
                <w:sz w:val="28"/>
              </w:rPr>
              <w:t>项目名称：</w:t>
            </w:r>
          </w:p>
        </w:tc>
        <w:tc>
          <w:tcPr>
            <w:tcW w:w="7730" w:type="dxa"/>
            <w:vAlign w:val="center"/>
          </w:tcPr>
          <w:p w14:paraId="2E5A6103">
            <w:pPr>
              <w:wordWrap w:val="0"/>
              <w:rPr>
                <w:sz w:val="28"/>
              </w:rPr>
            </w:pPr>
            <w:r>
              <w:rPr>
                <w:rFonts w:hint="eastAsia"/>
                <w:sz w:val="28"/>
              </w:rPr>
              <w:t>基于扩展式博弈建模的多智能体协同模拟法庭系统</w:t>
            </w:r>
          </w:p>
        </w:tc>
      </w:tr>
      <w:tr w14:paraId="6DD251E4">
        <w:tblPrEx>
          <w:tblCellMar>
            <w:top w:w="0" w:type="dxa"/>
            <w:left w:w="108" w:type="dxa"/>
            <w:bottom w:w="0" w:type="dxa"/>
            <w:right w:w="108" w:type="dxa"/>
          </w:tblCellMar>
        </w:tblPrEx>
        <w:trPr>
          <w:trHeight w:val="695" w:hRule="atLeast"/>
        </w:trPr>
        <w:tc>
          <w:tcPr>
            <w:tcW w:w="1626" w:type="dxa"/>
            <w:vAlign w:val="center"/>
          </w:tcPr>
          <w:p w14:paraId="653F4860">
            <w:pPr>
              <w:wordWrap w:val="0"/>
              <w:rPr>
                <w:rFonts w:eastAsia="黑体"/>
              </w:rPr>
            </w:pPr>
            <w:r>
              <w:rPr>
                <w:rFonts w:eastAsia="黑体"/>
                <w:sz w:val="28"/>
              </w:rPr>
              <w:t>申 请 者：</w:t>
            </w:r>
          </w:p>
        </w:tc>
        <w:tc>
          <w:tcPr>
            <w:tcW w:w="7730" w:type="dxa"/>
            <w:vAlign w:val="center"/>
          </w:tcPr>
          <w:p w14:paraId="47C864DD">
            <w:pPr>
              <w:wordWrap w:val="0"/>
              <w:rPr>
                <w:sz w:val="28"/>
              </w:rPr>
            </w:pPr>
            <w:r>
              <w:rPr>
                <w:rFonts w:hint="eastAsia"/>
                <w:sz w:val="28"/>
              </w:rPr>
              <w:t>余果</w:t>
            </w:r>
          </w:p>
        </w:tc>
      </w:tr>
      <w:tr w14:paraId="0318B7B6">
        <w:tblPrEx>
          <w:tblCellMar>
            <w:top w:w="0" w:type="dxa"/>
            <w:left w:w="108" w:type="dxa"/>
            <w:bottom w:w="0" w:type="dxa"/>
            <w:right w:w="108" w:type="dxa"/>
          </w:tblCellMar>
        </w:tblPrEx>
        <w:trPr>
          <w:trHeight w:val="695" w:hRule="atLeast"/>
        </w:trPr>
        <w:tc>
          <w:tcPr>
            <w:tcW w:w="1626" w:type="dxa"/>
            <w:vAlign w:val="center"/>
          </w:tcPr>
          <w:p w14:paraId="389C8F57">
            <w:pPr>
              <w:wordWrap w:val="0"/>
              <w:rPr>
                <w:rFonts w:eastAsia="黑体"/>
                <w:sz w:val="28"/>
              </w:rPr>
            </w:pPr>
            <w:r>
              <w:rPr>
                <w:rFonts w:hint="eastAsia" w:eastAsia="黑体"/>
                <w:sz w:val="28"/>
              </w:rPr>
              <w:t>入学年份</w:t>
            </w:r>
            <w:r>
              <w:rPr>
                <w:rFonts w:eastAsia="黑体"/>
                <w:sz w:val="28"/>
              </w:rPr>
              <w:t>：</w:t>
            </w:r>
          </w:p>
        </w:tc>
        <w:tc>
          <w:tcPr>
            <w:tcW w:w="7730" w:type="dxa"/>
            <w:vAlign w:val="center"/>
          </w:tcPr>
          <w:p w14:paraId="6933CBA7">
            <w:pPr>
              <w:wordWrap w:val="0"/>
              <w:rPr>
                <w:sz w:val="28"/>
              </w:rPr>
            </w:pPr>
            <w:r>
              <w:rPr>
                <w:rFonts w:hint="eastAsia"/>
                <w:sz w:val="28"/>
              </w:rPr>
              <w:t>2023年</w:t>
            </w:r>
          </w:p>
        </w:tc>
      </w:tr>
      <w:tr w14:paraId="5BB531A2">
        <w:tblPrEx>
          <w:tblCellMar>
            <w:top w:w="0" w:type="dxa"/>
            <w:left w:w="108" w:type="dxa"/>
            <w:bottom w:w="0" w:type="dxa"/>
            <w:right w:w="108" w:type="dxa"/>
          </w:tblCellMar>
        </w:tblPrEx>
        <w:trPr>
          <w:trHeight w:val="695" w:hRule="atLeast"/>
        </w:trPr>
        <w:tc>
          <w:tcPr>
            <w:tcW w:w="1626" w:type="dxa"/>
            <w:vAlign w:val="center"/>
          </w:tcPr>
          <w:p w14:paraId="664C8620">
            <w:pPr>
              <w:wordWrap w:val="0"/>
              <w:rPr>
                <w:rFonts w:eastAsia="黑体"/>
                <w:sz w:val="28"/>
              </w:rPr>
            </w:pPr>
            <w:r>
              <w:rPr>
                <w:rFonts w:eastAsia="黑体"/>
                <w:sz w:val="28"/>
              </w:rPr>
              <w:t>手    机：</w:t>
            </w:r>
          </w:p>
        </w:tc>
        <w:tc>
          <w:tcPr>
            <w:tcW w:w="7730" w:type="dxa"/>
            <w:vAlign w:val="center"/>
          </w:tcPr>
          <w:p w14:paraId="20C25EA2">
            <w:pPr>
              <w:wordWrap w:val="0"/>
              <w:rPr>
                <w:sz w:val="28"/>
              </w:rPr>
            </w:pPr>
            <w:r>
              <w:rPr>
                <w:rFonts w:hint="eastAsia"/>
                <w:sz w:val="28"/>
              </w:rPr>
              <w:t>19805560176</w:t>
            </w:r>
          </w:p>
        </w:tc>
      </w:tr>
      <w:tr w14:paraId="3110DC15">
        <w:tblPrEx>
          <w:tblCellMar>
            <w:top w:w="0" w:type="dxa"/>
            <w:left w:w="108" w:type="dxa"/>
            <w:bottom w:w="0" w:type="dxa"/>
            <w:right w:w="108" w:type="dxa"/>
          </w:tblCellMar>
        </w:tblPrEx>
        <w:trPr>
          <w:trHeight w:val="695" w:hRule="atLeast"/>
        </w:trPr>
        <w:tc>
          <w:tcPr>
            <w:tcW w:w="1626" w:type="dxa"/>
            <w:vAlign w:val="center"/>
          </w:tcPr>
          <w:p w14:paraId="513E0A50">
            <w:pPr>
              <w:wordWrap w:val="0"/>
              <w:rPr>
                <w:rFonts w:eastAsia="黑体"/>
              </w:rPr>
            </w:pPr>
            <w:r>
              <w:rPr>
                <w:rFonts w:eastAsia="黑体"/>
                <w:sz w:val="28"/>
              </w:rPr>
              <w:t>电子邮箱：</w:t>
            </w:r>
          </w:p>
        </w:tc>
        <w:tc>
          <w:tcPr>
            <w:tcW w:w="7730" w:type="dxa"/>
            <w:vAlign w:val="center"/>
          </w:tcPr>
          <w:p w14:paraId="541E7F92">
            <w:pPr>
              <w:wordWrap w:val="0"/>
              <w:rPr>
                <w:sz w:val="28"/>
              </w:rPr>
            </w:pPr>
            <w:r>
              <w:rPr>
                <w:rFonts w:hint="eastAsia"/>
                <w:sz w:val="28"/>
              </w:rPr>
              <w:t>19805560176@163.com</w:t>
            </w:r>
          </w:p>
        </w:tc>
      </w:tr>
      <w:tr w14:paraId="1624D435">
        <w:tblPrEx>
          <w:tblCellMar>
            <w:top w:w="0" w:type="dxa"/>
            <w:left w:w="108" w:type="dxa"/>
            <w:bottom w:w="0" w:type="dxa"/>
            <w:right w:w="108" w:type="dxa"/>
          </w:tblCellMar>
        </w:tblPrEx>
        <w:trPr>
          <w:trHeight w:val="695" w:hRule="atLeast"/>
        </w:trPr>
        <w:tc>
          <w:tcPr>
            <w:tcW w:w="1626" w:type="dxa"/>
            <w:vAlign w:val="center"/>
          </w:tcPr>
          <w:p w14:paraId="6ED7D583">
            <w:pPr>
              <w:wordWrap w:val="0"/>
              <w:rPr>
                <w:rFonts w:eastAsia="黑体"/>
              </w:rPr>
            </w:pPr>
            <w:r>
              <w:rPr>
                <w:rFonts w:eastAsia="黑体"/>
                <w:sz w:val="28"/>
              </w:rPr>
              <w:t>依托单位：</w:t>
            </w:r>
          </w:p>
        </w:tc>
        <w:tc>
          <w:tcPr>
            <w:tcW w:w="7730" w:type="dxa"/>
            <w:vAlign w:val="center"/>
          </w:tcPr>
          <w:p w14:paraId="6926F228">
            <w:pPr>
              <w:wordWrap w:val="0"/>
              <w:rPr>
                <w:sz w:val="28"/>
              </w:rPr>
            </w:pPr>
            <w:r>
              <w:rPr>
                <w:rFonts w:hint="eastAsia"/>
                <w:sz w:val="28"/>
              </w:rPr>
              <w:t>北京理工大学</w:t>
            </w:r>
          </w:p>
        </w:tc>
      </w:tr>
      <w:tr w14:paraId="35FECFB7">
        <w:tblPrEx>
          <w:tblCellMar>
            <w:top w:w="0" w:type="dxa"/>
            <w:left w:w="108" w:type="dxa"/>
            <w:bottom w:w="0" w:type="dxa"/>
            <w:right w:w="108" w:type="dxa"/>
          </w:tblCellMar>
        </w:tblPrEx>
        <w:trPr>
          <w:trHeight w:val="695" w:hRule="atLeast"/>
        </w:trPr>
        <w:tc>
          <w:tcPr>
            <w:tcW w:w="1626" w:type="dxa"/>
            <w:vAlign w:val="center"/>
          </w:tcPr>
          <w:p w14:paraId="1DEDA968">
            <w:pPr>
              <w:wordWrap w:val="0"/>
              <w:rPr>
                <w:rFonts w:eastAsia="黑体"/>
              </w:rPr>
            </w:pPr>
            <w:r>
              <w:rPr>
                <w:rFonts w:eastAsia="黑体"/>
                <w:sz w:val="28"/>
              </w:rPr>
              <w:t>通信地址：</w:t>
            </w:r>
          </w:p>
        </w:tc>
        <w:tc>
          <w:tcPr>
            <w:tcW w:w="7730" w:type="dxa"/>
            <w:vAlign w:val="center"/>
          </w:tcPr>
          <w:p w14:paraId="4188BE71">
            <w:pPr>
              <w:wordWrap w:val="0"/>
              <w:rPr>
                <w:sz w:val="28"/>
              </w:rPr>
            </w:pPr>
            <w:r>
              <w:rPr>
                <w:rFonts w:hint="eastAsia"/>
                <w:sz w:val="28"/>
              </w:rPr>
              <w:t>北京市房山区北京理工大学良乡校区甘棠园</w:t>
            </w:r>
          </w:p>
        </w:tc>
      </w:tr>
      <w:tr w14:paraId="4FFCD848">
        <w:tblPrEx>
          <w:tblCellMar>
            <w:top w:w="0" w:type="dxa"/>
            <w:left w:w="108" w:type="dxa"/>
            <w:bottom w:w="0" w:type="dxa"/>
            <w:right w:w="108" w:type="dxa"/>
          </w:tblCellMar>
        </w:tblPrEx>
        <w:trPr>
          <w:trHeight w:val="695" w:hRule="atLeast"/>
        </w:trPr>
        <w:tc>
          <w:tcPr>
            <w:tcW w:w="1626" w:type="dxa"/>
            <w:vAlign w:val="center"/>
          </w:tcPr>
          <w:p w14:paraId="0B737115">
            <w:pPr>
              <w:wordWrap w:val="0"/>
              <w:rPr>
                <w:rFonts w:eastAsia="黑体"/>
              </w:rPr>
            </w:pPr>
            <w:r>
              <w:rPr>
                <w:rFonts w:eastAsia="黑体"/>
                <w:sz w:val="28"/>
              </w:rPr>
              <w:t>填写日期：</w:t>
            </w:r>
          </w:p>
        </w:tc>
        <w:tc>
          <w:tcPr>
            <w:tcW w:w="7730" w:type="dxa"/>
            <w:vAlign w:val="center"/>
          </w:tcPr>
          <w:p w14:paraId="66C5DEAF">
            <w:pPr>
              <w:wordWrap w:val="0"/>
              <w:rPr>
                <w:sz w:val="28"/>
              </w:rPr>
            </w:pPr>
            <w:r>
              <w:rPr>
                <w:rFonts w:hint="eastAsia"/>
                <w:sz w:val="28"/>
              </w:rPr>
              <w:t>2026年4月14日</w:t>
            </w:r>
          </w:p>
        </w:tc>
      </w:tr>
    </w:tbl>
    <w:p w14:paraId="320233E6">
      <w:pPr>
        <w:wordWrap w:val="0"/>
        <w:rPr>
          <w:rFonts w:eastAsia="隶书_GB2312"/>
          <w:b/>
          <w:sz w:val="32"/>
        </w:rPr>
      </w:pPr>
    </w:p>
    <w:p w14:paraId="198DCE0E">
      <w:pPr>
        <w:wordWrap w:val="0"/>
        <w:rPr>
          <w:rFonts w:eastAsia="隶书_GB2312"/>
          <w:b/>
          <w:sz w:val="32"/>
        </w:rPr>
      </w:pPr>
    </w:p>
    <w:p w14:paraId="7026BE35">
      <w:pPr>
        <w:wordWrap w:val="0"/>
        <w:rPr>
          <w:rFonts w:eastAsia="隶书_GB2312"/>
          <w:b/>
          <w:sz w:val="32"/>
        </w:rPr>
      </w:pPr>
    </w:p>
    <w:p w14:paraId="195BF044">
      <w:pPr>
        <w:wordWrap w:val="0"/>
        <w:rPr>
          <w:rFonts w:eastAsia="隶书_GB2312"/>
          <w:b/>
          <w:sz w:val="32"/>
        </w:rPr>
      </w:pPr>
    </w:p>
    <w:p w14:paraId="771D21AA">
      <w:pPr>
        <w:tabs>
          <w:tab w:val="left" w:pos="525"/>
        </w:tabs>
        <w:wordWrap w:val="0"/>
        <w:ind w:hanging="360"/>
        <w:jc w:val="center"/>
        <w:rPr>
          <w:rFonts w:eastAsia="仿宋_GB2312"/>
          <w:b/>
          <w:sz w:val="32"/>
        </w:rPr>
      </w:pPr>
      <w:r>
        <w:rPr>
          <w:rFonts w:eastAsia="仿宋_GB2312"/>
          <w:b/>
          <w:sz w:val="32"/>
        </w:rPr>
        <w:t>北京市自然科学基金委员会</w:t>
      </w:r>
      <w:r>
        <w:rPr>
          <w:rFonts w:hint="eastAsia" w:eastAsia="仿宋_GB2312"/>
          <w:b/>
          <w:sz w:val="32"/>
        </w:rPr>
        <w:t>办公室制</w:t>
      </w:r>
    </w:p>
    <w:p w14:paraId="33A1631B">
      <w:pPr>
        <w:tabs>
          <w:tab w:val="left" w:pos="525"/>
        </w:tabs>
        <w:ind w:hanging="360"/>
        <w:jc w:val="center"/>
        <w:rPr>
          <w:rFonts w:eastAsia="仿宋_GB2312"/>
          <w:b/>
          <w:sz w:val="32"/>
        </w:rPr>
      </w:pPr>
      <w:r>
        <w:rPr>
          <w:rFonts w:hint="eastAsia" w:eastAsia="仿宋_GB2312"/>
          <w:b/>
          <w:sz w:val="32"/>
        </w:rPr>
        <w:t>二</w:t>
      </w:r>
      <w:r>
        <w:rPr>
          <w:rFonts w:hint="eastAsia" w:ascii="仿宋_GB2312" w:eastAsia="仿宋_GB2312"/>
          <w:b/>
          <w:sz w:val="32"/>
        </w:rPr>
        <w:t>〇</w:t>
      </w:r>
      <w:r>
        <w:rPr>
          <w:rFonts w:hint="eastAsia" w:eastAsia="仿宋_GB2312"/>
          <w:b/>
          <w:sz w:val="32"/>
        </w:rPr>
        <w:t>二</w:t>
      </w:r>
      <w:r>
        <w:rPr>
          <w:rFonts w:hint="eastAsia" w:ascii="仿宋_GB2312" w:eastAsia="仿宋_GB2312"/>
          <w:b/>
          <w:sz w:val="32"/>
        </w:rPr>
        <w:t>六</w:t>
      </w:r>
      <w:r>
        <w:rPr>
          <w:rFonts w:hint="eastAsia" w:eastAsia="仿宋_GB2312"/>
          <w:b/>
          <w:sz w:val="32"/>
        </w:rPr>
        <w:t>年</w:t>
      </w:r>
    </w:p>
    <w:p w14:paraId="5163CF76">
      <w:pPr>
        <w:suppressAutoHyphens/>
        <w:wordWrap w:val="0"/>
        <w:adjustRightInd/>
        <w:spacing w:line="240" w:lineRule="auto"/>
        <w:jc w:val="center"/>
        <w:textAlignment w:val="auto"/>
        <w:rPr>
          <w:b/>
          <w:bCs/>
          <w:kern w:val="1"/>
          <w:sz w:val="28"/>
          <w:szCs w:val="28"/>
        </w:rPr>
      </w:pPr>
      <w:r>
        <w:rPr>
          <w:sz w:val="28"/>
        </w:rPr>
        <w:br w:type="page"/>
      </w:r>
      <w:r>
        <w:rPr>
          <w:b/>
          <w:bCs/>
          <w:kern w:val="1"/>
          <w:sz w:val="28"/>
          <w:szCs w:val="28"/>
          <w:lang w:eastAsia="ar-SA"/>
        </w:rPr>
        <w:t>填表说明</w:t>
      </w:r>
    </w:p>
    <w:p w14:paraId="7D1AB4BC">
      <w:pPr>
        <w:suppressAutoHyphens/>
        <w:wordWrap w:val="0"/>
        <w:adjustRightInd/>
        <w:spacing w:line="360" w:lineRule="auto"/>
        <w:jc w:val="center"/>
        <w:textAlignment w:val="auto"/>
        <w:rPr>
          <w:rFonts w:ascii="仿宋_GB2312" w:eastAsia="仿宋_GB2312"/>
          <w:b/>
          <w:bCs/>
          <w:kern w:val="1"/>
          <w:sz w:val="28"/>
          <w:szCs w:val="28"/>
        </w:rPr>
      </w:pPr>
    </w:p>
    <w:p w14:paraId="04948C75">
      <w:pPr>
        <w:pStyle w:val="20"/>
        <w:wordWrap w:val="0"/>
        <w:spacing w:before="0"/>
        <w:ind w:left="425" w:hanging="424" w:hangingChars="177"/>
        <w:rPr>
          <w:rFonts w:ascii="Times New Roman" w:hAnsi="Times New Roman" w:eastAsia="仿宋_GB2312"/>
          <w:sz w:val="24"/>
          <w:szCs w:val="24"/>
        </w:rPr>
      </w:pPr>
      <w:r>
        <w:rPr>
          <w:rFonts w:ascii="Times New Roman" w:hAnsi="Times New Roman" w:eastAsia="仿宋_GB2312"/>
          <w:sz w:val="24"/>
          <w:szCs w:val="24"/>
        </w:rPr>
        <w:t>一、填报</w:t>
      </w:r>
      <w:r>
        <w:rPr>
          <w:rFonts w:hint="eastAsia" w:ascii="Times New Roman" w:hAnsi="Times New Roman" w:eastAsia="仿宋_GB2312"/>
          <w:sz w:val="24"/>
          <w:szCs w:val="24"/>
        </w:rPr>
        <w:t>申请</w:t>
      </w:r>
      <w:r>
        <w:rPr>
          <w:rFonts w:ascii="Times New Roman" w:hAnsi="Times New Roman" w:eastAsia="仿宋_GB2312"/>
          <w:sz w:val="24"/>
          <w:szCs w:val="24"/>
        </w:rPr>
        <w:t>书前，请查阅市自然科学基金的有关</w:t>
      </w:r>
      <w:r>
        <w:rPr>
          <w:rFonts w:hint="eastAsia" w:ascii="Times New Roman" w:hAnsi="Times New Roman" w:eastAsia="仿宋_GB2312"/>
          <w:sz w:val="24"/>
          <w:szCs w:val="24"/>
        </w:rPr>
        <w:t>管理</w:t>
      </w:r>
      <w:r>
        <w:rPr>
          <w:rFonts w:ascii="Times New Roman" w:hAnsi="Times New Roman" w:eastAsia="仿宋_GB2312"/>
          <w:sz w:val="24"/>
          <w:szCs w:val="24"/>
        </w:rPr>
        <w:t>规定</w:t>
      </w:r>
      <w:r>
        <w:rPr>
          <w:rFonts w:hint="eastAsia" w:ascii="Times New Roman" w:hAnsi="Times New Roman" w:eastAsia="仿宋_GB2312"/>
          <w:sz w:val="24"/>
          <w:szCs w:val="24"/>
        </w:rPr>
        <w:t>。请认真填写</w:t>
      </w:r>
      <w:r>
        <w:rPr>
          <w:rFonts w:hint="eastAsia" w:ascii="Times New Roman" w:hAnsi="Times New Roman" w:eastAsia="仿宋_GB2312"/>
          <w:sz w:val="24"/>
          <w:szCs w:val="24"/>
          <w:lang w:eastAsia="zh-CN"/>
        </w:rPr>
        <w:t>申请书</w:t>
      </w:r>
      <w:r>
        <w:rPr>
          <w:rFonts w:hint="eastAsia" w:ascii="Times New Roman" w:hAnsi="Times New Roman" w:eastAsia="仿宋_GB2312"/>
          <w:sz w:val="24"/>
          <w:szCs w:val="24"/>
        </w:rPr>
        <w:t>各项内容，填写时须注意科学严谨、</w:t>
      </w:r>
      <w:r>
        <w:rPr>
          <w:rFonts w:ascii="Times New Roman" w:hAnsi="Times New Roman" w:eastAsia="仿宋_GB2312"/>
          <w:sz w:val="24"/>
          <w:szCs w:val="24"/>
        </w:rPr>
        <w:t>实事求是</w:t>
      </w:r>
      <w:r>
        <w:rPr>
          <w:rFonts w:hint="eastAsia" w:ascii="Times New Roman" w:hAnsi="Times New Roman" w:eastAsia="仿宋_GB2312"/>
          <w:sz w:val="24"/>
          <w:szCs w:val="24"/>
        </w:rPr>
        <w:t>、</w:t>
      </w:r>
      <w:r>
        <w:rPr>
          <w:rFonts w:ascii="Times New Roman" w:hAnsi="Times New Roman" w:eastAsia="仿宋_GB2312"/>
          <w:sz w:val="24"/>
          <w:szCs w:val="24"/>
        </w:rPr>
        <w:t>表达明确。外来语应用中文和英文同时表达，第一次出现的缩写词，须注出全称。</w:t>
      </w:r>
    </w:p>
    <w:p w14:paraId="51DD173B">
      <w:pPr>
        <w:pStyle w:val="20"/>
        <w:wordWrap w:val="0"/>
        <w:spacing w:before="0"/>
        <w:ind w:left="425" w:hanging="424" w:hangingChars="177"/>
        <w:rPr>
          <w:rFonts w:ascii="Times New Roman" w:hAnsi="Times New Roman" w:eastAsia="仿宋_GB2312"/>
          <w:sz w:val="24"/>
          <w:szCs w:val="24"/>
        </w:rPr>
      </w:pPr>
      <w:r>
        <w:rPr>
          <w:rFonts w:ascii="Times New Roman" w:hAnsi="Times New Roman" w:eastAsia="仿宋_GB2312"/>
          <w:sz w:val="24"/>
          <w:szCs w:val="24"/>
        </w:rPr>
        <w:t>二、申请书为A4纸</w:t>
      </w:r>
      <w:r>
        <w:rPr>
          <w:rFonts w:hint="eastAsia" w:ascii="Times New Roman" w:hAnsi="Times New Roman" w:eastAsia="仿宋_GB2312"/>
          <w:sz w:val="24"/>
          <w:szCs w:val="24"/>
          <w:lang w:eastAsia="zh-CN"/>
        </w:rPr>
        <w:t>版面</w:t>
      </w:r>
      <w:r>
        <w:rPr>
          <w:rFonts w:ascii="Times New Roman" w:hAnsi="Times New Roman" w:eastAsia="仿宋_GB2312"/>
          <w:sz w:val="24"/>
          <w:szCs w:val="24"/>
        </w:rPr>
        <w:t>，申请书正文要求宋体5号字</w:t>
      </w:r>
      <w:r>
        <w:rPr>
          <w:rFonts w:ascii="Times New Roman" w:hAnsi="Times New Roman" w:eastAsia="仿宋_GB2312"/>
          <w:sz w:val="24"/>
          <w:szCs w:val="24"/>
          <w:lang w:eastAsia="zh-CN"/>
        </w:rPr>
        <w:t>，双面打印</w:t>
      </w:r>
      <w:r>
        <w:rPr>
          <w:rFonts w:ascii="Times New Roman" w:hAnsi="Times New Roman" w:eastAsia="仿宋_GB2312"/>
          <w:sz w:val="24"/>
          <w:szCs w:val="24"/>
        </w:rPr>
        <w:t>，于左侧装订成册</w:t>
      </w:r>
      <w:r>
        <w:rPr>
          <w:rFonts w:ascii="Times New Roman" w:hAnsi="Times New Roman" w:eastAsia="仿宋_GB2312"/>
          <w:sz w:val="24"/>
          <w:szCs w:val="24"/>
          <w:lang w:eastAsia="zh-CN"/>
        </w:rPr>
        <w:t>，</w:t>
      </w:r>
      <w:r>
        <w:rPr>
          <w:rFonts w:ascii="Times New Roman" w:hAnsi="Times New Roman" w:eastAsia="仿宋_GB2312"/>
          <w:sz w:val="24"/>
          <w:szCs w:val="24"/>
        </w:rPr>
        <w:t>一式</w:t>
      </w:r>
      <w:r>
        <w:rPr>
          <w:rFonts w:hint="eastAsia" w:ascii="Times New Roman" w:hAnsi="Times New Roman" w:eastAsia="仿宋_GB2312"/>
          <w:sz w:val="24"/>
          <w:szCs w:val="24"/>
          <w:lang w:eastAsia="zh-CN"/>
        </w:rPr>
        <w:t>一</w:t>
      </w:r>
      <w:r>
        <w:rPr>
          <w:rFonts w:ascii="Times New Roman" w:hAnsi="Times New Roman" w:eastAsia="仿宋_GB2312"/>
          <w:sz w:val="24"/>
          <w:szCs w:val="24"/>
        </w:rPr>
        <w:t>份（</w:t>
      </w:r>
      <w:r>
        <w:rPr>
          <w:rFonts w:hint="eastAsia" w:ascii="Times New Roman" w:hAnsi="Times New Roman" w:eastAsia="仿宋_GB2312"/>
          <w:sz w:val="24"/>
          <w:szCs w:val="24"/>
          <w:lang w:eastAsia="zh-CN"/>
        </w:rPr>
        <w:t>必须为盖章</w:t>
      </w:r>
      <w:r>
        <w:rPr>
          <w:rFonts w:ascii="Times New Roman" w:hAnsi="Times New Roman" w:eastAsia="仿宋_GB2312"/>
          <w:sz w:val="24"/>
          <w:szCs w:val="24"/>
        </w:rPr>
        <w:t>原件），报送北京市自然科学基金委员会办公室。</w:t>
      </w:r>
    </w:p>
    <w:p w14:paraId="29D10B26">
      <w:pPr>
        <w:pStyle w:val="20"/>
        <w:wordWrap w:val="0"/>
        <w:spacing w:before="0"/>
        <w:ind w:left="425" w:hanging="424" w:hangingChars="177"/>
        <w:rPr>
          <w:rFonts w:ascii="Times New Roman" w:hAnsi="Times New Roman" w:eastAsia="仿宋_GB2312"/>
          <w:sz w:val="24"/>
          <w:szCs w:val="24"/>
        </w:rPr>
      </w:pPr>
      <w:r>
        <w:rPr>
          <w:rFonts w:ascii="Times New Roman" w:hAnsi="Times New Roman" w:eastAsia="仿宋_GB2312"/>
          <w:sz w:val="24"/>
          <w:szCs w:val="24"/>
        </w:rPr>
        <w:t>三、简表说明</w:t>
      </w:r>
    </w:p>
    <w:p w14:paraId="53A58D0A">
      <w:pPr>
        <w:pStyle w:val="20"/>
        <w:tabs>
          <w:tab w:val="left" w:pos="567"/>
        </w:tabs>
        <w:spacing w:before="0"/>
        <w:ind w:left="420" w:leftChars="200"/>
        <w:rPr>
          <w:rFonts w:ascii="Times New Roman" w:hAnsi="Times New Roman" w:eastAsia="仿宋_GB2312"/>
          <w:sz w:val="24"/>
          <w:szCs w:val="24"/>
          <w:lang w:eastAsia="zh-CN"/>
        </w:rPr>
      </w:pPr>
      <w:r>
        <w:rPr>
          <w:rFonts w:hint="eastAsia" w:ascii="Times New Roman" w:hAnsi="Times New Roman" w:eastAsia="仿宋_GB2312"/>
          <w:sz w:val="24"/>
          <w:szCs w:val="24"/>
          <w:lang w:eastAsia="zh-CN"/>
        </w:rPr>
        <w:t>1、简表内容：采用国家公布的标准简化字填写。</w:t>
      </w:r>
    </w:p>
    <w:p w14:paraId="1120A97A">
      <w:pPr>
        <w:pStyle w:val="20"/>
        <w:tabs>
          <w:tab w:val="left" w:pos="567"/>
        </w:tabs>
        <w:spacing w:before="0"/>
        <w:ind w:left="420" w:leftChars="200"/>
        <w:rPr>
          <w:rFonts w:ascii="Times New Roman" w:hAnsi="Times New Roman" w:eastAsia="仿宋_GB2312"/>
          <w:sz w:val="24"/>
          <w:szCs w:val="24"/>
          <w:lang w:eastAsia="zh-CN"/>
        </w:rPr>
      </w:pPr>
      <w:r>
        <w:rPr>
          <w:rFonts w:hint="eastAsia" w:ascii="Times New Roman" w:hAnsi="Times New Roman" w:eastAsia="仿宋_GB2312"/>
          <w:sz w:val="24"/>
          <w:szCs w:val="24"/>
          <w:lang w:eastAsia="zh-CN"/>
        </w:rPr>
        <w:t>2、项目名称：要确切反映研究内容，字数最多不超过40字（80字符）。</w:t>
      </w:r>
    </w:p>
    <w:p w14:paraId="2D1275ED">
      <w:pPr>
        <w:pStyle w:val="20"/>
        <w:tabs>
          <w:tab w:val="left" w:pos="567"/>
        </w:tabs>
        <w:spacing w:before="0"/>
        <w:ind w:left="420" w:leftChars="200"/>
        <w:rPr>
          <w:rFonts w:ascii="Times New Roman" w:hAnsi="Times New Roman" w:eastAsia="仿宋_GB2312"/>
          <w:sz w:val="24"/>
          <w:szCs w:val="24"/>
          <w:lang w:eastAsia="zh-CN"/>
        </w:rPr>
      </w:pPr>
      <w:r>
        <w:rPr>
          <w:rFonts w:hint="eastAsia" w:ascii="Times New Roman" w:hAnsi="Times New Roman" w:eastAsia="仿宋_GB2312"/>
          <w:sz w:val="24"/>
          <w:szCs w:val="24"/>
          <w:lang w:eastAsia="zh-CN"/>
        </w:rPr>
        <w:t>3、申报学科代码：使用北京市自然科学基金委员会办公室公布的学科分类目录及代码。</w:t>
      </w:r>
    </w:p>
    <w:p w14:paraId="3842DF50">
      <w:pPr>
        <w:pStyle w:val="20"/>
        <w:tabs>
          <w:tab w:val="left" w:pos="567"/>
        </w:tabs>
        <w:spacing w:before="0"/>
        <w:ind w:left="420" w:leftChars="200"/>
        <w:rPr>
          <w:rFonts w:ascii="Times New Roman" w:hAnsi="Times New Roman" w:eastAsia="仿宋_GB2312"/>
          <w:sz w:val="24"/>
          <w:szCs w:val="24"/>
          <w:lang w:eastAsia="zh-CN"/>
        </w:rPr>
      </w:pPr>
      <w:r>
        <w:rPr>
          <w:rFonts w:hint="eastAsia" w:ascii="Times New Roman" w:hAnsi="Times New Roman" w:eastAsia="仿宋_GB2312"/>
          <w:sz w:val="24"/>
          <w:szCs w:val="24"/>
          <w:lang w:eastAsia="zh-CN"/>
        </w:rPr>
        <w:t>4、依托单位：须按单位公章填写全称。</w:t>
      </w:r>
    </w:p>
    <w:p w14:paraId="787DCE36">
      <w:pPr>
        <w:pStyle w:val="20"/>
        <w:tabs>
          <w:tab w:val="left" w:pos="567"/>
        </w:tabs>
        <w:spacing w:before="0"/>
        <w:ind w:left="420" w:leftChars="200"/>
        <w:rPr>
          <w:rFonts w:ascii="Times New Roman" w:hAnsi="Times New Roman" w:eastAsia="仿宋_GB2312"/>
          <w:sz w:val="24"/>
          <w:szCs w:val="24"/>
          <w:lang w:eastAsia="zh-CN"/>
        </w:rPr>
      </w:pPr>
      <w:r>
        <w:rPr>
          <w:rFonts w:hint="eastAsia" w:ascii="Times New Roman" w:hAnsi="Times New Roman" w:eastAsia="仿宋_GB2312"/>
          <w:sz w:val="24"/>
          <w:szCs w:val="24"/>
          <w:lang w:eastAsia="zh-CN"/>
        </w:rPr>
        <w:t>5、申请金额：用阿拉伯数字表示，以万元为单位，小数点后取两位。</w:t>
      </w:r>
    </w:p>
    <w:p w14:paraId="0D5CD8C5">
      <w:pPr>
        <w:pStyle w:val="20"/>
        <w:tabs>
          <w:tab w:val="left" w:pos="567"/>
        </w:tabs>
        <w:spacing w:before="0"/>
        <w:ind w:left="420" w:leftChars="200"/>
        <w:rPr>
          <w:rFonts w:ascii="Times New Roman" w:hAnsi="Times New Roman" w:eastAsia="仿宋_GB2312"/>
          <w:sz w:val="24"/>
          <w:szCs w:val="24"/>
          <w:lang w:eastAsia="zh-CN"/>
        </w:rPr>
      </w:pPr>
      <w:r>
        <w:rPr>
          <w:rFonts w:hint="eastAsia" w:ascii="Times New Roman" w:hAnsi="Times New Roman" w:eastAsia="仿宋_GB2312"/>
          <w:sz w:val="24"/>
          <w:szCs w:val="24"/>
          <w:lang w:eastAsia="zh-CN"/>
        </w:rPr>
        <w:t>6、执行周期：项目执行周期为1年或2年。</w:t>
      </w:r>
    </w:p>
    <w:p w14:paraId="3DF4A774">
      <w:pPr>
        <w:pStyle w:val="20"/>
        <w:tabs>
          <w:tab w:val="left" w:pos="567"/>
        </w:tabs>
        <w:spacing w:before="0"/>
        <w:ind w:left="420" w:leftChars="200"/>
        <w:rPr>
          <w:rFonts w:ascii="Times New Roman" w:hAnsi="Times New Roman" w:eastAsia="仿宋_GB2312"/>
          <w:sz w:val="24"/>
          <w:szCs w:val="24"/>
          <w:lang w:eastAsia="zh-CN"/>
        </w:rPr>
      </w:pPr>
      <w:r>
        <w:rPr>
          <w:rFonts w:hint="eastAsia" w:ascii="Times New Roman" w:hAnsi="Times New Roman" w:eastAsia="仿宋_GB2312"/>
          <w:sz w:val="24"/>
          <w:szCs w:val="24"/>
          <w:lang w:eastAsia="zh-CN"/>
        </w:rPr>
        <w:t>7、项目组主要成员：指在项目组内对学术思想、研究方案的制订、理论分析及项目的完成起重要作用的学生及教师，每学年参加本项目研究工作应在4个月以上。申请者和项目组主要成员应当如实填报个人信息并对其真实性负责；同时，申请者还应对所有主要成员个人信息的真实性负责。</w:t>
      </w:r>
    </w:p>
    <w:p w14:paraId="6DC8D538">
      <w:pPr>
        <w:wordWrap w:val="0"/>
        <w:spacing w:line="360" w:lineRule="auto"/>
        <w:ind w:left="420"/>
        <w:outlineLvl w:val="0"/>
        <w:rPr>
          <w:rFonts w:eastAsia="黑体"/>
          <w:b/>
          <w:sz w:val="32"/>
        </w:rPr>
      </w:pPr>
      <w:r>
        <w:br w:type="page"/>
      </w:r>
      <w:r>
        <w:rPr>
          <w:rFonts w:hint="eastAsia" w:eastAsia="黑体"/>
          <w:b/>
          <w:sz w:val="32"/>
        </w:rPr>
        <w:t>一、</w:t>
      </w:r>
      <w:r>
        <w:rPr>
          <w:rFonts w:eastAsia="黑体"/>
          <w:b/>
          <w:sz w:val="32"/>
        </w:rPr>
        <w:t>简表</w:t>
      </w:r>
    </w:p>
    <w:tbl>
      <w:tblPr>
        <w:tblStyle w:val="13"/>
        <w:tblW w:w="935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1923"/>
        <w:gridCol w:w="1633"/>
        <w:gridCol w:w="945"/>
        <w:gridCol w:w="1789"/>
        <w:gridCol w:w="2369"/>
      </w:tblGrid>
      <w:tr w14:paraId="3B170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restart"/>
            <w:tcBorders>
              <w:top w:val="single" w:color="auto" w:sz="4" w:space="0"/>
              <w:left w:val="single" w:color="auto" w:sz="4" w:space="0"/>
              <w:right w:val="single" w:color="auto" w:sz="4" w:space="0"/>
            </w:tcBorders>
            <w:shd w:val="clear" w:color="auto" w:fill="FFFFFF"/>
            <w:vAlign w:val="center"/>
          </w:tcPr>
          <w:p w14:paraId="4CA8BB81">
            <w:pPr>
              <w:jc w:val="center"/>
              <w:rPr>
                <w:b/>
                <w:szCs w:val="21"/>
              </w:rPr>
            </w:pPr>
            <w:r>
              <w:rPr>
                <w:rFonts w:hint="eastAsia"/>
                <w:b/>
                <w:szCs w:val="21"/>
              </w:rPr>
              <w:t>申 请 者 信 息</w:t>
            </w:r>
          </w:p>
        </w:tc>
        <w:tc>
          <w:tcPr>
            <w:tcW w:w="1923" w:type="dxa"/>
            <w:tcBorders>
              <w:top w:val="single" w:color="auto" w:sz="4" w:space="0"/>
              <w:left w:val="single" w:color="auto" w:sz="4" w:space="0"/>
              <w:bottom w:val="single" w:color="auto" w:sz="4" w:space="0"/>
              <w:right w:val="single" w:color="auto" w:sz="4" w:space="0"/>
            </w:tcBorders>
            <w:vAlign w:val="center"/>
          </w:tcPr>
          <w:p w14:paraId="002E2EF1">
            <w:pPr>
              <w:wordWrap w:val="0"/>
              <w:jc w:val="center"/>
            </w:pPr>
            <w:r>
              <w:t>姓名（中文）</w:t>
            </w:r>
          </w:p>
        </w:tc>
        <w:tc>
          <w:tcPr>
            <w:tcW w:w="2578" w:type="dxa"/>
            <w:gridSpan w:val="2"/>
            <w:tcBorders>
              <w:top w:val="single" w:color="auto" w:sz="4" w:space="0"/>
              <w:left w:val="single" w:color="auto" w:sz="4" w:space="0"/>
              <w:bottom w:val="single" w:color="auto" w:sz="4" w:space="0"/>
              <w:right w:val="single" w:color="auto" w:sz="4" w:space="0"/>
            </w:tcBorders>
            <w:vAlign w:val="center"/>
          </w:tcPr>
          <w:p w14:paraId="06CB7652">
            <w:pPr>
              <w:wordWrap w:val="0"/>
              <w:jc w:val="center"/>
            </w:pPr>
            <w:r>
              <w:rPr>
                <w:rFonts w:hint="eastAsia"/>
              </w:rPr>
              <w:t>余果</w:t>
            </w:r>
          </w:p>
        </w:tc>
        <w:tc>
          <w:tcPr>
            <w:tcW w:w="1789" w:type="dxa"/>
            <w:tcBorders>
              <w:top w:val="single" w:color="auto" w:sz="4" w:space="0"/>
              <w:left w:val="single" w:color="auto" w:sz="4" w:space="0"/>
              <w:bottom w:val="single" w:color="auto" w:sz="4" w:space="0"/>
              <w:right w:val="single" w:color="auto" w:sz="4" w:space="0"/>
            </w:tcBorders>
            <w:vAlign w:val="center"/>
          </w:tcPr>
          <w:p w14:paraId="4686E60E">
            <w:pPr>
              <w:wordWrap w:val="0"/>
              <w:jc w:val="center"/>
            </w:pPr>
            <w:r>
              <w:t>姓名（拼音）</w:t>
            </w:r>
          </w:p>
        </w:tc>
        <w:tc>
          <w:tcPr>
            <w:tcW w:w="2369" w:type="dxa"/>
            <w:tcBorders>
              <w:top w:val="single" w:color="auto" w:sz="4" w:space="0"/>
              <w:left w:val="single" w:color="auto" w:sz="4" w:space="0"/>
              <w:bottom w:val="single" w:color="auto" w:sz="4" w:space="0"/>
              <w:right w:val="single" w:color="auto" w:sz="4" w:space="0"/>
            </w:tcBorders>
            <w:vAlign w:val="center"/>
          </w:tcPr>
          <w:p w14:paraId="40348D21">
            <w:pPr>
              <w:wordWrap w:val="0"/>
              <w:jc w:val="center"/>
            </w:pPr>
            <w:r>
              <w:rPr>
                <w:rFonts w:hint="eastAsia"/>
              </w:rPr>
              <w:t>YU GUO</w:t>
            </w:r>
          </w:p>
        </w:tc>
      </w:tr>
      <w:tr w14:paraId="24459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tcBorders>
              <w:left w:val="single" w:color="auto" w:sz="4" w:space="0"/>
              <w:right w:val="single" w:color="auto" w:sz="4" w:space="0"/>
            </w:tcBorders>
            <w:shd w:val="clear" w:color="auto" w:fill="FFFFFF"/>
            <w:textDirection w:val="tbRlV"/>
            <w:vAlign w:val="center"/>
          </w:tcPr>
          <w:p w14:paraId="7D1B4AF1">
            <w:pPr>
              <w:jc w:val="center"/>
              <w:rPr>
                <w:b/>
                <w:szCs w:val="21"/>
              </w:rPr>
            </w:pPr>
          </w:p>
        </w:tc>
        <w:tc>
          <w:tcPr>
            <w:tcW w:w="1923" w:type="dxa"/>
            <w:tcBorders>
              <w:top w:val="single" w:color="auto" w:sz="4" w:space="0"/>
              <w:left w:val="single" w:color="auto" w:sz="4" w:space="0"/>
              <w:bottom w:val="single" w:color="auto" w:sz="4" w:space="0"/>
              <w:right w:val="single" w:color="auto" w:sz="4" w:space="0"/>
            </w:tcBorders>
            <w:vAlign w:val="center"/>
          </w:tcPr>
          <w:p w14:paraId="1B17078C">
            <w:pPr>
              <w:wordWrap w:val="0"/>
              <w:jc w:val="center"/>
            </w:pPr>
            <w:r>
              <w:t>性别</w:t>
            </w:r>
          </w:p>
        </w:tc>
        <w:tc>
          <w:tcPr>
            <w:tcW w:w="2578" w:type="dxa"/>
            <w:gridSpan w:val="2"/>
            <w:tcBorders>
              <w:top w:val="single" w:color="auto" w:sz="4" w:space="0"/>
              <w:left w:val="single" w:color="auto" w:sz="4" w:space="0"/>
              <w:bottom w:val="single" w:color="auto" w:sz="4" w:space="0"/>
              <w:right w:val="single" w:color="auto" w:sz="4" w:space="0"/>
            </w:tcBorders>
            <w:vAlign w:val="center"/>
          </w:tcPr>
          <w:p w14:paraId="5D895369">
            <w:pPr>
              <w:wordWrap w:val="0"/>
              <w:jc w:val="center"/>
            </w:pPr>
            <w:r>
              <w:rPr>
                <w:rFonts w:hint="eastAsia"/>
              </w:rPr>
              <w:t>女</w:t>
            </w:r>
          </w:p>
        </w:tc>
        <w:tc>
          <w:tcPr>
            <w:tcW w:w="1789" w:type="dxa"/>
            <w:tcBorders>
              <w:top w:val="single" w:color="auto" w:sz="4" w:space="0"/>
              <w:left w:val="single" w:color="auto" w:sz="4" w:space="0"/>
              <w:bottom w:val="single" w:color="auto" w:sz="4" w:space="0"/>
              <w:right w:val="single" w:color="auto" w:sz="4" w:space="0"/>
            </w:tcBorders>
            <w:vAlign w:val="center"/>
          </w:tcPr>
          <w:p w14:paraId="7851BCE8">
            <w:pPr>
              <w:wordWrap w:val="0"/>
              <w:jc w:val="center"/>
            </w:pPr>
            <w:r>
              <w:t>民族</w:t>
            </w:r>
          </w:p>
        </w:tc>
        <w:tc>
          <w:tcPr>
            <w:tcW w:w="2369" w:type="dxa"/>
            <w:tcBorders>
              <w:top w:val="single" w:color="auto" w:sz="4" w:space="0"/>
              <w:left w:val="single" w:color="auto" w:sz="4" w:space="0"/>
              <w:bottom w:val="single" w:color="auto" w:sz="4" w:space="0"/>
              <w:right w:val="single" w:color="auto" w:sz="4" w:space="0"/>
            </w:tcBorders>
            <w:vAlign w:val="center"/>
          </w:tcPr>
          <w:p w14:paraId="72C90158">
            <w:pPr>
              <w:wordWrap w:val="0"/>
              <w:jc w:val="center"/>
            </w:pPr>
            <w:r>
              <w:rPr>
                <w:rFonts w:hint="eastAsia"/>
              </w:rPr>
              <w:t>汉族</w:t>
            </w:r>
          </w:p>
        </w:tc>
      </w:tr>
      <w:tr w14:paraId="73A15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tcBorders>
              <w:left w:val="single" w:color="auto" w:sz="4" w:space="0"/>
              <w:right w:val="single" w:color="auto" w:sz="4" w:space="0"/>
            </w:tcBorders>
            <w:shd w:val="clear" w:color="auto" w:fill="FFFFFF"/>
            <w:textDirection w:val="tbRlV"/>
            <w:vAlign w:val="center"/>
          </w:tcPr>
          <w:p w14:paraId="1BD55C44">
            <w:pPr>
              <w:jc w:val="center"/>
              <w:rPr>
                <w:b/>
                <w:szCs w:val="21"/>
              </w:rPr>
            </w:pPr>
          </w:p>
        </w:tc>
        <w:tc>
          <w:tcPr>
            <w:tcW w:w="1923" w:type="dxa"/>
            <w:tcBorders>
              <w:top w:val="single" w:color="auto" w:sz="4" w:space="0"/>
              <w:left w:val="single" w:color="auto" w:sz="4" w:space="0"/>
              <w:bottom w:val="single" w:color="auto" w:sz="4" w:space="0"/>
              <w:right w:val="single" w:color="auto" w:sz="4" w:space="0"/>
            </w:tcBorders>
            <w:vAlign w:val="center"/>
          </w:tcPr>
          <w:p w14:paraId="63416ED3">
            <w:pPr>
              <w:wordWrap w:val="0"/>
              <w:jc w:val="center"/>
            </w:pPr>
            <w:r>
              <w:t>出生</w:t>
            </w:r>
            <w:r>
              <w:rPr>
                <w:rFonts w:hint="eastAsia"/>
              </w:rPr>
              <w:t>日期</w:t>
            </w:r>
          </w:p>
        </w:tc>
        <w:tc>
          <w:tcPr>
            <w:tcW w:w="2578" w:type="dxa"/>
            <w:gridSpan w:val="2"/>
            <w:tcBorders>
              <w:top w:val="single" w:color="auto" w:sz="4" w:space="0"/>
              <w:left w:val="single" w:color="auto" w:sz="4" w:space="0"/>
              <w:bottom w:val="single" w:color="auto" w:sz="4" w:space="0"/>
              <w:right w:val="single" w:color="auto" w:sz="4" w:space="0"/>
            </w:tcBorders>
            <w:vAlign w:val="center"/>
          </w:tcPr>
          <w:p w14:paraId="6045717D">
            <w:pPr>
              <w:wordWrap w:val="0"/>
              <w:jc w:val="center"/>
            </w:pPr>
            <w:r>
              <w:rPr>
                <w:rFonts w:hint="eastAsia"/>
              </w:rPr>
              <w:t>2005年08月21日</w:t>
            </w:r>
          </w:p>
        </w:tc>
        <w:tc>
          <w:tcPr>
            <w:tcW w:w="1789" w:type="dxa"/>
            <w:tcBorders>
              <w:top w:val="single" w:color="auto" w:sz="4" w:space="0"/>
              <w:left w:val="single" w:color="auto" w:sz="4" w:space="0"/>
              <w:bottom w:val="single" w:color="auto" w:sz="4" w:space="0"/>
              <w:right w:val="single" w:color="auto" w:sz="4" w:space="0"/>
            </w:tcBorders>
            <w:vAlign w:val="center"/>
          </w:tcPr>
          <w:p w14:paraId="631FA445">
            <w:pPr>
              <w:wordWrap w:val="0"/>
              <w:jc w:val="center"/>
            </w:pPr>
            <w:r>
              <w:t>电子邮箱</w:t>
            </w:r>
          </w:p>
        </w:tc>
        <w:tc>
          <w:tcPr>
            <w:tcW w:w="2369" w:type="dxa"/>
            <w:tcBorders>
              <w:top w:val="single" w:color="auto" w:sz="4" w:space="0"/>
              <w:left w:val="single" w:color="auto" w:sz="4" w:space="0"/>
              <w:bottom w:val="single" w:color="auto" w:sz="4" w:space="0"/>
              <w:right w:val="single" w:color="auto" w:sz="4" w:space="0"/>
            </w:tcBorders>
            <w:vAlign w:val="center"/>
          </w:tcPr>
          <w:p w14:paraId="4FEDDF6E">
            <w:pPr>
              <w:wordWrap w:val="0"/>
              <w:jc w:val="center"/>
            </w:pPr>
            <w:r>
              <w:rPr>
                <w:rFonts w:hint="eastAsia"/>
              </w:rPr>
              <w:t>19805560176@163.com</w:t>
            </w:r>
          </w:p>
        </w:tc>
      </w:tr>
      <w:tr w14:paraId="3682E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tcBorders>
              <w:left w:val="single" w:color="auto" w:sz="4" w:space="0"/>
              <w:right w:val="single" w:color="auto" w:sz="4" w:space="0"/>
            </w:tcBorders>
            <w:shd w:val="clear" w:color="auto" w:fill="FFFFFF"/>
            <w:textDirection w:val="tbRlV"/>
            <w:vAlign w:val="center"/>
          </w:tcPr>
          <w:p w14:paraId="1059DC54">
            <w:pPr>
              <w:jc w:val="center"/>
              <w:rPr>
                <w:b/>
                <w:szCs w:val="21"/>
              </w:rPr>
            </w:pPr>
          </w:p>
        </w:tc>
        <w:tc>
          <w:tcPr>
            <w:tcW w:w="1923" w:type="dxa"/>
            <w:tcBorders>
              <w:top w:val="single" w:color="auto" w:sz="4" w:space="0"/>
              <w:left w:val="single" w:color="auto" w:sz="4" w:space="0"/>
              <w:bottom w:val="single" w:color="auto" w:sz="4" w:space="0"/>
              <w:right w:val="single" w:color="auto" w:sz="4" w:space="0"/>
            </w:tcBorders>
            <w:vAlign w:val="center"/>
          </w:tcPr>
          <w:p w14:paraId="62663BFC">
            <w:pPr>
              <w:wordWrap w:val="0"/>
              <w:jc w:val="center"/>
            </w:pPr>
            <w:r>
              <w:rPr>
                <w:rFonts w:hint="eastAsia"/>
              </w:rPr>
              <w:t>入学年份</w:t>
            </w:r>
          </w:p>
        </w:tc>
        <w:tc>
          <w:tcPr>
            <w:tcW w:w="2578" w:type="dxa"/>
            <w:gridSpan w:val="2"/>
            <w:tcBorders>
              <w:top w:val="single" w:color="auto" w:sz="4" w:space="0"/>
              <w:left w:val="single" w:color="auto" w:sz="4" w:space="0"/>
              <w:bottom w:val="single" w:color="auto" w:sz="4" w:space="0"/>
              <w:right w:val="single" w:color="auto" w:sz="4" w:space="0"/>
            </w:tcBorders>
            <w:vAlign w:val="center"/>
          </w:tcPr>
          <w:p w14:paraId="0718189A">
            <w:pPr>
              <w:wordWrap w:val="0"/>
              <w:jc w:val="center"/>
            </w:pPr>
            <w:r>
              <w:rPr>
                <w:rFonts w:hint="eastAsia"/>
              </w:rPr>
              <w:t>2023年</w:t>
            </w:r>
          </w:p>
        </w:tc>
        <w:tc>
          <w:tcPr>
            <w:tcW w:w="1789" w:type="dxa"/>
            <w:tcBorders>
              <w:top w:val="single" w:color="auto" w:sz="4" w:space="0"/>
              <w:left w:val="single" w:color="auto" w:sz="4" w:space="0"/>
              <w:bottom w:val="single" w:color="auto" w:sz="4" w:space="0"/>
              <w:right w:val="single" w:color="auto" w:sz="4" w:space="0"/>
            </w:tcBorders>
            <w:vAlign w:val="center"/>
          </w:tcPr>
          <w:p w14:paraId="42748E8F">
            <w:pPr>
              <w:wordWrap w:val="0"/>
              <w:jc w:val="center"/>
            </w:pPr>
            <w:r>
              <w:t>手机</w:t>
            </w:r>
          </w:p>
        </w:tc>
        <w:tc>
          <w:tcPr>
            <w:tcW w:w="2369" w:type="dxa"/>
            <w:tcBorders>
              <w:top w:val="single" w:color="auto" w:sz="4" w:space="0"/>
              <w:left w:val="single" w:color="auto" w:sz="4" w:space="0"/>
              <w:bottom w:val="single" w:color="auto" w:sz="4" w:space="0"/>
              <w:right w:val="single" w:color="auto" w:sz="4" w:space="0"/>
            </w:tcBorders>
            <w:vAlign w:val="center"/>
          </w:tcPr>
          <w:p w14:paraId="0C8DC9C9">
            <w:pPr>
              <w:wordWrap w:val="0"/>
              <w:jc w:val="center"/>
            </w:pPr>
            <w:r>
              <w:rPr>
                <w:rFonts w:hint="eastAsia"/>
              </w:rPr>
              <w:t>19805560176</w:t>
            </w:r>
          </w:p>
        </w:tc>
      </w:tr>
      <w:tr w14:paraId="1EAB5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tcBorders>
              <w:left w:val="single" w:color="auto" w:sz="4" w:space="0"/>
              <w:right w:val="single" w:color="auto" w:sz="4" w:space="0"/>
            </w:tcBorders>
            <w:shd w:val="clear" w:color="auto" w:fill="FFFFFF"/>
            <w:textDirection w:val="tbRlV"/>
            <w:vAlign w:val="center"/>
          </w:tcPr>
          <w:p w14:paraId="563B61AB">
            <w:pPr>
              <w:jc w:val="center"/>
              <w:rPr>
                <w:b/>
                <w:szCs w:val="21"/>
              </w:rPr>
            </w:pPr>
          </w:p>
        </w:tc>
        <w:tc>
          <w:tcPr>
            <w:tcW w:w="1923" w:type="dxa"/>
            <w:tcBorders>
              <w:top w:val="single" w:color="auto" w:sz="4" w:space="0"/>
              <w:left w:val="single" w:color="auto" w:sz="4" w:space="0"/>
              <w:bottom w:val="single" w:color="auto" w:sz="4" w:space="0"/>
              <w:right w:val="single" w:color="auto" w:sz="4" w:space="0"/>
            </w:tcBorders>
            <w:vAlign w:val="center"/>
          </w:tcPr>
          <w:p w14:paraId="3F1EBA68">
            <w:pPr>
              <w:wordWrap w:val="0"/>
              <w:jc w:val="center"/>
            </w:pPr>
            <w:r>
              <w:rPr>
                <w:rFonts w:hint="eastAsia"/>
              </w:rPr>
              <w:t>学院</w:t>
            </w:r>
          </w:p>
        </w:tc>
        <w:tc>
          <w:tcPr>
            <w:tcW w:w="2578" w:type="dxa"/>
            <w:gridSpan w:val="2"/>
            <w:tcBorders>
              <w:top w:val="single" w:color="auto" w:sz="4" w:space="0"/>
              <w:left w:val="single" w:color="auto" w:sz="4" w:space="0"/>
              <w:bottom w:val="single" w:color="auto" w:sz="4" w:space="0"/>
              <w:right w:val="single" w:color="auto" w:sz="4" w:space="0"/>
            </w:tcBorders>
            <w:vAlign w:val="center"/>
          </w:tcPr>
          <w:p w14:paraId="18E20718">
            <w:pPr>
              <w:jc w:val="center"/>
            </w:pPr>
            <w:r>
              <w:rPr>
                <w:rFonts w:hint="eastAsia"/>
              </w:rPr>
              <w:t>法学院</w:t>
            </w:r>
          </w:p>
        </w:tc>
        <w:tc>
          <w:tcPr>
            <w:tcW w:w="1789" w:type="dxa"/>
            <w:tcBorders>
              <w:top w:val="single" w:color="auto" w:sz="4" w:space="0"/>
              <w:left w:val="single" w:color="auto" w:sz="4" w:space="0"/>
              <w:bottom w:val="single" w:color="auto" w:sz="4" w:space="0"/>
              <w:right w:val="single" w:color="auto" w:sz="4" w:space="0"/>
            </w:tcBorders>
            <w:vAlign w:val="center"/>
          </w:tcPr>
          <w:p w14:paraId="3236D8FE">
            <w:pPr>
              <w:jc w:val="center"/>
            </w:pPr>
            <w:r>
              <w:rPr>
                <w:rFonts w:hint="eastAsia"/>
              </w:rPr>
              <w:t>班级</w:t>
            </w:r>
          </w:p>
        </w:tc>
        <w:tc>
          <w:tcPr>
            <w:tcW w:w="2369" w:type="dxa"/>
            <w:tcBorders>
              <w:top w:val="single" w:color="auto" w:sz="4" w:space="0"/>
              <w:left w:val="single" w:color="auto" w:sz="4" w:space="0"/>
              <w:bottom w:val="single" w:color="auto" w:sz="4" w:space="0"/>
              <w:right w:val="single" w:color="auto" w:sz="4" w:space="0"/>
            </w:tcBorders>
            <w:vAlign w:val="center"/>
          </w:tcPr>
          <w:p w14:paraId="7D2F67BB">
            <w:pPr>
              <w:jc w:val="center"/>
            </w:pPr>
            <w:r>
              <w:rPr>
                <w:rFonts w:hint="eastAsia"/>
              </w:rPr>
              <w:t>明德2308</w:t>
            </w:r>
          </w:p>
        </w:tc>
      </w:tr>
      <w:tr w14:paraId="543F0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tcBorders>
              <w:left w:val="single" w:color="auto" w:sz="4" w:space="0"/>
              <w:right w:val="single" w:color="auto" w:sz="4" w:space="0"/>
            </w:tcBorders>
            <w:shd w:val="clear" w:color="auto" w:fill="FFFFFF"/>
            <w:textDirection w:val="tbRlV"/>
            <w:vAlign w:val="center"/>
          </w:tcPr>
          <w:p w14:paraId="2EBC0485">
            <w:pPr>
              <w:jc w:val="center"/>
              <w:rPr>
                <w:b/>
                <w:szCs w:val="21"/>
              </w:rPr>
            </w:pPr>
          </w:p>
        </w:tc>
        <w:tc>
          <w:tcPr>
            <w:tcW w:w="1923" w:type="dxa"/>
            <w:tcBorders>
              <w:top w:val="single" w:color="auto" w:sz="4" w:space="0"/>
              <w:left w:val="single" w:color="auto" w:sz="4" w:space="0"/>
              <w:bottom w:val="single" w:color="auto" w:sz="4" w:space="0"/>
              <w:right w:val="single" w:color="auto" w:sz="4" w:space="0"/>
            </w:tcBorders>
            <w:vAlign w:val="center"/>
          </w:tcPr>
          <w:p w14:paraId="7E062D3E">
            <w:pPr>
              <w:wordWrap w:val="0"/>
              <w:jc w:val="center"/>
            </w:pPr>
            <w:r>
              <w:rPr>
                <w:rFonts w:hint="eastAsia"/>
              </w:rPr>
              <w:t>专业</w:t>
            </w:r>
          </w:p>
        </w:tc>
        <w:tc>
          <w:tcPr>
            <w:tcW w:w="6736" w:type="dxa"/>
            <w:gridSpan w:val="4"/>
            <w:tcBorders>
              <w:top w:val="single" w:color="auto" w:sz="4" w:space="0"/>
              <w:left w:val="single" w:color="auto" w:sz="4" w:space="0"/>
              <w:bottom w:val="single" w:color="auto" w:sz="4" w:space="0"/>
              <w:right w:val="single" w:color="auto" w:sz="4" w:space="0"/>
            </w:tcBorders>
            <w:vAlign w:val="center"/>
          </w:tcPr>
          <w:p w14:paraId="4E0295F0">
            <w:pPr>
              <w:jc w:val="center"/>
            </w:pPr>
            <w:r>
              <w:rPr>
                <w:rFonts w:hint="eastAsia"/>
              </w:rPr>
              <w:t>法学</w:t>
            </w:r>
          </w:p>
        </w:tc>
      </w:tr>
      <w:tr w14:paraId="0596E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tcBorders>
              <w:left w:val="single" w:color="auto" w:sz="4" w:space="0"/>
              <w:right w:val="single" w:color="auto" w:sz="4" w:space="0"/>
            </w:tcBorders>
            <w:shd w:val="clear" w:color="auto" w:fill="FFFFFF"/>
            <w:textDirection w:val="tbRlV"/>
            <w:vAlign w:val="center"/>
          </w:tcPr>
          <w:p w14:paraId="0FF42FE8">
            <w:pPr>
              <w:jc w:val="center"/>
              <w:rPr>
                <w:b/>
                <w:szCs w:val="21"/>
              </w:rPr>
            </w:pPr>
          </w:p>
        </w:tc>
        <w:tc>
          <w:tcPr>
            <w:tcW w:w="1923" w:type="dxa"/>
            <w:tcBorders>
              <w:top w:val="single" w:color="auto" w:sz="4" w:space="0"/>
              <w:left w:val="single" w:color="auto" w:sz="4" w:space="0"/>
              <w:bottom w:val="single" w:color="auto" w:sz="4" w:space="0"/>
              <w:right w:val="single" w:color="auto" w:sz="4" w:space="0"/>
            </w:tcBorders>
            <w:vAlign w:val="center"/>
          </w:tcPr>
          <w:p w14:paraId="25DE82D1">
            <w:pPr>
              <w:wordWrap w:val="0"/>
              <w:jc w:val="center"/>
            </w:pPr>
            <w:r>
              <w:rPr>
                <w:rFonts w:hint="eastAsia"/>
              </w:rPr>
              <w:t>是否属于特殊培养计划</w:t>
            </w:r>
          </w:p>
        </w:tc>
        <w:tc>
          <w:tcPr>
            <w:tcW w:w="6736" w:type="dxa"/>
            <w:gridSpan w:val="4"/>
            <w:tcBorders>
              <w:top w:val="single" w:color="auto" w:sz="4" w:space="0"/>
              <w:left w:val="single" w:color="auto" w:sz="4" w:space="0"/>
              <w:bottom w:val="single" w:color="auto" w:sz="4" w:space="0"/>
              <w:right w:val="single" w:color="auto" w:sz="4" w:space="0"/>
            </w:tcBorders>
            <w:vAlign w:val="center"/>
          </w:tcPr>
          <w:p w14:paraId="644D53DB">
            <w:pPr>
              <w:jc w:val="center"/>
            </w:pPr>
            <w:r>
              <w:rPr>
                <w:rFonts w:hint="eastAsia"/>
              </w:rPr>
              <w:t>□是 名称：</w:t>
            </w:r>
            <w:r>
              <w:rPr>
                <w:rFonts w:hint="eastAsia"/>
                <w:sz w:val="11"/>
                <w:szCs w:val="10"/>
                <w:u w:val="single"/>
              </w:rPr>
              <w:t>（如姚班、拔尖学生培养计划、徐特立学院、“三段式”培养体系等班级、计划、学院等）</w:t>
            </w:r>
            <w:r>
              <w:rPr>
                <w:rFonts w:hint="eastAsia"/>
              </w:rPr>
              <w:t xml:space="preserve"> ☑否</w:t>
            </w:r>
          </w:p>
        </w:tc>
      </w:tr>
      <w:tr w14:paraId="29117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restart"/>
            <w:shd w:val="clear" w:color="auto" w:fill="FFFFFF"/>
            <w:vAlign w:val="center"/>
          </w:tcPr>
          <w:p w14:paraId="083A4BE6">
            <w:pPr>
              <w:jc w:val="center"/>
              <w:rPr>
                <w:b/>
                <w:szCs w:val="21"/>
              </w:rPr>
            </w:pPr>
            <w:r>
              <w:rPr>
                <w:rFonts w:hint="eastAsia"/>
                <w:b/>
                <w:szCs w:val="21"/>
              </w:rPr>
              <w:t>依 托 单 位</w:t>
            </w:r>
          </w:p>
        </w:tc>
        <w:tc>
          <w:tcPr>
            <w:tcW w:w="1923" w:type="dxa"/>
            <w:vAlign w:val="center"/>
          </w:tcPr>
          <w:p w14:paraId="3F7E77F8">
            <w:pPr>
              <w:wordWrap w:val="0"/>
              <w:jc w:val="center"/>
            </w:pPr>
            <w:r>
              <w:t>单位名称</w:t>
            </w:r>
          </w:p>
        </w:tc>
        <w:tc>
          <w:tcPr>
            <w:tcW w:w="2578" w:type="dxa"/>
            <w:gridSpan w:val="2"/>
            <w:vAlign w:val="center"/>
          </w:tcPr>
          <w:p w14:paraId="71CD2E85">
            <w:pPr>
              <w:wordWrap w:val="0"/>
              <w:jc w:val="center"/>
            </w:pPr>
            <w:r>
              <w:rPr>
                <w:rFonts w:hint="eastAsia"/>
              </w:rPr>
              <w:t>北京理工大学</w:t>
            </w:r>
          </w:p>
        </w:tc>
        <w:tc>
          <w:tcPr>
            <w:tcW w:w="1789" w:type="dxa"/>
            <w:vAlign w:val="center"/>
          </w:tcPr>
          <w:p w14:paraId="677EA4D1">
            <w:pPr>
              <w:wordWrap w:val="0"/>
              <w:jc w:val="center"/>
            </w:pPr>
            <w:r>
              <w:t>单位类别</w:t>
            </w:r>
          </w:p>
        </w:tc>
        <w:tc>
          <w:tcPr>
            <w:tcW w:w="2369" w:type="dxa"/>
            <w:vAlign w:val="center"/>
          </w:tcPr>
          <w:p w14:paraId="0085D38D">
            <w:pPr>
              <w:wordWrap w:val="0"/>
              <w:jc w:val="center"/>
            </w:pPr>
            <w:r>
              <w:rPr>
                <w:rFonts w:hint="eastAsia"/>
              </w:rPr>
              <w:t>高等院校</w:t>
            </w:r>
          </w:p>
        </w:tc>
      </w:tr>
      <w:tr w14:paraId="781E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cPr>
          <w:p w14:paraId="1D4504E7">
            <w:pPr>
              <w:jc w:val="center"/>
              <w:rPr>
                <w:b/>
                <w:szCs w:val="21"/>
              </w:rPr>
            </w:pPr>
          </w:p>
        </w:tc>
        <w:tc>
          <w:tcPr>
            <w:tcW w:w="1923" w:type="dxa"/>
            <w:vAlign w:val="center"/>
          </w:tcPr>
          <w:p w14:paraId="7BD9DB75">
            <w:pPr>
              <w:wordWrap w:val="0"/>
              <w:jc w:val="center"/>
            </w:pPr>
            <w:r>
              <w:t>隶属关系</w:t>
            </w:r>
          </w:p>
        </w:tc>
        <w:tc>
          <w:tcPr>
            <w:tcW w:w="2578" w:type="dxa"/>
            <w:gridSpan w:val="2"/>
            <w:vAlign w:val="center"/>
          </w:tcPr>
          <w:p w14:paraId="6FC50F46">
            <w:pPr>
              <w:wordWrap w:val="0"/>
              <w:jc w:val="center"/>
            </w:pPr>
            <w:r>
              <w:rPr>
                <w:rFonts w:hint="eastAsia"/>
              </w:rPr>
              <w:t>中央</w:t>
            </w:r>
          </w:p>
        </w:tc>
        <w:tc>
          <w:tcPr>
            <w:tcW w:w="1789" w:type="dxa"/>
            <w:vAlign w:val="center"/>
          </w:tcPr>
          <w:p w14:paraId="75E7EB16">
            <w:pPr>
              <w:wordWrap w:val="0"/>
              <w:jc w:val="center"/>
            </w:pPr>
            <w:r>
              <w:t>邮政编码</w:t>
            </w:r>
          </w:p>
        </w:tc>
        <w:tc>
          <w:tcPr>
            <w:tcW w:w="2369" w:type="dxa"/>
            <w:vAlign w:val="center"/>
          </w:tcPr>
          <w:p w14:paraId="5D32922B">
            <w:pPr>
              <w:wordWrap w:val="0"/>
              <w:jc w:val="center"/>
            </w:pPr>
            <w:r>
              <w:rPr>
                <w:rFonts w:hint="eastAsia"/>
              </w:rPr>
              <w:t>100081</w:t>
            </w:r>
          </w:p>
        </w:tc>
      </w:tr>
      <w:tr w14:paraId="7A2EB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cPr>
          <w:p w14:paraId="3F739985">
            <w:pPr>
              <w:jc w:val="center"/>
              <w:rPr>
                <w:b/>
                <w:szCs w:val="21"/>
              </w:rPr>
            </w:pPr>
          </w:p>
        </w:tc>
        <w:tc>
          <w:tcPr>
            <w:tcW w:w="1923" w:type="dxa"/>
            <w:vAlign w:val="center"/>
          </w:tcPr>
          <w:p w14:paraId="50D569BE">
            <w:pPr>
              <w:wordWrap w:val="0"/>
              <w:jc w:val="center"/>
            </w:pPr>
            <w:r>
              <w:t>通信地址</w:t>
            </w:r>
          </w:p>
        </w:tc>
        <w:tc>
          <w:tcPr>
            <w:tcW w:w="6736" w:type="dxa"/>
            <w:gridSpan w:val="4"/>
            <w:vAlign w:val="center"/>
          </w:tcPr>
          <w:p w14:paraId="2646837A">
            <w:pPr>
              <w:wordWrap w:val="0"/>
              <w:jc w:val="center"/>
            </w:pPr>
            <w:r>
              <w:rPr>
                <w:rFonts w:hint="eastAsia"/>
              </w:rPr>
              <w:t>北京市海淀区中关村南大街5号</w:t>
            </w:r>
          </w:p>
        </w:tc>
      </w:tr>
      <w:tr w14:paraId="05FF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cPr>
          <w:p w14:paraId="6D2BEF72">
            <w:pPr>
              <w:jc w:val="center"/>
              <w:rPr>
                <w:b/>
                <w:szCs w:val="21"/>
              </w:rPr>
            </w:pPr>
          </w:p>
        </w:tc>
        <w:tc>
          <w:tcPr>
            <w:tcW w:w="1923" w:type="dxa"/>
            <w:vAlign w:val="center"/>
          </w:tcPr>
          <w:p w14:paraId="498DCA58">
            <w:pPr>
              <w:wordWrap w:val="0"/>
              <w:jc w:val="center"/>
            </w:pPr>
            <w:r>
              <w:t>联系人</w:t>
            </w:r>
          </w:p>
        </w:tc>
        <w:tc>
          <w:tcPr>
            <w:tcW w:w="2578" w:type="dxa"/>
            <w:gridSpan w:val="2"/>
            <w:vAlign w:val="center"/>
          </w:tcPr>
          <w:p w14:paraId="5F987B64">
            <w:pPr>
              <w:wordWrap w:val="0"/>
              <w:jc w:val="center"/>
            </w:pPr>
            <w:r>
              <w:rPr>
                <w:rFonts w:hint="eastAsia"/>
              </w:rPr>
              <w:t>王玲玉</w:t>
            </w:r>
          </w:p>
        </w:tc>
        <w:tc>
          <w:tcPr>
            <w:tcW w:w="1789" w:type="dxa"/>
            <w:vAlign w:val="center"/>
          </w:tcPr>
          <w:p w14:paraId="77C29AF8">
            <w:pPr>
              <w:wordWrap w:val="0"/>
              <w:jc w:val="center"/>
            </w:pPr>
            <w:r>
              <w:t>联系电话</w:t>
            </w:r>
          </w:p>
        </w:tc>
        <w:tc>
          <w:tcPr>
            <w:tcW w:w="2369" w:type="dxa"/>
            <w:vAlign w:val="center"/>
          </w:tcPr>
          <w:p w14:paraId="7FC00EA8">
            <w:pPr>
              <w:wordWrap w:val="0"/>
              <w:jc w:val="center"/>
            </w:pPr>
            <w:r>
              <w:rPr>
                <w:rFonts w:hint="eastAsia"/>
              </w:rPr>
              <w:t>010-68913590</w:t>
            </w:r>
          </w:p>
        </w:tc>
      </w:tr>
      <w:tr w14:paraId="55C40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cPr>
          <w:p w14:paraId="2B367864">
            <w:pPr>
              <w:jc w:val="center"/>
              <w:rPr>
                <w:b/>
                <w:szCs w:val="21"/>
              </w:rPr>
            </w:pPr>
          </w:p>
        </w:tc>
        <w:tc>
          <w:tcPr>
            <w:tcW w:w="1923" w:type="dxa"/>
            <w:vAlign w:val="center"/>
          </w:tcPr>
          <w:p w14:paraId="63B56DF1">
            <w:pPr>
              <w:wordWrap w:val="0"/>
              <w:jc w:val="center"/>
            </w:pPr>
            <w:r>
              <w:t>传真</w:t>
            </w:r>
          </w:p>
        </w:tc>
        <w:tc>
          <w:tcPr>
            <w:tcW w:w="2578" w:type="dxa"/>
            <w:gridSpan w:val="2"/>
            <w:vAlign w:val="center"/>
          </w:tcPr>
          <w:p w14:paraId="424799AE">
            <w:pPr>
              <w:wordWrap w:val="0"/>
              <w:jc w:val="center"/>
            </w:pPr>
            <w:r>
              <w:rPr>
                <w:rFonts w:hint="eastAsia"/>
              </w:rPr>
              <w:t>010-68412886</w:t>
            </w:r>
          </w:p>
        </w:tc>
        <w:tc>
          <w:tcPr>
            <w:tcW w:w="1789" w:type="dxa"/>
            <w:vAlign w:val="center"/>
          </w:tcPr>
          <w:p w14:paraId="4FDF8DF7">
            <w:pPr>
              <w:wordWrap w:val="0"/>
              <w:jc w:val="center"/>
            </w:pPr>
            <w:r>
              <w:t>电子邮箱</w:t>
            </w:r>
          </w:p>
        </w:tc>
        <w:tc>
          <w:tcPr>
            <w:tcW w:w="2369" w:type="dxa"/>
            <w:vAlign w:val="center"/>
          </w:tcPr>
          <w:p w14:paraId="4E5609D5">
            <w:pPr>
              <w:wordWrap w:val="0"/>
              <w:jc w:val="center"/>
            </w:pPr>
            <w:r>
              <w:rPr>
                <w:rFonts w:hint="eastAsia"/>
              </w:rPr>
              <w:t>wly319@bit.edu.cn</w:t>
            </w:r>
          </w:p>
        </w:tc>
      </w:tr>
      <w:tr w14:paraId="70F5A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restart"/>
            <w:shd w:val="clear" w:color="auto" w:fill="FFFFFF"/>
            <w:vAlign w:val="center"/>
          </w:tcPr>
          <w:p w14:paraId="5C41BE18">
            <w:pPr>
              <w:jc w:val="center"/>
              <w:rPr>
                <w:b/>
                <w:szCs w:val="21"/>
              </w:rPr>
            </w:pPr>
            <w:r>
              <w:rPr>
                <w:rFonts w:hint="eastAsia"/>
                <w:b/>
                <w:szCs w:val="21"/>
              </w:rPr>
              <w:t>项 目 基 本 信 息</w:t>
            </w:r>
          </w:p>
        </w:tc>
        <w:tc>
          <w:tcPr>
            <w:tcW w:w="1923" w:type="dxa"/>
            <w:vAlign w:val="center"/>
          </w:tcPr>
          <w:p w14:paraId="612679FB">
            <w:pPr>
              <w:wordWrap w:val="0"/>
              <w:jc w:val="center"/>
            </w:pPr>
            <w:r>
              <w:t>项目名称（中文）</w:t>
            </w:r>
          </w:p>
        </w:tc>
        <w:tc>
          <w:tcPr>
            <w:tcW w:w="6736" w:type="dxa"/>
            <w:gridSpan w:val="4"/>
            <w:vAlign w:val="center"/>
          </w:tcPr>
          <w:p w14:paraId="1C22752B">
            <w:pPr>
              <w:wordWrap w:val="0"/>
              <w:jc w:val="center"/>
              <w:rPr>
                <w:highlight w:val="magenta"/>
              </w:rPr>
            </w:pPr>
            <w:r>
              <w:rPr>
                <w:rFonts w:hint="eastAsia" w:ascii="宋体" w:hAnsi="宋体" w:cs="宋体"/>
                <w:sz w:val="24"/>
                <w:szCs w:val="24"/>
              </w:rPr>
              <w:t>基于扩展式博弈建模的多智能体协同模拟法庭系统</w:t>
            </w:r>
          </w:p>
        </w:tc>
      </w:tr>
      <w:tr w14:paraId="11A4A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extDirection w:val="tbRlV"/>
            <w:vAlign w:val="center"/>
          </w:tcPr>
          <w:p w14:paraId="1AA44240">
            <w:pPr>
              <w:jc w:val="center"/>
              <w:rPr>
                <w:b/>
                <w:szCs w:val="21"/>
              </w:rPr>
            </w:pPr>
          </w:p>
        </w:tc>
        <w:tc>
          <w:tcPr>
            <w:tcW w:w="1923" w:type="dxa"/>
            <w:vAlign w:val="center"/>
          </w:tcPr>
          <w:p w14:paraId="2A8E4088">
            <w:pPr>
              <w:wordWrap w:val="0"/>
              <w:jc w:val="center"/>
            </w:pPr>
            <w:r>
              <w:t>项目名称（英文）</w:t>
            </w:r>
          </w:p>
        </w:tc>
        <w:tc>
          <w:tcPr>
            <w:tcW w:w="6736" w:type="dxa"/>
            <w:gridSpan w:val="4"/>
            <w:vAlign w:val="center"/>
          </w:tcPr>
          <w:p w14:paraId="2E4E6C7C">
            <w:pPr>
              <w:jc w:val="center"/>
            </w:pPr>
            <w:r>
              <w:rPr>
                <w:rFonts w:hint="eastAsia"/>
              </w:rPr>
              <w:t>A Multi-Agent Cooperative Simulated Courtroom System Modeled with Extensive-Form Games</w:t>
            </w:r>
          </w:p>
        </w:tc>
      </w:tr>
      <w:tr w14:paraId="5524F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cPr>
          <w:p w14:paraId="754257E0">
            <w:pPr>
              <w:jc w:val="center"/>
              <w:rPr>
                <w:b/>
                <w:szCs w:val="21"/>
              </w:rPr>
            </w:pPr>
          </w:p>
        </w:tc>
        <w:tc>
          <w:tcPr>
            <w:tcW w:w="1923" w:type="dxa"/>
            <w:vAlign w:val="center"/>
          </w:tcPr>
          <w:p w14:paraId="0D3223E4">
            <w:pPr>
              <w:wordWrap w:val="0"/>
              <w:jc w:val="center"/>
            </w:pPr>
            <w:r>
              <w:t>申报学科1（名称）</w:t>
            </w:r>
          </w:p>
        </w:tc>
        <w:tc>
          <w:tcPr>
            <w:tcW w:w="2578" w:type="dxa"/>
            <w:gridSpan w:val="2"/>
            <w:vAlign w:val="center"/>
          </w:tcPr>
          <w:p w14:paraId="57978A83">
            <w:pPr>
              <w:wordWrap w:val="0"/>
              <w:jc w:val="center"/>
              <w:rPr>
                <w:highlight w:val="yellow"/>
              </w:rPr>
            </w:pPr>
            <w:r>
              <w:rPr>
                <w:rFonts w:hint="eastAsia"/>
              </w:rPr>
              <w:t>人工智能</w:t>
            </w:r>
          </w:p>
        </w:tc>
        <w:tc>
          <w:tcPr>
            <w:tcW w:w="1789" w:type="dxa"/>
            <w:vAlign w:val="center"/>
          </w:tcPr>
          <w:p w14:paraId="6BA9B5A1">
            <w:pPr>
              <w:wordWrap w:val="0"/>
              <w:jc w:val="center"/>
            </w:pPr>
            <w:r>
              <w:t>申报学科1（代码）</w:t>
            </w:r>
          </w:p>
        </w:tc>
        <w:tc>
          <w:tcPr>
            <w:tcW w:w="2369" w:type="dxa"/>
            <w:vAlign w:val="center"/>
          </w:tcPr>
          <w:p w14:paraId="68A9CCDC">
            <w:pPr>
              <w:wordWrap w:val="0"/>
              <w:jc w:val="center"/>
            </w:pPr>
            <w:r>
              <w:rPr>
                <w:rFonts w:hint="eastAsia" w:ascii="宋体" w:hAnsi="宋体" w:cs="宋体"/>
                <w:color w:val="000000"/>
                <w:szCs w:val="21"/>
              </w:rPr>
              <w:t>F0610</w:t>
            </w:r>
          </w:p>
        </w:tc>
      </w:tr>
      <w:tr w14:paraId="06144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cPr>
          <w:p w14:paraId="0671501E">
            <w:pPr>
              <w:jc w:val="center"/>
              <w:rPr>
                <w:b/>
                <w:szCs w:val="21"/>
              </w:rPr>
            </w:pPr>
          </w:p>
        </w:tc>
        <w:tc>
          <w:tcPr>
            <w:tcW w:w="1923" w:type="dxa"/>
            <w:vAlign w:val="center"/>
          </w:tcPr>
          <w:p w14:paraId="441B3D94">
            <w:pPr>
              <w:wordWrap w:val="0"/>
              <w:jc w:val="center"/>
            </w:pPr>
            <w:r>
              <w:t>申报学科2（名称）</w:t>
            </w:r>
          </w:p>
        </w:tc>
        <w:tc>
          <w:tcPr>
            <w:tcW w:w="2578" w:type="dxa"/>
            <w:gridSpan w:val="2"/>
            <w:vAlign w:val="center"/>
          </w:tcPr>
          <w:p w14:paraId="641636D2">
            <w:pPr>
              <w:jc w:val="center"/>
            </w:pPr>
            <w:r>
              <w:rPr>
                <w:rFonts w:hint="eastAsia"/>
              </w:rPr>
              <w:t>人工智能</w:t>
            </w:r>
          </w:p>
        </w:tc>
        <w:tc>
          <w:tcPr>
            <w:tcW w:w="1789" w:type="dxa"/>
            <w:vAlign w:val="center"/>
          </w:tcPr>
          <w:p w14:paraId="4342113F">
            <w:pPr>
              <w:wordWrap w:val="0"/>
              <w:jc w:val="center"/>
            </w:pPr>
            <w:r>
              <w:t>申报学科2（代码）</w:t>
            </w:r>
          </w:p>
        </w:tc>
        <w:tc>
          <w:tcPr>
            <w:tcW w:w="2369" w:type="dxa"/>
            <w:vAlign w:val="center"/>
          </w:tcPr>
          <w:p w14:paraId="589C7A7F">
            <w:pPr>
              <w:wordWrap w:val="0"/>
              <w:jc w:val="center"/>
            </w:pPr>
            <w:r>
              <w:rPr>
                <w:rFonts w:hint="eastAsia" w:ascii="宋体" w:hAnsi="宋体" w:cs="宋体"/>
                <w:color w:val="000000"/>
                <w:szCs w:val="21"/>
              </w:rPr>
              <w:t>F0602</w:t>
            </w:r>
          </w:p>
        </w:tc>
      </w:tr>
      <w:tr w14:paraId="588E3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cPr>
          <w:p w14:paraId="53062DDE">
            <w:pPr>
              <w:jc w:val="center"/>
              <w:rPr>
                <w:b/>
                <w:szCs w:val="21"/>
              </w:rPr>
            </w:pPr>
          </w:p>
        </w:tc>
        <w:tc>
          <w:tcPr>
            <w:tcW w:w="1923" w:type="dxa"/>
            <w:vAlign w:val="center"/>
          </w:tcPr>
          <w:p w14:paraId="2F1A79BD">
            <w:pPr>
              <w:wordWrap w:val="0"/>
              <w:jc w:val="center"/>
            </w:pPr>
            <w:r>
              <w:t>起止年月</w:t>
            </w:r>
          </w:p>
        </w:tc>
        <w:tc>
          <w:tcPr>
            <w:tcW w:w="2578" w:type="dxa"/>
            <w:gridSpan w:val="2"/>
            <w:vAlign w:val="center"/>
          </w:tcPr>
          <w:p w14:paraId="25BD0434">
            <w:pPr>
              <w:wordWrap w:val="0"/>
              <w:jc w:val="center"/>
            </w:pPr>
            <w:r>
              <w:rPr>
                <w:rFonts w:hint="eastAsia"/>
              </w:rPr>
              <w:t xml:space="preserve">2026 年 7 月 至 </w:t>
            </w:r>
          </w:p>
          <w:p w14:paraId="5F570FBD">
            <w:pPr>
              <w:wordWrap w:val="0"/>
              <w:jc w:val="center"/>
            </w:pPr>
            <w:r>
              <w:rPr>
                <w:rFonts w:hint="eastAsia"/>
                <w:u w:val="single"/>
              </w:rPr>
              <w:t xml:space="preserve">  2027   </w:t>
            </w:r>
            <w:r>
              <w:rPr>
                <w:rFonts w:hint="eastAsia"/>
              </w:rPr>
              <w:t>年 6 月</w:t>
            </w:r>
          </w:p>
        </w:tc>
        <w:tc>
          <w:tcPr>
            <w:tcW w:w="1789" w:type="dxa"/>
            <w:vAlign w:val="center"/>
          </w:tcPr>
          <w:p w14:paraId="2A039F20">
            <w:pPr>
              <w:wordWrap w:val="0"/>
              <w:jc w:val="center"/>
            </w:pPr>
            <w:r>
              <w:t>申请金额</w:t>
            </w:r>
          </w:p>
        </w:tc>
        <w:tc>
          <w:tcPr>
            <w:tcW w:w="2369" w:type="dxa"/>
            <w:vAlign w:val="center"/>
          </w:tcPr>
          <w:p w14:paraId="67FC63D1">
            <w:pPr>
              <w:wordWrap w:val="0"/>
              <w:jc w:val="center"/>
            </w:pPr>
            <w:r>
              <w:rPr>
                <w:rFonts w:hint="eastAsia"/>
                <w:u w:val="single"/>
              </w:rPr>
              <w:t xml:space="preserve">  5.00  </w:t>
            </w:r>
            <w:r>
              <w:rPr>
                <w:rFonts w:hint="eastAsia"/>
              </w:rPr>
              <w:t xml:space="preserve"> 万</w:t>
            </w:r>
          </w:p>
        </w:tc>
      </w:tr>
      <w:tr w14:paraId="2DDDD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cPr>
          <w:p w14:paraId="62DDC816">
            <w:pPr>
              <w:jc w:val="center"/>
              <w:rPr>
                <w:b/>
                <w:szCs w:val="21"/>
              </w:rPr>
            </w:pPr>
          </w:p>
        </w:tc>
        <w:tc>
          <w:tcPr>
            <w:tcW w:w="1923" w:type="dxa"/>
            <w:vAlign w:val="center"/>
          </w:tcPr>
          <w:p w14:paraId="7151D15A">
            <w:pPr>
              <w:wordWrap w:val="0"/>
              <w:jc w:val="center"/>
            </w:pPr>
            <w:r>
              <w:rPr>
                <w:rFonts w:hint="eastAsia"/>
              </w:rPr>
              <w:t>报审学科组</w:t>
            </w:r>
          </w:p>
        </w:tc>
        <w:tc>
          <w:tcPr>
            <w:tcW w:w="6736" w:type="dxa"/>
            <w:gridSpan w:val="4"/>
            <w:vAlign w:val="center"/>
          </w:tcPr>
          <w:p w14:paraId="6AD94FF8">
            <w:pPr>
              <w:ind w:right="420"/>
              <w:jc w:val="center"/>
            </w:pPr>
            <w:r>
              <w:rPr>
                <w:rFonts w:hint="eastAsia"/>
              </w:rPr>
              <w:t>信息科学</w:t>
            </w:r>
          </w:p>
        </w:tc>
      </w:tr>
      <w:tr w14:paraId="0272A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cPr>
          <w:p w14:paraId="3329423D">
            <w:pPr>
              <w:jc w:val="center"/>
              <w:rPr>
                <w:b/>
                <w:szCs w:val="21"/>
              </w:rPr>
            </w:pPr>
          </w:p>
        </w:tc>
        <w:tc>
          <w:tcPr>
            <w:tcW w:w="1923" w:type="dxa"/>
            <w:vAlign w:val="center"/>
          </w:tcPr>
          <w:p w14:paraId="50DEE0B2">
            <w:pPr>
              <w:wordWrap w:val="0"/>
              <w:jc w:val="center"/>
            </w:pPr>
            <w:r>
              <w:rPr>
                <w:rFonts w:hint="eastAsia"/>
              </w:rPr>
              <w:t>报审亚学科组</w:t>
            </w:r>
          </w:p>
        </w:tc>
        <w:tc>
          <w:tcPr>
            <w:tcW w:w="6736" w:type="dxa"/>
            <w:gridSpan w:val="4"/>
            <w:vAlign w:val="center"/>
          </w:tcPr>
          <w:p w14:paraId="115EF1E5">
            <w:pPr>
              <w:ind w:right="420"/>
              <w:jc w:val="center"/>
            </w:pPr>
            <w:r>
              <w:rPr>
                <w:rFonts w:hint="eastAsia"/>
              </w:rPr>
              <w:t>人工智能</w:t>
            </w:r>
          </w:p>
        </w:tc>
      </w:tr>
      <w:tr w14:paraId="10561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45" w:hRule="atLeast"/>
        </w:trPr>
        <w:tc>
          <w:tcPr>
            <w:tcW w:w="697" w:type="dxa"/>
            <w:vMerge w:val="continue"/>
            <w:shd w:val="clear" w:color="auto" w:fill="FFFFFF"/>
          </w:tcPr>
          <w:p w14:paraId="0292A48B">
            <w:pPr>
              <w:jc w:val="center"/>
              <w:rPr>
                <w:b/>
                <w:szCs w:val="21"/>
              </w:rPr>
            </w:pPr>
          </w:p>
        </w:tc>
        <w:tc>
          <w:tcPr>
            <w:tcW w:w="1923" w:type="dxa"/>
            <w:vAlign w:val="center"/>
          </w:tcPr>
          <w:p w14:paraId="4EBF22F1">
            <w:pPr>
              <w:wordWrap w:val="0"/>
              <w:jc w:val="center"/>
            </w:pPr>
            <w:r>
              <w:rPr>
                <w:rFonts w:hint="eastAsia"/>
              </w:rPr>
              <w:t>所属领域</w:t>
            </w:r>
          </w:p>
        </w:tc>
        <w:tc>
          <w:tcPr>
            <w:tcW w:w="6736" w:type="dxa"/>
            <w:gridSpan w:val="4"/>
            <w:vAlign w:val="center"/>
          </w:tcPr>
          <w:p w14:paraId="15AC5C1A">
            <w:pPr>
              <w:ind w:right="420"/>
              <w:jc w:val="center"/>
            </w:pPr>
            <w:r>
              <w:rPr>
                <w:rFonts w:hint="eastAsia"/>
              </w:rPr>
              <w:t>若干学科交叉融合领域</w:t>
            </w:r>
          </w:p>
        </w:tc>
      </w:tr>
      <w:tr w14:paraId="3AFB9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697" w:type="dxa"/>
            <w:vMerge w:val="continue"/>
            <w:shd w:val="clear" w:color="auto" w:fill="FFFFFF"/>
          </w:tcPr>
          <w:p w14:paraId="52437E29">
            <w:pPr>
              <w:jc w:val="center"/>
              <w:rPr>
                <w:b/>
                <w:szCs w:val="21"/>
              </w:rPr>
            </w:pPr>
          </w:p>
        </w:tc>
        <w:tc>
          <w:tcPr>
            <w:tcW w:w="1923" w:type="dxa"/>
            <w:vAlign w:val="center"/>
          </w:tcPr>
          <w:p w14:paraId="024BC6B0">
            <w:pPr>
              <w:wordWrap w:val="0"/>
              <w:jc w:val="center"/>
            </w:pPr>
            <w:r>
              <w:rPr>
                <w:rFonts w:hint="eastAsia"/>
              </w:rPr>
              <w:t>备注</w:t>
            </w:r>
          </w:p>
        </w:tc>
        <w:tc>
          <w:tcPr>
            <w:tcW w:w="6736" w:type="dxa"/>
            <w:gridSpan w:val="4"/>
            <w:vAlign w:val="center"/>
          </w:tcPr>
          <w:p w14:paraId="3011EE9C">
            <w:pPr>
              <w:ind w:right="420"/>
              <w:jc w:val="center"/>
            </w:pPr>
            <w:r>
              <w:rPr>
                <w:rFonts w:hint="eastAsia"/>
              </w:rPr>
              <w:t>包干制</w:t>
            </w:r>
          </w:p>
        </w:tc>
      </w:tr>
      <w:tr w14:paraId="431DB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trPr>
        <w:tc>
          <w:tcPr>
            <w:tcW w:w="697" w:type="dxa"/>
            <w:vMerge w:val="restart"/>
            <w:shd w:val="clear" w:color="auto" w:fill="FFFFFF"/>
            <w:vAlign w:val="center"/>
          </w:tcPr>
          <w:p w14:paraId="600F2F8C">
            <w:pPr>
              <w:jc w:val="center"/>
              <w:rPr>
                <w:b/>
                <w:szCs w:val="21"/>
              </w:rPr>
            </w:pPr>
            <w:r>
              <w:rPr>
                <w:rFonts w:hint="eastAsia"/>
                <w:b/>
                <w:szCs w:val="21"/>
              </w:rPr>
              <w:t>研 究 内 容</w:t>
            </w:r>
          </w:p>
        </w:tc>
        <w:tc>
          <w:tcPr>
            <w:tcW w:w="1923" w:type="dxa"/>
            <w:vMerge w:val="restart"/>
            <w:shd w:val="clear" w:color="auto" w:fill="FFFFFF"/>
            <w:vAlign w:val="center"/>
          </w:tcPr>
          <w:p w14:paraId="419FE813">
            <w:pPr>
              <w:wordWrap w:val="0"/>
              <w:jc w:val="center"/>
            </w:pPr>
            <w:r>
              <w:t>关键词</w:t>
            </w:r>
          </w:p>
          <w:p w14:paraId="2E96EF0E">
            <w:pPr>
              <w:wordWrap w:val="0"/>
              <w:jc w:val="center"/>
            </w:pPr>
            <w:r>
              <w:t>（≤5个）</w:t>
            </w:r>
          </w:p>
        </w:tc>
        <w:tc>
          <w:tcPr>
            <w:tcW w:w="1633" w:type="dxa"/>
            <w:vMerge w:val="restart"/>
            <w:vAlign w:val="center"/>
          </w:tcPr>
          <w:p w14:paraId="6F5DB0DE">
            <w:pPr>
              <w:wordWrap w:val="0"/>
              <w:jc w:val="center"/>
            </w:pPr>
            <w:r>
              <w:t>中文</w:t>
            </w:r>
          </w:p>
        </w:tc>
        <w:tc>
          <w:tcPr>
            <w:tcW w:w="5103" w:type="dxa"/>
            <w:gridSpan w:val="3"/>
            <w:vAlign w:val="center"/>
          </w:tcPr>
          <w:p w14:paraId="78572B1B">
            <w:pPr>
              <w:wordWrap w:val="0"/>
              <w:jc w:val="center"/>
            </w:pPr>
            <w:r>
              <w:rPr>
                <w:rFonts w:hint="eastAsia"/>
              </w:rPr>
              <w:t>序贯决策</w:t>
            </w:r>
          </w:p>
        </w:tc>
      </w:tr>
      <w:tr w14:paraId="4307D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trPr>
        <w:tc>
          <w:tcPr>
            <w:tcW w:w="697" w:type="dxa"/>
            <w:vMerge w:val="continue"/>
            <w:shd w:val="clear" w:color="auto" w:fill="FFFFFF"/>
            <w:textDirection w:val="tbRlV"/>
            <w:vAlign w:val="center"/>
          </w:tcPr>
          <w:p w14:paraId="65391832">
            <w:pPr>
              <w:wordWrap w:val="0"/>
              <w:ind w:left="113" w:right="113"/>
              <w:jc w:val="center"/>
              <w:rPr>
                <w:b/>
                <w:bCs/>
              </w:rPr>
            </w:pPr>
          </w:p>
        </w:tc>
        <w:tc>
          <w:tcPr>
            <w:tcW w:w="1923" w:type="dxa"/>
            <w:vMerge w:val="continue"/>
            <w:shd w:val="clear" w:color="auto" w:fill="FFFFFF"/>
            <w:vAlign w:val="center"/>
          </w:tcPr>
          <w:p w14:paraId="5A622342">
            <w:pPr>
              <w:wordWrap w:val="0"/>
              <w:jc w:val="center"/>
            </w:pPr>
          </w:p>
        </w:tc>
        <w:tc>
          <w:tcPr>
            <w:tcW w:w="1633" w:type="dxa"/>
            <w:vMerge w:val="continue"/>
            <w:vAlign w:val="center"/>
          </w:tcPr>
          <w:p w14:paraId="01EF86CD">
            <w:pPr>
              <w:wordWrap w:val="0"/>
              <w:jc w:val="center"/>
            </w:pPr>
          </w:p>
        </w:tc>
        <w:tc>
          <w:tcPr>
            <w:tcW w:w="5103" w:type="dxa"/>
            <w:gridSpan w:val="3"/>
            <w:vAlign w:val="center"/>
          </w:tcPr>
          <w:p w14:paraId="5D13288F">
            <w:pPr>
              <w:wordWrap w:val="0"/>
              <w:jc w:val="center"/>
            </w:pPr>
            <w:r>
              <w:t>扩展式博弈</w:t>
            </w:r>
          </w:p>
        </w:tc>
      </w:tr>
      <w:tr w14:paraId="1AB5A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trPr>
        <w:tc>
          <w:tcPr>
            <w:tcW w:w="697" w:type="dxa"/>
            <w:vMerge w:val="continue"/>
            <w:shd w:val="clear" w:color="auto" w:fill="FFFFFF"/>
            <w:textDirection w:val="tbRlV"/>
            <w:vAlign w:val="center"/>
          </w:tcPr>
          <w:p w14:paraId="1EEC135A">
            <w:pPr>
              <w:wordWrap w:val="0"/>
              <w:ind w:left="113" w:right="113"/>
              <w:jc w:val="center"/>
              <w:rPr>
                <w:b/>
                <w:bCs/>
              </w:rPr>
            </w:pPr>
          </w:p>
        </w:tc>
        <w:tc>
          <w:tcPr>
            <w:tcW w:w="1923" w:type="dxa"/>
            <w:vMerge w:val="continue"/>
            <w:shd w:val="clear" w:color="auto" w:fill="FFFFFF"/>
            <w:vAlign w:val="center"/>
          </w:tcPr>
          <w:p w14:paraId="61AF252E">
            <w:pPr>
              <w:wordWrap w:val="0"/>
              <w:jc w:val="center"/>
            </w:pPr>
          </w:p>
        </w:tc>
        <w:tc>
          <w:tcPr>
            <w:tcW w:w="1633" w:type="dxa"/>
            <w:vMerge w:val="continue"/>
            <w:vAlign w:val="center"/>
          </w:tcPr>
          <w:p w14:paraId="17324C7A">
            <w:pPr>
              <w:wordWrap w:val="0"/>
              <w:jc w:val="center"/>
            </w:pPr>
          </w:p>
        </w:tc>
        <w:tc>
          <w:tcPr>
            <w:tcW w:w="5103" w:type="dxa"/>
            <w:gridSpan w:val="3"/>
            <w:vAlign w:val="center"/>
          </w:tcPr>
          <w:p w14:paraId="7FAC93F9">
            <w:pPr>
              <w:wordWrap w:val="0"/>
              <w:jc w:val="center"/>
            </w:pPr>
            <w:r>
              <w:rPr>
                <w:rFonts w:hint="eastAsia"/>
              </w:rPr>
              <w:t>多智能体协同</w:t>
            </w:r>
          </w:p>
        </w:tc>
      </w:tr>
      <w:tr w14:paraId="4D7E2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trPr>
        <w:tc>
          <w:tcPr>
            <w:tcW w:w="697" w:type="dxa"/>
            <w:vMerge w:val="continue"/>
            <w:shd w:val="clear" w:color="auto" w:fill="FFFFFF"/>
            <w:textDirection w:val="tbRlV"/>
            <w:vAlign w:val="center"/>
          </w:tcPr>
          <w:p w14:paraId="45963FB2">
            <w:pPr>
              <w:wordWrap w:val="0"/>
              <w:ind w:left="113" w:right="113"/>
              <w:jc w:val="center"/>
              <w:rPr>
                <w:b/>
                <w:bCs/>
              </w:rPr>
            </w:pPr>
          </w:p>
        </w:tc>
        <w:tc>
          <w:tcPr>
            <w:tcW w:w="1923" w:type="dxa"/>
            <w:vMerge w:val="continue"/>
            <w:shd w:val="clear" w:color="auto" w:fill="FFFFFF"/>
            <w:vAlign w:val="center"/>
          </w:tcPr>
          <w:p w14:paraId="3016781E">
            <w:pPr>
              <w:wordWrap w:val="0"/>
              <w:jc w:val="center"/>
            </w:pPr>
          </w:p>
        </w:tc>
        <w:tc>
          <w:tcPr>
            <w:tcW w:w="1633" w:type="dxa"/>
            <w:vMerge w:val="continue"/>
            <w:vAlign w:val="center"/>
          </w:tcPr>
          <w:p w14:paraId="690AD250">
            <w:pPr>
              <w:wordWrap w:val="0"/>
              <w:jc w:val="center"/>
            </w:pPr>
          </w:p>
        </w:tc>
        <w:tc>
          <w:tcPr>
            <w:tcW w:w="5103" w:type="dxa"/>
            <w:gridSpan w:val="3"/>
            <w:vAlign w:val="center"/>
          </w:tcPr>
          <w:p w14:paraId="5F3348D6">
            <w:pPr>
              <w:wordWrap w:val="0"/>
              <w:jc w:val="center"/>
            </w:pPr>
            <w:r>
              <w:rPr>
                <w:rFonts w:hint="eastAsia"/>
              </w:rPr>
              <w:t>模拟法庭</w:t>
            </w:r>
          </w:p>
        </w:tc>
      </w:tr>
      <w:tr w14:paraId="5F0D4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trPr>
        <w:tc>
          <w:tcPr>
            <w:tcW w:w="697" w:type="dxa"/>
            <w:vMerge w:val="continue"/>
            <w:shd w:val="clear" w:color="auto" w:fill="FFFFFF"/>
            <w:textDirection w:val="tbRlV"/>
            <w:vAlign w:val="center"/>
          </w:tcPr>
          <w:p w14:paraId="7C3764F7">
            <w:pPr>
              <w:wordWrap w:val="0"/>
              <w:ind w:left="113" w:right="113"/>
              <w:jc w:val="center"/>
              <w:rPr>
                <w:b/>
                <w:bCs/>
              </w:rPr>
            </w:pPr>
          </w:p>
        </w:tc>
        <w:tc>
          <w:tcPr>
            <w:tcW w:w="1923" w:type="dxa"/>
            <w:vMerge w:val="continue"/>
            <w:shd w:val="clear" w:color="auto" w:fill="FFFFFF"/>
            <w:vAlign w:val="center"/>
          </w:tcPr>
          <w:p w14:paraId="7429542F">
            <w:pPr>
              <w:wordWrap w:val="0"/>
              <w:jc w:val="center"/>
            </w:pPr>
          </w:p>
        </w:tc>
        <w:tc>
          <w:tcPr>
            <w:tcW w:w="1633" w:type="dxa"/>
            <w:vMerge w:val="continue"/>
            <w:vAlign w:val="center"/>
          </w:tcPr>
          <w:p w14:paraId="708F8409">
            <w:pPr>
              <w:wordWrap w:val="0"/>
              <w:jc w:val="center"/>
            </w:pPr>
          </w:p>
        </w:tc>
        <w:tc>
          <w:tcPr>
            <w:tcW w:w="5103" w:type="dxa"/>
            <w:gridSpan w:val="3"/>
            <w:vAlign w:val="center"/>
          </w:tcPr>
          <w:p w14:paraId="4CC93BF0">
            <w:pPr>
              <w:wordWrap w:val="0"/>
              <w:jc w:val="center"/>
            </w:pPr>
            <w:r>
              <w:rPr>
                <w:rFonts w:hint="eastAsia"/>
              </w:rPr>
              <w:t>演化稳定策略</w:t>
            </w:r>
          </w:p>
        </w:tc>
      </w:tr>
      <w:tr w14:paraId="2DB98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trPr>
        <w:tc>
          <w:tcPr>
            <w:tcW w:w="697" w:type="dxa"/>
            <w:vMerge w:val="continue"/>
            <w:shd w:val="clear" w:color="auto" w:fill="FFFFFF"/>
            <w:textDirection w:val="tbRlV"/>
            <w:vAlign w:val="center"/>
          </w:tcPr>
          <w:p w14:paraId="1C01CB56">
            <w:pPr>
              <w:wordWrap w:val="0"/>
              <w:ind w:left="113" w:right="113"/>
              <w:jc w:val="center"/>
              <w:rPr>
                <w:b/>
                <w:bCs/>
              </w:rPr>
            </w:pPr>
          </w:p>
        </w:tc>
        <w:tc>
          <w:tcPr>
            <w:tcW w:w="1923" w:type="dxa"/>
            <w:vMerge w:val="continue"/>
            <w:shd w:val="clear" w:color="auto" w:fill="FFFFFF"/>
            <w:vAlign w:val="center"/>
          </w:tcPr>
          <w:p w14:paraId="0BE26169">
            <w:pPr>
              <w:wordWrap w:val="0"/>
              <w:jc w:val="center"/>
            </w:pPr>
          </w:p>
        </w:tc>
        <w:tc>
          <w:tcPr>
            <w:tcW w:w="1633" w:type="dxa"/>
            <w:vMerge w:val="restart"/>
            <w:vAlign w:val="center"/>
          </w:tcPr>
          <w:p w14:paraId="06BFB158">
            <w:pPr>
              <w:wordWrap w:val="0"/>
              <w:jc w:val="center"/>
            </w:pPr>
            <w:r>
              <w:t>英文</w:t>
            </w:r>
          </w:p>
        </w:tc>
        <w:tc>
          <w:tcPr>
            <w:tcW w:w="5103" w:type="dxa"/>
            <w:gridSpan w:val="3"/>
            <w:vAlign w:val="center"/>
          </w:tcPr>
          <w:p w14:paraId="0303394A">
            <w:pPr>
              <w:wordWrap w:val="0"/>
              <w:jc w:val="center"/>
            </w:pPr>
            <w:r>
              <w:rPr>
                <w:rFonts w:hint="eastAsia"/>
              </w:rPr>
              <w:t>Sequential Decision-Making</w:t>
            </w:r>
          </w:p>
        </w:tc>
      </w:tr>
      <w:tr w14:paraId="41CE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1" w:hRule="atLeast"/>
        </w:trPr>
        <w:tc>
          <w:tcPr>
            <w:tcW w:w="697" w:type="dxa"/>
            <w:vMerge w:val="continue"/>
            <w:shd w:val="clear" w:color="auto" w:fill="FFFFFF"/>
          </w:tcPr>
          <w:p w14:paraId="419C8F7C">
            <w:pPr>
              <w:wordWrap w:val="0"/>
            </w:pPr>
          </w:p>
        </w:tc>
        <w:tc>
          <w:tcPr>
            <w:tcW w:w="1923" w:type="dxa"/>
            <w:vMerge w:val="continue"/>
            <w:shd w:val="clear" w:color="auto" w:fill="FFFFFF"/>
            <w:vAlign w:val="center"/>
          </w:tcPr>
          <w:p w14:paraId="2E394CC2">
            <w:pPr>
              <w:wordWrap w:val="0"/>
              <w:jc w:val="center"/>
            </w:pPr>
          </w:p>
        </w:tc>
        <w:tc>
          <w:tcPr>
            <w:tcW w:w="1633" w:type="dxa"/>
            <w:vMerge w:val="continue"/>
          </w:tcPr>
          <w:p w14:paraId="6742779B">
            <w:pPr>
              <w:wordWrap w:val="0"/>
            </w:pPr>
          </w:p>
        </w:tc>
        <w:tc>
          <w:tcPr>
            <w:tcW w:w="5103" w:type="dxa"/>
            <w:gridSpan w:val="3"/>
            <w:vAlign w:val="center"/>
          </w:tcPr>
          <w:p w14:paraId="7BF359EF">
            <w:pPr>
              <w:wordWrap w:val="0"/>
              <w:jc w:val="center"/>
            </w:pPr>
            <w:r>
              <w:rPr>
                <w:rFonts w:hint="eastAsia"/>
              </w:rPr>
              <w:t>Extensive-Form Game</w:t>
            </w:r>
          </w:p>
        </w:tc>
      </w:tr>
      <w:tr w14:paraId="26906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9" w:hRule="atLeast"/>
        </w:trPr>
        <w:tc>
          <w:tcPr>
            <w:tcW w:w="697" w:type="dxa"/>
            <w:vMerge w:val="continue"/>
            <w:shd w:val="clear" w:color="auto" w:fill="FFFFFF"/>
          </w:tcPr>
          <w:p w14:paraId="1C42501E">
            <w:pPr>
              <w:wordWrap w:val="0"/>
            </w:pPr>
          </w:p>
        </w:tc>
        <w:tc>
          <w:tcPr>
            <w:tcW w:w="1923" w:type="dxa"/>
            <w:vMerge w:val="continue"/>
            <w:shd w:val="clear" w:color="auto" w:fill="FFFFFF"/>
            <w:vAlign w:val="center"/>
          </w:tcPr>
          <w:p w14:paraId="37085448">
            <w:pPr>
              <w:wordWrap w:val="0"/>
              <w:jc w:val="center"/>
            </w:pPr>
          </w:p>
        </w:tc>
        <w:tc>
          <w:tcPr>
            <w:tcW w:w="1633" w:type="dxa"/>
            <w:vMerge w:val="continue"/>
          </w:tcPr>
          <w:p w14:paraId="55962FA3">
            <w:pPr>
              <w:wordWrap w:val="0"/>
            </w:pPr>
          </w:p>
        </w:tc>
        <w:tc>
          <w:tcPr>
            <w:tcW w:w="5103" w:type="dxa"/>
            <w:gridSpan w:val="3"/>
            <w:vAlign w:val="center"/>
          </w:tcPr>
          <w:p w14:paraId="7DAE661D">
            <w:pPr>
              <w:wordWrap w:val="0"/>
              <w:jc w:val="center"/>
            </w:pPr>
            <w:r>
              <w:rPr>
                <w:rFonts w:hint="eastAsia"/>
              </w:rPr>
              <w:t>Multi-Agent Collaboration</w:t>
            </w:r>
          </w:p>
        </w:tc>
      </w:tr>
      <w:tr w14:paraId="7AFB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7" w:hRule="atLeast"/>
        </w:trPr>
        <w:tc>
          <w:tcPr>
            <w:tcW w:w="697" w:type="dxa"/>
            <w:vMerge w:val="continue"/>
            <w:shd w:val="clear" w:color="auto" w:fill="FFFFFF"/>
          </w:tcPr>
          <w:p w14:paraId="0CF03057">
            <w:pPr>
              <w:wordWrap w:val="0"/>
            </w:pPr>
          </w:p>
        </w:tc>
        <w:tc>
          <w:tcPr>
            <w:tcW w:w="1923" w:type="dxa"/>
            <w:vMerge w:val="continue"/>
            <w:shd w:val="clear" w:color="auto" w:fill="FFFFFF"/>
            <w:vAlign w:val="center"/>
          </w:tcPr>
          <w:p w14:paraId="757B3E63">
            <w:pPr>
              <w:wordWrap w:val="0"/>
              <w:jc w:val="center"/>
            </w:pPr>
          </w:p>
        </w:tc>
        <w:tc>
          <w:tcPr>
            <w:tcW w:w="1633" w:type="dxa"/>
            <w:vMerge w:val="continue"/>
          </w:tcPr>
          <w:p w14:paraId="1415526E">
            <w:pPr>
              <w:wordWrap w:val="0"/>
            </w:pPr>
          </w:p>
        </w:tc>
        <w:tc>
          <w:tcPr>
            <w:tcW w:w="5103" w:type="dxa"/>
            <w:gridSpan w:val="3"/>
            <w:vAlign w:val="center"/>
          </w:tcPr>
          <w:p w14:paraId="1108002F">
            <w:pPr>
              <w:wordWrap w:val="0"/>
              <w:jc w:val="center"/>
            </w:pPr>
            <w:r>
              <w:rPr>
                <w:rFonts w:hint="eastAsia"/>
              </w:rPr>
              <w:t xml:space="preserve">Simulated Courtroom </w:t>
            </w:r>
          </w:p>
        </w:tc>
      </w:tr>
      <w:tr w14:paraId="700D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trPr>
        <w:tc>
          <w:tcPr>
            <w:tcW w:w="697" w:type="dxa"/>
            <w:vMerge w:val="continue"/>
            <w:shd w:val="clear" w:color="auto" w:fill="FFFFFF"/>
          </w:tcPr>
          <w:p w14:paraId="27904FF9">
            <w:pPr>
              <w:wordWrap w:val="0"/>
            </w:pPr>
          </w:p>
        </w:tc>
        <w:tc>
          <w:tcPr>
            <w:tcW w:w="1923" w:type="dxa"/>
            <w:vMerge w:val="continue"/>
            <w:shd w:val="clear" w:color="auto" w:fill="FFFFFF"/>
            <w:vAlign w:val="center"/>
          </w:tcPr>
          <w:p w14:paraId="6658CD1C">
            <w:pPr>
              <w:wordWrap w:val="0"/>
              <w:jc w:val="center"/>
            </w:pPr>
          </w:p>
        </w:tc>
        <w:tc>
          <w:tcPr>
            <w:tcW w:w="1633" w:type="dxa"/>
            <w:vMerge w:val="continue"/>
          </w:tcPr>
          <w:p w14:paraId="77C19A36">
            <w:pPr>
              <w:wordWrap w:val="0"/>
            </w:pPr>
          </w:p>
        </w:tc>
        <w:tc>
          <w:tcPr>
            <w:tcW w:w="5103" w:type="dxa"/>
            <w:gridSpan w:val="3"/>
            <w:vAlign w:val="center"/>
          </w:tcPr>
          <w:p w14:paraId="59461129">
            <w:pPr>
              <w:wordWrap w:val="0"/>
              <w:jc w:val="center"/>
            </w:pPr>
            <w:r>
              <w:rPr>
                <w:rFonts w:hint="eastAsia"/>
              </w:rPr>
              <w:t>Evolutionarily Stable Strategy</w:t>
            </w:r>
          </w:p>
        </w:tc>
      </w:tr>
      <w:tr w14:paraId="241C2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0" w:hRule="atLeast"/>
        </w:trPr>
        <w:tc>
          <w:tcPr>
            <w:tcW w:w="697" w:type="dxa"/>
            <w:vMerge w:val="continue"/>
            <w:shd w:val="clear" w:color="auto" w:fill="FFFFFF"/>
          </w:tcPr>
          <w:p w14:paraId="47B7B5EA">
            <w:pPr>
              <w:wordWrap w:val="0"/>
            </w:pPr>
          </w:p>
        </w:tc>
        <w:tc>
          <w:tcPr>
            <w:tcW w:w="1923" w:type="dxa"/>
            <w:shd w:val="clear" w:color="auto" w:fill="FFFFFF"/>
            <w:vAlign w:val="center"/>
          </w:tcPr>
          <w:p w14:paraId="6DCA9A76">
            <w:pPr>
              <w:wordWrap w:val="0"/>
              <w:jc w:val="center"/>
            </w:pPr>
            <w:r>
              <w:t>摘要</w:t>
            </w:r>
          </w:p>
          <w:p w14:paraId="10949383">
            <w:pPr>
              <w:wordWrap w:val="0"/>
              <w:jc w:val="center"/>
            </w:pPr>
            <w:r>
              <w:t>（限400字）</w:t>
            </w:r>
          </w:p>
        </w:tc>
        <w:tc>
          <w:tcPr>
            <w:tcW w:w="6736" w:type="dxa"/>
            <w:gridSpan w:val="4"/>
          </w:tcPr>
          <w:p w14:paraId="2EEBB8C5">
            <w:pPr>
              <w:wordWrap w:val="0"/>
              <w:ind w:firstLine="420" w:firstLineChars="200"/>
            </w:pPr>
            <w:r>
              <w:rPr>
                <w:rFonts w:hint="eastAsia"/>
              </w:rPr>
              <w:t>针对现有法律AI系统在模拟民事诉讼时忽略序贯决策结构、策略预测精度不足的问题，本研究提出了一种基于扩展式博弈建模的多智能体协同模拟法庭系统。研究将起诉与答辩过程形式化为两阶段序贯博弈，通过反向归纳法求解子博弈精炼纳什均衡，以捕捉策略跨阶段的传导效应。系统构建了包含起诉律师、答辩律师、审判长与当事人模拟器的四角色协同管道，并引入渐进式法条检索增强模块保障程序合规。在实验层面，基于真实裁判文书重构了起诉、答辩、庭审三场景结构化数据集，并设计了策略理性度与均衡趋近率两项规则性评测指标。通过构建经验收益矩阵及双路校验机制，本研究在个体层面验证了序贯建模相对于静态纳什均衡的预测精度优势，在群体层面借助复制者动态方程检验了序贯均衡的演化稳定性。研究旨在为法律AI领域提供一种融合博弈论机制的策略预测方法，并为法学教育及诉讼策略分析提供开源计算实验平台。</w:t>
            </w:r>
          </w:p>
        </w:tc>
      </w:tr>
      <w:tr w14:paraId="466E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98" w:hRule="atLeast"/>
        </w:trPr>
        <w:tc>
          <w:tcPr>
            <w:tcW w:w="2620" w:type="dxa"/>
            <w:gridSpan w:val="2"/>
            <w:shd w:val="clear" w:color="auto" w:fill="FFFFFF"/>
            <w:vAlign w:val="center"/>
          </w:tcPr>
          <w:p w14:paraId="68589008">
            <w:pPr>
              <w:wordWrap w:val="0"/>
              <w:jc w:val="center"/>
            </w:pPr>
            <w:r>
              <w:rPr>
                <w:rFonts w:hint="eastAsia"/>
              </w:rPr>
              <w:t>是否依托研究平台</w:t>
            </w:r>
          </w:p>
        </w:tc>
        <w:tc>
          <w:tcPr>
            <w:tcW w:w="6736" w:type="dxa"/>
            <w:gridSpan w:val="4"/>
            <w:vAlign w:val="center"/>
          </w:tcPr>
          <w:p w14:paraId="289A6703">
            <w:pPr>
              <w:wordWrap w:val="0"/>
              <w:jc w:val="center"/>
            </w:pPr>
            <w:r>
              <w:rPr>
                <w:rFonts w:hint="eastAsia"/>
              </w:rPr>
              <w:t>☑是 名称：</w:t>
            </w:r>
            <w:r>
              <w:rPr>
                <w:rFonts w:hint="eastAsia"/>
                <w:u w:val="single"/>
              </w:rPr>
              <w:t xml:space="preserve">  智能科技风险法律防控工信部重点实验室      </w:t>
            </w:r>
            <w:r>
              <w:rPr>
                <w:rFonts w:hint="eastAsia"/>
              </w:rPr>
              <w:t xml:space="preserve">   □否</w:t>
            </w:r>
          </w:p>
        </w:tc>
      </w:tr>
    </w:tbl>
    <w:p w14:paraId="1EB00CDD">
      <w:pPr>
        <w:wordWrap w:val="0"/>
        <w:sectPr>
          <w:footerReference r:id="rId7" w:type="first"/>
          <w:footerReference r:id="rId5" w:type="default"/>
          <w:footerReference r:id="rId6" w:type="even"/>
          <w:pgSz w:w="11907" w:h="16840"/>
          <w:pgMar w:top="964" w:right="1134" w:bottom="964" w:left="1418" w:header="851" w:footer="737" w:gutter="0"/>
          <w:pgNumType w:fmt="numberInDash" w:start="1"/>
          <w:cols w:space="720" w:num="1"/>
          <w:docGrid w:linePitch="286" w:charSpace="0"/>
        </w:sectPr>
      </w:pPr>
    </w:p>
    <w:p w14:paraId="62EA2F1C">
      <w:pPr>
        <w:wordWrap w:val="0"/>
        <w:spacing w:line="360" w:lineRule="auto"/>
        <w:outlineLvl w:val="0"/>
        <w:rPr>
          <w:rFonts w:eastAsia="黑体"/>
          <w:b/>
          <w:sz w:val="32"/>
        </w:rPr>
      </w:pPr>
      <w:r>
        <w:rPr>
          <w:rFonts w:eastAsia="黑体"/>
          <w:b/>
          <w:sz w:val="32"/>
        </w:rPr>
        <w:t>二、研究项目组主要成员概况 （含申请者</w:t>
      </w:r>
      <w:r>
        <w:rPr>
          <w:rFonts w:hint="eastAsia" w:eastAsia="黑体"/>
          <w:b/>
          <w:sz w:val="32"/>
        </w:rPr>
        <w:t>和项目导师</w:t>
      </w:r>
      <w:r>
        <w:rPr>
          <w:rFonts w:eastAsia="黑体"/>
          <w:b/>
          <w:sz w:val="32"/>
        </w:rPr>
        <w:t>）</w:t>
      </w:r>
    </w:p>
    <w:p w14:paraId="4D1E212F">
      <w:pPr>
        <w:spacing w:line="360" w:lineRule="auto"/>
        <w:outlineLvl w:val="0"/>
        <w:rPr>
          <w:rFonts w:eastAsia="黑体"/>
          <w:b/>
          <w:sz w:val="32"/>
        </w:rPr>
      </w:pPr>
      <w:r>
        <w:rPr>
          <w:rFonts w:hint="eastAsia" w:ascii="宋体" w:hAnsi="宋体"/>
          <w:sz w:val="32"/>
          <w:szCs w:val="32"/>
        </w:rPr>
        <w:t>（一）</w:t>
      </w:r>
      <w:r>
        <w:rPr>
          <w:rFonts w:hint="eastAsia" w:ascii="宋体" w:hAnsi="宋体"/>
          <w:color w:val="000000"/>
          <w:sz w:val="32"/>
          <w:szCs w:val="32"/>
        </w:rPr>
        <w:t>项目导师</w:t>
      </w:r>
      <w:r>
        <w:rPr>
          <w:rFonts w:hint="eastAsia" w:ascii="宋体" w:hAnsi="宋体"/>
          <w:color w:val="FF0000"/>
          <w:sz w:val="32"/>
          <w:szCs w:val="32"/>
        </w:rPr>
        <w:t>（限填1人）</w:t>
      </w:r>
    </w:p>
    <w:tbl>
      <w:tblPr>
        <w:tblStyle w:val="13"/>
        <w:tblW w:w="14325"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0" w:type="dxa"/>
          <w:bottom w:w="0" w:type="dxa"/>
          <w:right w:w="0" w:type="dxa"/>
        </w:tblCellMar>
      </w:tblPr>
      <w:tblGrid>
        <w:gridCol w:w="575"/>
        <w:gridCol w:w="1276"/>
        <w:gridCol w:w="1701"/>
        <w:gridCol w:w="992"/>
        <w:gridCol w:w="993"/>
        <w:gridCol w:w="2126"/>
        <w:gridCol w:w="1559"/>
        <w:gridCol w:w="851"/>
        <w:gridCol w:w="2693"/>
        <w:gridCol w:w="1559"/>
      </w:tblGrid>
      <w:tr w14:paraId="488D43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567" w:hRule="atLeast"/>
        </w:trPr>
        <w:tc>
          <w:tcPr>
            <w:tcW w:w="575" w:type="dxa"/>
            <w:vAlign w:val="center"/>
          </w:tcPr>
          <w:p w14:paraId="17EBE404">
            <w:pPr>
              <w:wordWrap w:val="0"/>
              <w:adjustRightInd/>
              <w:spacing w:line="240" w:lineRule="auto"/>
              <w:jc w:val="center"/>
              <w:rPr>
                <w:szCs w:val="21"/>
              </w:rPr>
            </w:pPr>
            <w:r>
              <w:rPr>
                <w:szCs w:val="21"/>
              </w:rPr>
              <w:t>序号</w:t>
            </w:r>
          </w:p>
        </w:tc>
        <w:tc>
          <w:tcPr>
            <w:tcW w:w="1276" w:type="dxa"/>
            <w:vAlign w:val="center"/>
          </w:tcPr>
          <w:p w14:paraId="4F971C0F">
            <w:pPr>
              <w:wordWrap w:val="0"/>
              <w:adjustRightInd/>
              <w:spacing w:line="240" w:lineRule="auto"/>
              <w:jc w:val="center"/>
              <w:rPr>
                <w:szCs w:val="21"/>
              </w:rPr>
            </w:pPr>
            <w:r>
              <w:rPr>
                <w:szCs w:val="21"/>
              </w:rPr>
              <w:t>姓名</w:t>
            </w:r>
          </w:p>
        </w:tc>
        <w:tc>
          <w:tcPr>
            <w:tcW w:w="1701" w:type="dxa"/>
            <w:vAlign w:val="center"/>
          </w:tcPr>
          <w:p w14:paraId="731C4489">
            <w:pPr>
              <w:wordWrap w:val="0"/>
              <w:adjustRightInd/>
              <w:spacing w:line="240" w:lineRule="auto"/>
              <w:jc w:val="center"/>
              <w:rPr>
                <w:szCs w:val="21"/>
              </w:rPr>
            </w:pPr>
            <w:r>
              <w:rPr>
                <w:szCs w:val="21"/>
              </w:rPr>
              <w:t>出生</w:t>
            </w:r>
            <w:r>
              <w:rPr>
                <w:rFonts w:hint="eastAsia"/>
                <w:szCs w:val="21"/>
              </w:rPr>
              <w:t>日期</w:t>
            </w:r>
          </w:p>
        </w:tc>
        <w:tc>
          <w:tcPr>
            <w:tcW w:w="992" w:type="dxa"/>
            <w:vAlign w:val="center"/>
          </w:tcPr>
          <w:p w14:paraId="1E7E3ADA">
            <w:pPr>
              <w:wordWrap w:val="0"/>
              <w:adjustRightInd/>
              <w:spacing w:line="240" w:lineRule="auto"/>
              <w:jc w:val="center"/>
              <w:rPr>
                <w:szCs w:val="21"/>
              </w:rPr>
            </w:pPr>
            <w:r>
              <w:t>专业技术</w:t>
            </w:r>
            <w:r>
              <w:rPr>
                <w:rFonts w:hint="eastAsia"/>
              </w:rPr>
              <w:t>职务（</w:t>
            </w:r>
            <w:r>
              <w:t>职称</w:t>
            </w:r>
            <w:r>
              <w:rPr>
                <w:rFonts w:hint="eastAsia"/>
              </w:rPr>
              <w:t>）</w:t>
            </w:r>
          </w:p>
        </w:tc>
        <w:tc>
          <w:tcPr>
            <w:tcW w:w="993" w:type="dxa"/>
            <w:vAlign w:val="center"/>
          </w:tcPr>
          <w:p w14:paraId="6BA47311">
            <w:pPr>
              <w:wordWrap w:val="0"/>
              <w:adjustRightInd/>
              <w:spacing w:line="240" w:lineRule="auto"/>
              <w:jc w:val="center"/>
              <w:rPr>
                <w:szCs w:val="21"/>
              </w:rPr>
            </w:pPr>
            <w:r>
              <w:rPr>
                <w:szCs w:val="21"/>
              </w:rPr>
              <w:t>最高</w:t>
            </w:r>
          </w:p>
          <w:p w14:paraId="1EDF4405">
            <w:pPr>
              <w:wordWrap w:val="0"/>
              <w:adjustRightInd/>
              <w:spacing w:line="240" w:lineRule="auto"/>
              <w:jc w:val="center"/>
              <w:rPr>
                <w:szCs w:val="21"/>
              </w:rPr>
            </w:pPr>
            <w:r>
              <w:rPr>
                <w:szCs w:val="21"/>
              </w:rPr>
              <w:t>学位</w:t>
            </w:r>
          </w:p>
        </w:tc>
        <w:tc>
          <w:tcPr>
            <w:tcW w:w="2126" w:type="dxa"/>
            <w:vAlign w:val="center"/>
          </w:tcPr>
          <w:p w14:paraId="76413C92">
            <w:pPr>
              <w:wordWrap w:val="0"/>
              <w:adjustRightInd/>
              <w:spacing w:line="240" w:lineRule="auto"/>
              <w:jc w:val="center"/>
              <w:rPr>
                <w:szCs w:val="21"/>
              </w:rPr>
            </w:pPr>
            <w:r>
              <w:rPr>
                <w:szCs w:val="21"/>
              </w:rPr>
              <w:t>专业</w:t>
            </w:r>
          </w:p>
        </w:tc>
        <w:tc>
          <w:tcPr>
            <w:tcW w:w="1559" w:type="dxa"/>
            <w:vAlign w:val="center"/>
          </w:tcPr>
          <w:p w14:paraId="3FBD9531">
            <w:pPr>
              <w:wordWrap w:val="0"/>
              <w:adjustRightInd/>
              <w:spacing w:line="240" w:lineRule="auto"/>
              <w:jc w:val="center"/>
              <w:rPr>
                <w:szCs w:val="21"/>
              </w:rPr>
            </w:pPr>
            <w:r>
              <w:rPr>
                <w:szCs w:val="21"/>
              </w:rPr>
              <w:t>项目分工</w:t>
            </w:r>
          </w:p>
        </w:tc>
        <w:tc>
          <w:tcPr>
            <w:tcW w:w="851" w:type="dxa"/>
            <w:vAlign w:val="center"/>
          </w:tcPr>
          <w:p w14:paraId="67113EDB">
            <w:pPr>
              <w:wordWrap w:val="0"/>
              <w:adjustRightInd/>
              <w:spacing w:line="240" w:lineRule="auto"/>
              <w:jc w:val="center"/>
              <w:rPr>
                <w:szCs w:val="21"/>
              </w:rPr>
            </w:pPr>
            <w:r>
              <w:rPr>
                <w:rFonts w:hint="eastAsia"/>
                <w:szCs w:val="21"/>
              </w:rPr>
              <w:t>年</w:t>
            </w:r>
            <w:r>
              <w:rPr>
                <w:szCs w:val="21"/>
              </w:rPr>
              <w:t>工作月数</w:t>
            </w:r>
          </w:p>
        </w:tc>
        <w:tc>
          <w:tcPr>
            <w:tcW w:w="2693" w:type="dxa"/>
            <w:vAlign w:val="center"/>
          </w:tcPr>
          <w:p w14:paraId="1BA55165">
            <w:pPr>
              <w:wordWrap w:val="0"/>
              <w:adjustRightInd/>
              <w:spacing w:line="240" w:lineRule="auto"/>
              <w:jc w:val="center"/>
              <w:rPr>
                <w:szCs w:val="21"/>
              </w:rPr>
            </w:pPr>
            <w:r>
              <w:rPr>
                <w:szCs w:val="21"/>
              </w:rPr>
              <w:t>工作单位</w:t>
            </w:r>
          </w:p>
        </w:tc>
        <w:tc>
          <w:tcPr>
            <w:tcW w:w="1559" w:type="dxa"/>
            <w:vAlign w:val="center"/>
          </w:tcPr>
          <w:p w14:paraId="30305081">
            <w:pPr>
              <w:wordWrap w:val="0"/>
              <w:adjustRightInd/>
              <w:spacing w:line="240" w:lineRule="auto"/>
              <w:jc w:val="center"/>
              <w:rPr>
                <w:szCs w:val="21"/>
              </w:rPr>
            </w:pPr>
            <w:r>
              <w:rPr>
                <w:szCs w:val="21"/>
              </w:rPr>
              <w:t>签字</w:t>
            </w:r>
          </w:p>
        </w:tc>
      </w:tr>
      <w:tr w14:paraId="0B6C680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567" w:hRule="atLeast"/>
        </w:trPr>
        <w:tc>
          <w:tcPr>
            <w:tcW w:w="575" w:type="dxa"/>
            <w:vAlign w:val="center"/>
          </w:tcPr>
          <w:p w14:paraId="6E5AA92C">
            <w:pPr>
              <w:wordWrap w:val="0"/>
              <w:adjustRightInd/>
              <w:spacing w:line="240" w:lineRule="auto"/>
              <w:jc w:val="center"/>
              <w:rPr>
                <w:rFonts w:hint="eastAsia" w:ascii="宋体" w:hAnsi="宋体"/>
                <w:szCs w:val="21"/>
              </w:rPr>
            </w:pPr>
            <w:r>
              <w:rPr>
                <w:rFonts w:hint="eastAsia" w:ascii="宋体" w:hAnsi="宋体"/>
                <w:b/>
                <w:szCs w:val="21"/>
              </w:rPr>
              <w:t>1</w:t>
            </w:r>
          </w:p>
        </w:tc>
        <w:tc>
          <w:tcPr>
            <w:tcW w:w="1276" w:type="dxa"/>
            <w:vAlign w:val="center"/>
          </w:tcPr>
          <w:p w14:paraId="2718E789">
            <w:pPr>
              <w:wordWrap w:val="0"/>
              <w:adjustRightInd/>
              <w:spacing w:line="240" w:lineRule="auto"/>
              <w:jc w:val="center"/>
              <w:rPr>
                <w:szCs w:val="21"/>
              </w:rPr>
            </w:pPr>
            <w:r>
              <w:rPr>
                <w:rFonts w:hint="eastAsia"/>
                <w:szCs w:val="21"/>
              </w:rPr>
              <w:t>周振杰</w:t>
            </w:r>
          </w:p>
        </w:tc>
        <w:tc>
          <w:tcPr>
            <w:tcW w:w="1701" w:type="dxa"/>
            <w:vAlign w:val="center"/>
          </w:tcPr>
          <w:p w14:paraId="017731A3">
            <w:pPr>
              <w:wordWrap w:val="0"/>
              <w:adjustRightInd/>
              <w:spacing w:line="240" w:lineRule="auto"/>
              <w:jc w:val="center"/>
              <w:rPr>
                <w:szCs w:val="21"/>
              </w:rPr>
            </w:pPr>
            <w:r>
              <w:rPr>
                <w:rFonts w:hint="eastAsia"/>
                <w:szCs w:val="21"/>
              </w:rPr>
              <w:t>1976年06月11日</w:t>
            </w:r>
          </w:p>
        </w:tc>
        <w:tc>
          <w:tcPr>
            <w:tcW w:w="992" w:type="dxa"/>
            <w:vAlign w:val="center"/>
          </w:tcPr>
          <w:p w14:paraId="54B7FCE6">
            <w:pPr>
              <w:wordWrap w:val="0"/>
              <w:adjustRightInd/>
              <w:spacing w:line="240" w:lineRule="auto"/>
              <w:jc w:val="center"/>
              <w:rPr>
                <w:szCs w:val="21"/>
              </w:rPr>
            </w:pPr>
            <w:r>
              <w:rPr>
                <w:rFonts w:hint="eastAsia"/>
                <w:szCs w:val="21"/>
              </w:rPr>
              <w:t>教授</w:t>
            </w:r>
          </w:p>
        </w:tc>
        <w:tc>
          <w:tcPr>
            <w:tcW w:w="993" w:type="dxa"/>
            <w:vAlign w:val="center"/>
          </w:tcPr>
          <w:p w14:paraId="316DF6B9">
            <w:pPr>
              <w:wordWrap w:val="0"/>
              <w:adjustRightInd/>
              <w:spacing w:line="240" w:lineRule="auto"/>
              <w:jc w:val="center"/>
              <w:rPr>
                <w:szCs w:val="21"/>
              </w:rPr>
            </w:pPr>
            <w:r>
              <w:rPr>
                <w:rFonts w:hint="eastAsia"/>
                <w:szCs w:val="21"/>
              </w:rPr>
              <w:t>博士</w:t>
            </w:r>
          </w:p>
        </w:tc>
        <w:tc>
          <w:tcPr>
            <w:tcW w:w="2126" w:type="dxa"/>
            <w:vAlign w:val="center"/>
          </w:tcPr>
          <w:p w14:paraId="629EDD1D">
            <w:pPr>
              <w:wordWrap w:val="0"/>
              <w:adjustRightInd/>
              <w:spacing w:line="240" w:lineRule="auto"/>
              <w:jc w:val="center"/>
              <w:rPr>
                <w:szCs w:val="21"/>
              </w:rPr>
            </w:pPr>
            <w:r>
              <w:rPr>
                <w:rFonts w:hint="eastAsia"/>
                <w:szCs w:val="21"/>
              </w:rPr>
              <w:t>法学</w:t>
            </w:r>
          </w:p>
        </w:tc>
        <w:tc>
          <w:tcPr>
            <w:tcW w:w="1559" w:type="dxa"/>
            <w:vAlign w:val="center"/>
          </w:tcPr>
          <w:p w14:paraId="03958D70">
            <w:pPr>
              <w:wordWrap w:val="0"/>
              <w:adjustRightInd/>
              <w:spacing w:line="240" w:lineRule="auto"/>
              <w:jc w:val="center"/>
              <w:rPr>
                <w:szCs w:val="21"/>
              </w:rPr>
            </w:pPr>
            <w:r>
              <w:rPr>
                <w:rFonts w:hint="eastAsia"/>
                <w:szCs w:val="21"/>
              </w:rPr>
              <w:t>指导老师</w:t>
            </w:r>
          </w:p>
        </w:tc>
        <w:tc>
          <w:tcPr>
            <w:tcW w:w="851" w:type="dxa"/>
            <w:vAlign w:val="center"/>
          </w:tcPr>
          <w:p w14:paraId="1B5FA462">
            <w:pPr>
              <w:wordWrap w:val="0"/>
              <w:adjustRightInd/>
              <w:spacing w:line="240" w:lineRule="auto"/>
              <w:jc w:val="center"/>
              <w:rPr>
                <w:szCs w:val="21"/>
              </w:rPr>
            </w:pPr>
            <w:r>
              <w:rPr>
                <w:rFonts w:hint="eastAsia"/>
                <w:szCs w:val="21"/>
              </w:rPr>
              <w:t>12个月</w:t>
            </w:r>
          </w:p>
        </w:tc>
        <w:tc>
          <w:tcPr>
            <w:tcW w:w="2693" w:type="dxa"/>
            <w:vAlign w:val="center"/>
          </w:tcPr>
          <w:p w14:paraId="3F31FAE6">
            <w:pPr>
              <w:wordWrap w:val="0"/>
              <w:adjustRightInd/>
              <w:spacing w:line="240" w:lineRule="auto"/>
              <w:jc w:val="center"/>
              <w:rPr>
                <w:szCs w:val="21"/>
              </w:rPr>
            </w:pPr>
            <w:r>
              <w:rPr>
                <w:rFonts w:hint="eastAsia"/>
                <w:szCs w:val="21"/>
              </w:rPr>
              <w:t>北京理工大学</w:t>
            </w:r>
          </w:p>
        </w:tc>
        <w:tc>
          <w:tcPr>
            <w:tcW w:w="1559" w:type="dxa"/>
            <w:vAlign w:val="center"/>
          </w:tcPr>
          <w:p w14:paraId="7B732557">
            <w:pPr>
              <w:wordWrap w:val="0"/>
              <w:adjustRightInd/>
              <w:spacing w:line="240" w:lineRule="auto"/>
              <w:jc w:val="center"/>
              <w:rPr>
                <w:rFonts w:hint="eastAsia" w:ascii="宋体" w:hAnsi="宋体"/>
                <w:spacing w:val="-20"/>
                <w:szCs w:val="21"/>
              </w:rPr>
            </w:pPr>
            <w:r>
              <w:rPr>
                <w:rFonts w:ascii="宋体" w:hAnsi="宋体"/>
                <w:spacing w:val="-20"/>
                <w:szCs w:val="21"/>
              </w:rPr>
              <w:drawing>
                <wp:inline distT="0" distB="0" distL="114300" distR="114300">
                  <wp:extent cx="977900" cy="441325"/>
                  <wp:effectExtent l="0" t="0" r="0" b="0"/>
                  <wp:docPr id="2" name="图片 1" descr="c8fc6db83e5d0fefd424a98733f5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c8fc6db83e5d0fefd424a98733f53c4"/>
                          <pic:cNvPicPr>
                            <a:picLocks noChangeAspect="1"/>
                          </pic:cNvPicPr>
                        </pic:nvPicPr>
                        <pic:blipFill>
                          <a:blip r:embed="rId9"/>
                          <a:stretch>
                            <a:fillRect/>
                          </a:stretch>
                        </pic:blipFill>
                        <pic:spPr>
                          <a:xfrm>
                            <a:off x="0" y="0"/>
                            <a:ext cx="977900" cy="441325"/>
                          </a:xfrm>
                          <a:prstGeom prst="rect">
                            <a:avLst/>
                          </a:prstGeom>
                          <a:noFill/>
                          <a:ln>
                            <a:noFill/>
                          </a:ln>
                        </pic:spPr>
                      </pic:pic>
                    </a:graphicData>
                  </a:graphic>
                </wp:inline>
              </w:drawing>
            </w:r>
          </w:p>
        </w:tc>
      </w:tr>
    </w:tbl>
    <w:p w14:paraId="58DEA955">
      <w:pPr>
        <w:spacing w:line="360" w:lineRule="auto"/>
        <w:outlineLvl w:val="0"/>
        <w:rPr>
          <w:rFonts w:hint="eastAsia" w:ascii="宋体" w:hAnsi="宋体"/>
          <w:color w:val="000000"/>
          <w:sz w:val="32"/>
          <w:szCs w:val="32"/>
        </w:rPr>
      </w:pPr>
    </w:p>
    <w:p w14:paraId="7112F9D8">
      <w:pPr>
        <w:spacing w:line="360" w:lineRule="auto"/>
        <w:outlineLvl w:val="0"/>
        <w:rPr>
          <w:rFonts w:hint="eastAsia" w:ascii="宋体" w:hAnsi="宋体"/>
          <w:color w:val="000000"/>
          <w:sz w:val="32"/>
          <w:szCs w:val="32"/>
        </w:rPr>
      </w:pPr>
      <w:r>
        <w:rPr>
          <w:rFonts w:hint="eastAsia" w:ascii="宋体" w:hAnsi="宋体"/>
          <w:color w:val="000000"/>
          <w:sz w:val="32"/>
          <w:szCs w:val="32"/>
        </w:rPr>
        <w:t>（二）研究项目组成员（含负责人，可自行添加行）</w:t>
      </w:r>
    </w:p>
    <w:tbl>
      <w:tblPr>
        <w:tblStyle w:val="13"/>
        <w:tblW w:w="14340"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0" w:type="dxa"/>
          <w:bottom w:w="0" w:type="dxa"/>
          <w:right w:w="0" w:type="dxa"/>
        </w:tblCellMar>
      </w:tblPr>
      <w:tblGrid>
        <w:gridCol w:w="575"/>
        <w:gridCol w:w="1281"/>
        <w:gridCol w:w="1980"/>
        <w:gridCol w:w="2409"/>
        <w:gridCol w:w="2525"/>
        <w:gridCol w:w="1323"/>
        <w:gridCol w:w="2700"/>
        <w:gridCol w:w="1547"/>
      </w:tblGrid>
      <w:tr w14:paraId="001283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567" w:hRule="atLeast"/>
        </w:trPr>
        <w:tc>
          <w:tcPr>
            <w:tcW w:w="575" w:type="dxa"/>
            <w:vAlign w:val="center"/>
          </w:tcPr>
          <w:p w14:paraId="0007B6C1">
            <w:pPr>
              <w:wordWrap w:val="0"/>
              <w:adjustRightInd/>
              <w:spacing w:line="240" w:lineRule="auto"/>
              <w:jc w:val="center"/>
              <w:rPr>
                <w:szCs w:val="21"/>
              </w:rPr>
            </w:pPr>
            <w:r>
              <w:rPr>
                <w:szCs w:val="21"/>
              </w:rPr>
              <w:t>序号</w:t>
            </w:r>
          </w:p>
        </w:tc>
        <w:tc>
          <w:tcPr>
            <w:tcW w:w="1281" w:type="dxa"/>
            <w:vAlign w:val="center"/>
          </w:tcPr>
          <w:p w14:paraId="42FAB127">
            <w:pPr>
              <w:wordWrap w:val="0"/>
              <w:adjustRightInd/>
              <w:spacing w:line="240" w:lineRule="auto"/>
              <w:jc w:val="center"/>
              <w:rPr>
                <w:szCs w:val="21"/>
              </w:rPr>
            </w:pPr>
            <w:r>
              <w:rPr>
                <w:szCs w:val="21"/>
              </w:rPr>
              <w:t>姓名</w:t>
            </w:r>
          </w:p>
        </w:tc>
        <w:tc>
          <w:tcPr>
            <w:tcW w:w="1980" w:type="dxa"/>
            <w:vAlign w:val="center"/>
          </w:tcPr>
          <w:p w14:paraId="266AF100">
            <w:pPr>
              <w:wordWrap w:val="0"/>
              <w:adjustRightInd/>
              <w:spacing w:line="240" w:lineRule="auto"/>
              <w:jc w:val="center"/>
              <w:rPr>
                <w:szCs w:val="21"/>
              </w:rPr>
            </w:pPr>
            <w:r>
              <w:rPr>
                <w:szCs w:val="21"/>
              </w:rPr>
              <w:t>出生</w:t>
            </w:r>
            <w:r>
              <w:rPr>
                <w:rFonts w:hint="eastAsia"/>
                <w:szCs w:val="21"/>
              </w:rPr>
              <w:t>日期</w:t>
            </w:r>
          </w:p>
        </w:tc>
        <w:tc>
          <w:tcPr>
            <w:tcW w:w="2409" w:type="dxa"/>
            <w:vAlign w:val="center"/>
          </w:tcPr>
          <w:p w14:paraId="6FAC4737">
            <w:pPr>
              <w:wordWrap w:val="0"/>
              <w:adjustRightInd/>
              <w:spacing w:line="240" w:lineRule="auto"/>
              <w:jc w:val="center"/>
              <w:rPr>
                <w:szCs w:val="21"/>
              </w:rPr>
            </w:pPr>
            <w:r>
              <w:rPr>
                <w:szCs w:val="21"/>
              </w:rPr>
              <w:t>专业</w:t>
            </w:r>
          </w:p>
        </w:tc>
        <w:tc>
          <w:tcPr>
            <w:tcW w:w="2525" w:type="dxa"/>
            <w:vAlign w:val="center"/>
          </w:tcPr>
          <w:p w14:paraId="3F350E5A">
            <w:pPr>
              <w:wordWrap w:val="0"/>
              <w:adjustRightInd/>
              <w:spacing w:line="240" w:lineRule="auto"/>
              <w:jc w:val="center"/>
              <w:rPr>
                <w:szCs w:val="21"/>
              </w:rPr>
            </w:pPr>
            <w:r>
              <w:rPr>
                <w:szCs w:val="21"/>
              </w:rPr>
              <w:t>项目分工</w:t>
            </w:r>
          </w:p>
        </w:tc>
        <w:tc>
          <w:tcPr>
            <w:tcW w:w="1323" w:type="dxa"/>
            <w:vAlign w:val="center"/>
          </w:tcPr>
          <w:p w14:paraId="717478D2">
            <w:pPr>
              <w:wordWrap w:val="0"/>
              <w:adjustRightInd/>
              <w:spacing w:line="240" w:lineRule="auto"/>
              <w:jc w:val="center"/>
              <w:rPr>
                <w:szCs w:val="21"/>
              </w:rPr>
            </w:pPr>
            <w:r>
              <w:rPr>
                <w:rFonts w:hint="eastAsia"/>
                <w:szCs w:val="21"/>
              </w:rPr>
              <w:t>年</w:t>
            </w:r>
            <w:r>
              <w:rPr>
                <w:szCs w:val="21"/>
              </w:rPr>
              <w:t>工作月数</w:t>
            </w:r>
          </w:p>
        </w:tc>
        <w:tc>
          <w:tcPr>
            <w:tcW w:w="2700" w:type="dxa"/>
            <w:vAlign w:val="center"/>
          </w:tcPr>
          <w:p w14:paraId="1C4C003C">
            <w:pPr>
              <w:wordWrap w:val="0"/>
              <w:adjustRightInd/>
              <w:spacing w:line="240" w:lineRule="auto"/>
              <w:jc w:val="center"/>
              <w:rPr>
                <w:szCs w:val="21"/>
              </w:rPr>
            </w:pPr>
            <w:r>
              <w:rPr>
                <w:szCs w:val="21"/>
              </w:rPr>
              <w:t>工作单位</w:t>
            </w:r>
          </w:p>
        </w:tc>
        <w:tc>
          <w:tcPr>
            <w:tcW w:w="1547" w:type="dxa"/>
            <w:vAlign w:val="center"/>
          </w:tcPr>
          <w:p w14:paraId="2AB1BFA9">
            <w:pPr>
              <w:wordWrap w:val="0"/>
              <w:adjustRightInd/>
              <w:spacing w:line="240" w:lineRule="auto"/>
              <w:jc w:val="center"/>
              <w:rPr>
                <w:szCs w:val="21"/>
              </w:rPr>
            </w:pPr>
            <w:r>
              <w:rPr>
                <w:szCs w:val="21"/>
              </w:rPr>
              <w:t>签字</w:t>
            </w:r>
          </w:p>
        </w:tc>
      </w:tr>
      <w:tr w14:paraId="40EA20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567" w:hRule="atLeast"/>
        </w:trPr>
        <w:tc>
          <w:tcPr>
            <w:tcW w:w="575" w:type="dxa"/>
            <w:vAlign w:val="center"/>
          </w:tcPr>
          <w:p w14:paraId="6142D5D7">
            <w:pPr>
              <w:wordWrap w:val="0"/>
              <w:adjustRightInd/>
              <w:spacing w:line="240" w:lineRule="auto"/>
              <w:jc w:val="center"/>
              <w:rPr>
                <w:rFonts w:hint="eastAsia" w:ascii="宋体" w:hAnsi="宋体"/>
                <w:szCs w:val="21"/>
              </w:rPr>
            </w:pPr>
            <w:r>
              <w:rPr>
                <w:rFonts w:hint="eastAsia" w:ascii="宋体" w:hAnsi="宋体"/>
                <w:szCs w:val="21"/>
              </w:rPr>
              <w:t>1</w:t>
            </w:r>
          </w:p>
        </w:tc>
        <w:tc>
          <w:tcPr>
            <w:tcW w:w="1281" w:type="dxa"/>
            <w:vAlign w:val="center"/>
          </w:tcPr>
          <w:p w14:paraId="5C1288E6">
            <w:pPr>
              <w:wordWrap w:val="0"/>
              <w:adjustRightInd/>
              <w:spacing w:line="240" w:lineRule="auto"/>
              <w:jc w:val="center"/>
              <w:rPr>
                <w:szCs w:val="21"/>
              </w:rPr>
            </w:pPr>
            <w:r>
              <w:rPr>
                <w:rFonts w:hint="eastAsia"/>
                <w:szCs w:val="21"/>
              </w:rPr>
              <w:t>余果</w:t>
            </w:r>
          </w:p>
        </w:tc>
        <w:tc>
          <w:tcPr>
            <w:tcW w:w="1980" w:type="dxa"/>
            <w:vAlign w:val="center"/>
          </w:tcPr>
          <w:p w14:paraId="4E1AC754">
            <w:pPr>
              <w:adjustRightInd/>
              <w:spacing w:line="240" w:lineRule="auto"/>
              <w:jc w:val="center"/>
              <w:rPr>
                <w:szCs w:val="21"/>
              </w:rPr>
            </w:pPr>
            <w:r>
              <w:rPr>
                <w:rFonts w:hint="eastAsia"/>
                <w:szCs w:val="21"/>
              </w:rPr>
              <w:t>2005年08月21日</w:t>
            </w:r>
          </w:p>
        </w:tc>
        <w:tc>
          <w:tcPr>
            <w:tcW w:w="2409" w:type="dxa"/>
            <w:vAlign w:val="center"/>
          </w:tcPr>
          <w:p w14:paraId="745DD14E">
            <w:pPr>
              <w:wordWrap w:val="0"/>
              <w:adjustRightInd/>
              <w:spacing w:line="240" w:lineRule="auto"/>
              <w:jc w:val="center"/>
              <w:rPr>
                <w:szCs w:val="21"/>
              </w:rPr>
            </w:pPr>
            <w:r>
              <w:rPr>
                <w:rFonts w:hint="eastAsia"/>
                <w:szCs w:val="21"/>
              </w:rPr>
              <w:t>法学</w:t>
            </w:r>
          </w:p>
        </w:tc>
        <w:tc>
          <w:tcPr>
            <w:tcW w:w="2525" w:type="dxa"/>
            <w:vAlign w:val="center"/>
          </w:tcPr>
          <w:p w14:paraId="4E339DD6">
            <w:pPr>
              <w:wordWrap w:val="0"/>
              <w:adjustRightInd/>
              <w:spacing w:line="240" w:lineRule="auto"/>
              <w:jc w:val="center"/>
              <w:rPr>
                <w:szCs w:val="21"/>
              </w:rPr>
            </w:pPr>
            <w:r>
              <w:rPr>
                <w:rFonts w:hint="eastAsia"/>
                <w:szCs w:val="21"/>
              </w:rPr>
              <w:t>负责人</w:t>
            </w:r>
          </w:p>
        </w:tc>
        <w:tc>
          <w:tcPr>
            <w:tcW w:w="1323" w:type="dxa"/>
            <w:vAlign w:val="center"/>
          </w:tcPr>
          <w:p w14:paraId="2D3B085D">
            <w:pPr>
              <w:wordWrap w:val="0"/>
              <w:adjustRightInd/>
              <w:spacing w:line="240" w:lineRule="auto"/>
              <w:jc w:val="center"/>
              <w:rPr>
                <w:szCs w:val="21"/>
              </w:rPr>
            </w:pPr>
            <w:r>
              <w:rPr>
                <w:rFonts w:hint="eastAsia"/>
                <w:szCs w:val="21"/>
              </w:rPr>
              <w:t>12个月</w:t>
            </w:r>
          </w:p>
        </w:tc>
        <w:tc>
          <w:tcPr>
            <w:tcW w:w="2700" w:type="dxa"/>
            <w:vAlign w:val="center"/>
          </w:tcPr>
          <w:p w14:paraId="4CBCA7A9">
            <w:pPr>
              <w:wordWrap w:val="0"/>
              <w:adjustRightInd/>
              <w:spacing w:line="240" w:lineRule="auto"/>
              <w:jc w:val="center"/>
              <w:rPr>
                <w:szCs w:val="21"/>
              </w:rPr>
            </w:pPr>
            <w:r>
              <w:rPr>
                <w:rFonts w:hint="eastAsia"/>
                <w:szCs w:val="21"/>
              </w:rPr>
              <w:t>北京理工大学</w:t>
            </w:r>
          </w:p>
        </w:tc>
        <w:tc>
          <w:tcPr>
            <w:tcW w:w="1547" w:type="dxa"/>
            <w:vAlign w:val="center"/>
          </w:tcPr>
          <w:p w14:paraId="7C78C9FE">
            <w:pPr>
              <w:wordWrap w:val="0"/>
              <w:adjustRightInd/>
              <w:spacing w:line="240" w:lineRule="auto"/>
              <w:jc w:val="center"/>
              <w:rPr>
                <w:rFonts w:hint="eastAsia" w:ascii="宋体" w:hAnsi="宋体"/>
                <w:spacing w:val="-20"/>
                <w:szCs w:val="21"/>
              </w:rPr>
            </w:pPr>
            <w:r>
              <w:rPr>
                <w:rFonts w:ascii="宋体" w:hAnsi="宋体"/>
                <w:spacing w:val="-20"/>
                <w:szCs w:val="21"/>
              </w:rPr>
              <w:drawing>
                <wp:inline distT="0" distB="0" distL="114300" distR="114300">
                  <wp:extent cx="430530" cy="786765"/>
                  <wp:effectExtent l="0" t="0" r="0" b="0"/>
                  <wp:docPr id="3" name="图片 2" descr="签名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签名照"/>
                          <pic:cNvPicPr>
                            <a:picLocks noChangeAspect="1"/>
                          </pic:cNvPicPr>
                        </pic:nvPicPr>
                        <pic:blipFill>
                          <a:blip r:embed="rId10"/>
                          <a:stretch>
                            <a:fillRect/>
                          </a:stretch>
                        </pic:blipFill>
                        <pic:spPr>
                          <a:xfrm rot="-5400000">
                            <a:off x="0" y="0"/>
                            <a:ext cx="430530" cy="786765"/>
                          </a:xfrm>
                          <a:prstGeom prst="rect">
                            <a:avLst/>
                          </a:prstGeom>
                          <a:noFill/>
                          <a:ln>
                            <a:noFill/>
                          </a:ln>
                        </pic:spPr>
                      </pic:pic>
                    </a:graphicData>
                  </a:graphic>
                </wp:inline>
              </w:drawing>
            </w:r>
          </w:p>
        </w:tc>
      </w:tr>
      <w:tr w14:paraId="4522609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567" w:hRule="atLeast"/>
        </w:trPr>
        <w:tc>
          <w:tcPr>
            <w:tcW w:w="575" w:type="dxa"/>
            <w:vAlign w:val="center"/>
          </w:tcPr>
          <w:p w14:paraId="70DC08C1">
            <w:pPr>
              <w:wordWrap w:val="0"/>
              <w:adjustRightInd/>
              <w:spacing w:line="240" w:lineRule="auto"/>
              <w:jc w:val="center"/>
              <w:rPr>
                <w:rFonts w:hint="eastAsia" w:ascii="宋体" w:hAnsi="宋体"/>
                <w:szCs w:val="21"/>
              </w:rPr>
            </w:pPr>
            <w:r>
              <w:rPr>
                <w:rFonts w:hint="eastAsia" w:ascii="宋体" w:hAnsi="宋体"/>
                <w:szCs w:val="21"/>
              </w:rPr>
              <w:t>2</w:t>
            </w:r>
          </w:p>
        </w:tc>
        <w:tc>
          <w:tcPr>
            <w:tcW w:w="1281" w:type="dxa"/>
            <w:vAlign w:val="center"/>
          </w:tcPr>
          <w:p w14:paraId="4448CE3F">
            <w:pPr>
              <w:wordWrap w:val="0"/>
              <w:adjustRightInd/>
              <w:spacing w:line="240" w:lineRule="auto"/>
              <w:jc w:val="center"/>
              <w:rPr>
                <w:szCs w:val="21"/>
              </w:rPr>
            </w:pPr>
            <w:r>
              <w:rPr>
                <w:rFonts w:hint="eastAsia"/>
                <w:szCs w:val="21"/>
              </w:rPr>
              <w:t>张瀚元</w:t>
            </w:r>
          </w:p>
        </w:tc>
        <w:tc>
          <w:tcPr>
            <w:tcW w:w="1980" w:type="dxa"/>
            <w:vAlign w:val="center"/>
          </w:tcPr>
          <w:p w14:paraId="381D23B9">
            <w:pPr>
              <w:wordWrap w:val="0"/>
              <w:adjustRightInd/>
              <w:spacing w:line="240" w:lineRule="auto"/>
              <w:jc w:val="center"/>
              <w:rPr>
                <w:szCs w:val="21"/>
              </w:rPr>
            </w:pPr>
            <w:r>
              <w:rPr>
                <w:rFonts w:hint="eastAsia"/>
                <w:szCs w:val="21"/>
              </w:rPr>
              <w:t>1997年06月06日</w:t>
            </w:r>
          </w:p>
        </w:tc>
        <w:tc>
          <w:tcPr>
            <w:tcW w:w="2409" w:type="dxa"/>
            <w:vAlign w:val="center"/>
          </w:tcPr>
          <w:p w14:paraId="50F04C12">
            <w:pPr>
              <w:wordWrap w:val="0"/>
              <w:adjustRightInd/>
              <w:spacing w:line="240" w:lineRule="auto"/>
              <w:jc w:val="center"/>
              <w:rPr>
                <w:szCs w:val="21"/>
              </w:rPr>
            </w:pPr>
            <w:r>
              <w:rPr>
                <w:rFonts w:hint="eastAsia"/>
                <w:szCs w:val="21"/>
              </w:rPr>
              <w:t>法学-人工智能</w:t>
            </w:r>
          </w:p>
        </w:tc>
        <w:tc>
          <w:tcPr>
            <w:tcW w:w="2525" w:type="dxa"/>
            <w:vAlign w:val="center"/>
          </w:tcPr>
          <w:p w14:paraId="2DA31C8A">
            <w:pPr>
              <w:wordWrap w:val="0"/>
              <w:adjustRightInd/>
              <w:spacing w:line="240" w:lineRule="auto"/>
              <w:jc w:val="center"/>
              <w:rPr>
                <w:szCs w:val="21"/>
              </w:rPr>
            </w:pPr>
            <w:r>
              <w:rPr>
                <w:rFonts w:hint="eastAsia"/>
                <w:szCs w:val="21"/>
              </w:rPr>
              <w:t>算法设计师</w:t>
            </w:r>
          </w:p>
        </w:tc>
        <w:tc>
          <w:tcPr>
            <w:tcW w:w="1323" w:type="dxa"/>
            <w:vAlign w:val="center"/>
          </w:tcPr>
          <w:p w14:paraId="658AB757">
            <w:pPr>
              <w:wordWrap w:val="0"/>
              <w:adjustRightInd/>
              <w:spacing w:line="240" w:lineRule="auto"/>
              <w:jc w:val="center"/>
              <w:rPr>
                <w:szCs w:val="21"/>
              </w:rPr>
            </w:pPr>
            <w:r>
              <w:rPr>
                <w:rFonts w:hint="eastAsia"/>
                <w:szCs w:val="21"/>
              </w:rPr>
              <w:t>12个月</w:t>
            </w:r>
          </w:p>
        </w:tc>
        <w:tc>
          <w:tcPr>
            <w:tcW w:w="2700" w:type="dxa"/>
            <w:vAlign w:val="center"/>
          </w:tcPr>
          <w:p w14:paraId="15A88350">
            <w:pPr>
              <w:wordWrap w:val="0"/>
              <w:adjustRightInd/>
              <w:spacing w:line="240" w:lineRule="auto"/>
              <w:jc w:val="center"/>
              <w:rPr>
                <w:szCs w:val="21"/>
              </w:rPr>
            </w:pPr>
            <w:r>
              <w:rPr>
                <w:rFonts w:hint="eastAsia"/>
                <w:szCs w:val="21"/>
              </w:rPr>
              <w:t>北京理工大学</w:t>
            </w:r>
          </w:p>
        </w:tc>
        <w:tc>
          <w:tcPr>
            <w:tcW w:w="1547" w:type="dxa"/>
            <w:vAlign w:val="center"/>
          </w:tcPr>
          <w:p w14:paraId="7CC24D74">
            <w:pPr>
              <w:wordWrap w:val="0"/>
              <w:adjustRightInd/>
              <w:spacing w:line="240" w:lineRule="auto"/>
              <w:jc w:val="center"/>
              <w:rPr>
                <w:rFonts w:hint="eastAsia" w:ascii="宋体" w:hAnsi="宋体"/>
                <w:spacing w:val="-20"/>
                <w:szCs w:val="21"/>
              </w:rPr>
            </w:pPr>
            <w:r>
              <w:rPr>
                <w:rFonts w:ascii="宋体" w:hAnsi="宋体"/>
                <w:spacing w:val="-20"/>
                <w:szCs w:val="21"/>
              </w:rPr>
              <w:drawing>
                <wp:inline distT="0" distB="0" distL="114300" distR="114300">
                  <wp:extent cx="367030" cy="685800"/>
                  <wp:effectExtent l="0" t="0" r="0" b="0"/>
                  <wp:docPr id="4" name="图片 3" descr="a55d326210103aae778b59bbae26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a55d326210103aae778b59bbae26580"/>
                          <pic:cNvPicPr>
                            <a:picLocks noChangeAspect="1"/>
                          </pic:cNvPicPr>
                        </pic:nvPicPr>
                        <pic:blipFill>
                          <a:blip r:embed="rId11"/>
                          <a:stretch>
                            <a:fillRect/>
                          </a:stretch>
                        </pic:blipFill>
                        <pic:spPr>
                          <a:xfrm rot="-5400000">
                            <a:off x="0" y="0"/>
                            <a:ext cx="367030" cy="685800"/>
                          </a:xfrm>
                          <a:prstGeom prst="rect">
                            <a:avLst/>
                          </a:prstGeom>
                          <a:noFill/>
                          <a:ln>
                            <a:noFill/>
                          </a:ln>
                        </pic:spPr>
                      </pic:pic>
                    </a:graphicData>
                  </a:graphic>
                </wp:inline>
              </w:drawing>
            </w:r>
          </w:p>
        </w:tc>
      </w:tr>
      <w:tr w14:paraId="3980B52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567" w:hRule="atLeast"/>
        </w:trPr>
        <w:tc>
          <w:tcPr>
            <w:tcW w:w="575" w:type="dxa"/>
            <w:vAlign w:val="center"/>
          </w:tcPr>
          <w:p w14:paraId="52E047A9">
            <w:pPr>
              <w:wordWrap w:val="0"/>
              <w:adjustRightInd/>
              <w:spacing w:line="240" w:lineRule="auto"/>
              <w:jc w:val="center"/>
              <w:rPr>
                <w:rFonts w:hint="eastAsia" w:ascii="宋体" w:hAnsi="宋体"/>
                <w:szCs w:val="21"/>
              </w:rPr>
            </w:pPr>
            <w:r>
              <w:rPr>
                <w:rFonts w:hint="eastAsia" w:ascii="宋体" w:hAnsi="宋体"/>
                <w:szCs w:val="21"/>
              </w:rPr>
              <w:t>3</w:t>
            </w:r>
          </w:p>
        </w:tc>
        <w:tc>
          <w:tcPr>
            <w:tcW w:w="1281" w:type="dxa"/>
            <w:vAlign w:val="center"/>
          </w:tcPr>
          <w:p w14:paraId="012A1130">
            <w:pPr>
              <w:wordWrap w:val="0"/>
              <w:adjustRightInd/>
              <w:spacing w:line="240" w:lineRule="auto"/>
              <w:jc w:val="center"/>
              <w:rPr>
                <w:szCs w:val="21"/>
              </w:rPr>
            </w:pPr>
            <w:r>
              <w:rPr>
                <w:rFonts w:hint="eastAsia"/>
                <w:szCs w:val="21"/>
              </w:rPr>
              <w:t>张晨钰</w:t>
            </w:r>
          </w:p>
        </w:tc>
        <w:tc>
          <w:tcPr>
            <w:tcW w:w="1980" w:type="dxa"/>
            <w:vAlign w:val="center"/>
          </w:tcPr>
          <w:p w14:paraId="45E21C67">
            <w:pPr>
              <w:wordWrap w:val="0"/>
              <w:adjustRightInd/>
              <w:spacing w:line="240" w:lineRule="auto"/>
              <w:jc w:val="center"/>
              <w:rPr>
                <w:szCs w:val="21"/>
              </w:rPr>
            </w:pPr>
            <w:r>
              <w:rPr>
                <w:rFonts w:hint="eastAsia"/>
                <w:szCs w:val="21"/>
              </w:rPr>
              <w:t>2004年12月25日</w:t>
            </w:r>
          </w:p>
        </w:tc>
        <w:tc>
          <w:tcPr>
            <w:tcW w:w="2409" w:type="dxa"/>
            <w:vAlign w:val="center"/>
          </w:tcPr>
          <w:p w14:paraId="0E687D94">
            <w:pPr>
              <w:wordWrap w:val="0"/>
              <w:adjustRightInd/>
              <w:spacing w:line="240" w:lineRule="auto"/>
              <w:jc w:val="center"/>
              <w:rPr>
                <w:szCs w:val="21"/>
              </w:rPr>
            </w:pPr>
            <w:r>
              <w:rPr>
                <w:rFonts w:hint="eastAsia"/>
                <w:szCs w:val="21"/>
              </w:rPr>
              <w:t>生物医学工程</w:t>
            </w:r>
          </w:p>
        </w:tc>
        <w:tc>
          <w:tcPr>
            <w:tcW w:w="2525" w:type="dxa"/>
            <w:vAlign w:val="center"/>
          </w:tcPr>
          <w:p w14:paraId="59A653C2">
            <w:pPr>
              <w:wordWrap w:val="0"/>
              <w:adjustRightInd/>
              <w:spacing w:line="240" w:lineRule="auto"/>
              <w:jc w:val="center"/>
              <w:rPr>
                <w:szCs w:val="21"/>
              </w:rPr>
            </w:pPr>
            <w:r>
              <w:rPr>
                <w:rFonts w:hint="eastAsia"/>
                <w:szCs w:val="21"/>
              </w:rPr>
              <w:t>算法设计师</w:t>
            </w:r>
          </w:p>
        </w:tc>
        <w:tc>
          <w:tcPr>
            <w:tcW w:w="1323" w:type="dxa"/>
            <w:vAlign w:val="center"/>
          </w:tcPr>
          <w:p w14:paraId="5CE80DC5">
            <w:pPr>
              <w:wordWrap w:val="0"/>
              <w:adjustRightInd/>
              <w:spacing w:line="240" w:lineRule="auto"/>
              <w:jc w:val="center"/>
              <w:rPr>
                <w:szCs w:val="21"/>
              </w:rPr>
            </w:pPr>
            <w:r>
              <w:rPr>
                <w:rFonts w:hint="eastAsia"/>
                <w:szCs w:val="21"/>
              </w:rPr>
              <w:t>12个月</w:t>
            </w:r>
          </w:p>
        </w:tc>
        <w:tc>
          <w:tcPr>
            <w:tcW w:w="2700" w:type="dxa"/>
            <w:vAlign w:val="center"/>
          </w:tcPr>
          <w:p w14:paraId="4D6525AB">
            <w:pPr>
              <w:wordWrap w:val="0"/>
              <w:adjustRightInd/>
              <w:spacing w:line="240" w:lineRule="auto"/>
              <w:jc w:val="center"/>
              <w:rPr>
                <w:szCs w:val="21"/>
              </w:rPr>
            </w:pPr>
            <w:r>
              <w:rPr>
                <w:rFonts w:hint="eastAsia"/>
                <w:szCs w:val="21"/>
              </w:rPr>
              <w:t>北京理工大学</w:t>
            </w:r>
          </w:p>
        </w:tc>
        <w:tc>
          <w:tcPr>
            <w:tcW w:w="1547" w:type="dxa"/>
            <w:vAlign w:val="center"/>
          </w:tcPr>
          <w:p w14:paraId="3C62E890">
            <w:pPr>
              <w:wordWrap w:val="0"/>
              <w:adjustRightInd/>
              <w:spacing w:line="240" w:lineRule="auto"/>
              <w:jc w:val="center"/>
              <w:rPr>
                <w:rFonts w:hint="eastAsia" w:ascii="宋体" w:hAnsi="宋体"/>
                <w:spacing w:val="-20"/>
                <w:szCs w:val="21"/>
              </w:rPr>
            </w:pPr>
            <w:r>
              <w:rPr>
                <w:rFonts w:ascii="宋体" w:hAnsi="宋体"/>
                <w:spacing w:val="-20"/>
                <w:szCs w:val="21"/>
              </w:rPr>
              <w:drawing>
                <wp:inline distT="0" distB="0" distL="114300" distR="114300">
                  <wp:extent cx="690880" cy="361315"/>
                  <wp:effectExtent l="0" t="0" r="0" b="0"/>
                  <wp:docPr id="5" name="图片 4" descr="712a4900e8acf3a40b969a3b5060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712a4900e8acf3a40b969a3b506001d"/>
                          <pic:cNvPicPr>
                            <a:picLocks noChangeAspect="1"/>
                          </pic:cNvPicPr>
                        </pic:nvPicPr>
                        <pic:blipFill>
                          <a:blip r:embed="rId12"/>
                          <a:stretch>
                            <a:fillRect/>
                          </a:stretch>
                        </pic:blipFill>
                        <pic:spPr>
                          <a:xfrm>
                            <a:off x="0" y="0"/>
                            <a:ext cx="690880" cy="361315"/>
                          </a:xfrm>
                          <a:prstGeom prst="rect">
                            <a:avLst/>
                          </a:prstGeom>
                          <a:noFill/>
                          <a:ln>
                            <a:noFill/>
                          </a:ln>
                        </pic:spPr>
                      </pic:pic>
                    </a:graphicData>
                  </a:graphic>
                </wp:inline>
              </w:drawing>
            </w:r>
          </w:p>
        </w:tc>
      </w:tr>
      <w:tr w14:paraId="7BE20B8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567" w:hRule="atLeast"/>
        </w:trPr>
        <w:tc>
          <w:tcPr>
            <w:tcW w:w="575" w:type="dxa"/>
            <w:vAlign w:val="center"/>
          </w:tcPr>
          <w:p w14:paraId="19B36986">
            <w:pPr>
              <w:wordWrap w:val="0"/>
              <w:adjustRightInd/>
              <w:spacing w:line="240" w:lineRule="auto"/>
              <w:jc w:val="center"/>
              <w:rPr>
                <w:rFonts w:hint="eastAsia" w:ascii="宋体" w:hAnsi="宋体"/>
                <w:szCs w:val="21"/>
              </w:rPr>
            </w:pPr>
            <w:r>
              <w:rPr>
                <w:rFonts w:hint="eastAsia" w:ascii="宋体" w:hAnsi="宋体"/>
                <w:szCs w:val="21"/>
              </w:rPr>
              <w:t>4</w:t>
            </w:r>
          </w:p>
        </w:tc>
        <w:tc>
          <w:tcPr>
            <w:tcW w:w="1281" w:type="dxa"/>
            <w:vAlign w:val="center"/>
          </w:tcPr>
          <w:p w14:paraId="12E3FBEB">
            <w:pPr>
              <w:wordWrap w:val="0"/>
              <w:adjustRightInd/>
              <w:spacing w:line="240" w:lineRule="auto"/>
              <w:jc w:val="center"/>
              <w:rPr>
                <w:szCs w:val="21"/>
              </w:rPr>
            </w:pPr>
            <w:r>
              <w:rPr>
                <w:rFonts w:hint="eastAsia"/>
                <w:szCs w:val="21"/>
              </w:rPr>
              <w:t>鄢语瞳</w:t>
            </w:r>
          </w:p>
        </w:tc>
        <w:tc>
          <w:tcPr>
            <w:tcW w:w="1980" w:type="dxa"/>
            <w:vAlign w:val="center"/>
          </w:tcPr>
          <w:p w14:paraId="4F442FBA">
            <w:pPr>
              <w:wordWrap w:val="0"/>
              <w:adjustRightInd/>
              <w:spacing w:line="240" w:lineRule="auto"/>
              <w:jc w:val="center"/>
              <w:rPr>
                <w:szCs w:val="21"/>
              </w:rPr>
            </w:pPr>
            <w:r>
              <w:rPr>
                <w:rFonts w:hint="eastAsia"/>
                <w:szCs w:val="21"/>
              </w:rPr>
              <w:t>2006年04月02日</w:t>
            </w:r>
          </w:p>
        </w:tc>
        <w:tc>
          <w:tcPr>
            <w:tcW w:w="2409" w:type="dxa"/>
            <w:vAlign w:val="center"/>
          </w:tcPr>
          <w:p w14:paraId="05E7C5BF">
            <w:pPr>
              <w:wordWrap w:val="0"/>
              <w:adjustRightInd/>
              <w:spacing w:line="240" w:lineRule="auto"/>
              <w:jc w:val="center"/>
              <w:rPr>
                <w:szCs w:val="21"/>
              </w:rPr>
            </w:pPr>
            <w:r>
              <w:rPr>
                <w:rFonts w:hint="eastAsia"/>
                <w:szCs w:val="21"/>
              </w:rPr>
              <w:t>法学（涉外法治菁英班）</w:t>
            </w:r>
          </w:p>
        </w:tc>
        <w:tc>
          <w:tcPr>
            <w:tcW w:w="2525" w:type="dxa"/>
            <w:vAlign w:val="center"/>
          </w:tcPr>
          <w:p w14:paraId="2799D554">
            <w:pPr>
              <w:wordWrap w:val="0"/>
              <w:adjustRightInd/>
              <w:spacing w:line="240" w:lineRule="auto"/>
              <w:jc w:val="center"/>
              <w:rPr>
                <w:szCs w:val="21"/>
              </w:rPr>
            </w:pPr>
            <w:r>
              <w:rPr>
                <w:rFonts w:hint="eastAsia"/>
                <w:szCs w:val="21"/>
              </w:rPr>
              <w:t>文献调研及论文撰写</w:t>
            </w:r>
          </w:p>
        </w:tc>
        <w:tc>
          <w:tcPr>
            <w:tcW w:w="1323" w:type="dxa"/>
            <w:vAlign w:val="center"/>
          </w:tcPr>
          <w:p w14:paraId="5399C00C">
            <w:pPr>
              <w:wordWrap w:val="0"/>
              <w:adjustRightInd/>
              <w:spacing w:line="240" w:lineRule="auto"/>
              <w:jc w:val="center"/>
              <w:rPr>
                <w:szCs w:val="21"/>
              </w:rPr>
            </w:pPr>
            <w:r>
              <w:rPr>
                <w:rFonts w:hint="eastAsia"/>
                <w:szCs w:val="21"/>
              </w:rPr>
              <w:t>12个月</w:t>
            </w:r>
          </w:p>
        </w:tc>
        <w:tc>
          <w:tcPr>
            <w:tcW w:w="2700" w:type="dxa"/>
            <w:vAlign w:val="center"/>
          </w:tcPr>
          <w:p w14:paraId="4C695F9B">
            <w:pPr>
              <w:wordWrap w:val="0"/>
              <w:adjustRightInd/>
              <w:spacing w:line="240" w:lineRule="auto"/>
              <w:jc w:val="center"/>
              <w:rPr>
                <w:szCs w:val="21"/>
              </w:rPr>
            </w:pPr>
            <w:r>
              <w:rPr>
                <w:rFonts w:hint="eastAsia"/>
                <w:szCs w:val="21"/>
              </w:rPr>
              <w:t>北京理工大学</w:t>
            </w:r>
          </w:p>
        </w:tc>
        <w:tc>
          <w:tcPr>
            <w:tcW w:w="1547" w:type="dxa"/>
            <w:vAlign w:val="center"/>
          </w:tcPr>
          <w:p w14:paraId="01858F96">
            <w:pPr>
              <w:wordWrap w:val="0"/>
              <w:adjustRightInd/>
              <w:spacing w:line="240" w:lineRule="auto"/>
              <w:jc w:val="center"/>
              <w:rPr>
                <w:rFonts w:hint="eastAsia" w:ascii="宋体" w:hAnsi="宋体"/>
                <w:spacing w:val="-20"/>
                <w:szCs w:val="21"/>
              </w:rPr>
            </w:pPr>
            <w:r>
              <w:rPr>
                <w:rFonts w:ascii="宋体" w:hAnsi="宋体"/>
                <w:spacing w:val="-20"/>
                <w:szCs w:val="21"/>
              </w:rPr>
              <w:drawing>
                <wp:inline distT="0" distB="0" distL="114300" distR="114300">
                  <wp:extent cx="781685" cy="367030"/>
                  <wp:effectExtent l="0" t="0" r="0" b="0"/>
                  <wp:docPr id="6" name="图片 5" descr="052587a1ab500f0b8fa001ef76b8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052587a1ab500f0b8fa001ef76b8e28"/>
                          <pic:cNvPicPr>
                            <a:picLocks noChangeAspect="1"/>
                          </pic:cNvPicPr>
                        </pic:nvPicPr>
                        <pic:blipFill>
                          <a:blip r:embed="rId13"/>
                          <a:stretch>
                            <a:fillRect/>
                          </a:stretch>
                        </pic:blipFill>
                        <pic:spPr>
                          <a:xfrm>
                            <a:off x="0" y="0"/>
                            <a:ext cx="781685" cy="367030"/>
                          </a:xfrm>
                          <a:prstGeom prst="rect">
                            <a:avLst/>
                          </a:prstGeom>
                          <a:noFill/>
                          <a:ln>
                            <a:noFill/>
                          </a:ln>
                        </pic:spPr>
                      </pic:pic>
                    </a:graphicData>
                  </a:graphic>
                </wp:inline>
              </w:drawing>
            </w:r>
          </w:p>
        </w:tc>
      </w:tr>
      <w:tr w14:paraId="63A343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567" w:hRule="atLeast"/>
        </w:trPr>
        <w:tc>
          <w:tcPr>
            <w:tcW w:w="575" w:type="dxa"/>
            <w:vAlign w:val="center"/>
          </w:tcPr>
          <w:p w14:paraId="29E180C1">
            <w:pPr>
              <w:wordWrap w:val="0"/>
              <w:adjustRightInd/>
              <w:spacing w:line="240" w:lineRule="auto"/>
              <w:jc w:val="center"/>
              <w:rPr>
                <w:rFonts w:hint="eastAsia" w:ascii="宋体" w:hAnsi="宋体"/>
                <w:szCs w:val="21"/>
              </w:rPr>
            </w:pPr>
            <w:r>
              <w:rPr>
                <w:rFonts w:hint="eastAsia" w:ascii="宋体" w:hAnsi="宋体"/>
                <w:szCs w:val="21"/>
              </w:rPr>
              <w:t>5</w:t>
            </w:r>
          </w:p>
        </w:tc>
        <w:tc>
          <w:tcPr>
            <w:tcW w:w="1281" w:type="dxa"/>
            <w:vAlign w:val="center"/>
          </w:tcPr>
          <w:p w14:paraId="4B154667">
            <w:pPr>
              <w:wordWrap w:val="0"/>
              <w:adjustRightInd/>
              <w:spacing w:line="240" w:lineRule="auto"/>
              <w:jc w:val="center"/>
              <w:rPr>
                <w:szCs w:val="21"/>
              </w:rPr>
            </w:pPr>
            <w:r>
              <w:rPr>
                <w:rFonts w:hint="eastAsia"/>
                <w:szCs w:val="21"/>
              </w:rPr>
              <w:t>王香凝</w:t>
            </w:r>
          </w:p>
        </w:tc>
        <w:tc>
          <w:tcPr>
            <w:tcW w:w="1980" w:type="dxa"/>
            <w:vAlign w:val="center"/>
          </w:tcPr>
          <w:p w14:paraId="0A3AB28A">
            <w:pPr>
              <w:wordWrap w:val="0"/>
              <w:adjustRightInd/>
              <w:spacing w:line="240" w:lineRule="auto"/>
              <w:jc w:val="center"/>
              <w:rPr>
                <w:szCs w:val="21"/>
              </w:rPr>
            </w:pPr>
            <w:r>
              <w:rPr>
                <w:rFonts w:hint="eastAsia"/>
                <w:szCs w:val="21"/>
              </w:rPr>
              <w:t>2004年11月02日</w:t>
            </w:r>
          </w:p>
        </w:tc>
        <w:tc>
          <w:tcPr>
            <w:tcW w:w="2409" w:type="dxa"/>
            <w:vAlign w:val="center"/>
          </w:tcPr>
          <w:p w14:paraId="08E018CD">
            <w:pPr>
              <w:wordWrap w:val="0"/>
              <w:adjustRightInd/>
              <w:spacing w:line="240" w:lineRule="auto"/>
              <w:jc w:val="center"/>
              <w:rPr>
                <w:szCs w:val="21"/>
              </w:rPr>
            </w:pPr>
            <w:r>
              <w:rPr>
                <w:rFonts w:hint="eastAsia"/>
                <w:szCs w:val="21"/>
              </w:rPr>
              <w:t>法学-人工智能</w:t>
            </w:r>
          </w:p>
        </w:tc>
        <w:tc>
          <w:tcPr>
            <w:tcW w:w="2525" w:type="dxa"/>
            <w:vAlign w:val="center"/>
          </w:tcPr>
          <w:p w14:paraId="18241A96">
            <w:pPr>
              <w:wordWrap w:val="0"/>
              <w:adjustRightInd/>
              <w:spacing w:line="240" w:lineRule="auto"/>
              <w:jc w:val="center"/>
              <w:rPr>
                <w:szCs w:val="21"/>
              </w:rPr>
            </w:pPr>
            <w:r>
              <w:rPr>
                <w:rFonts w:hint="eastAsia"/>
                <w:szCs w:val="21"/>
              </w:rPr>
              <w:t>文献调研及论文撰写</w:t>
            </w:r>
          </w:p>
        </w:tc>
        <w:tc>
          <w:tcPr>
            <w:tcW w:w="1323" w:type="dxa"/>
            <w:vAlign w:val="center"/>
          </w:tcPr>
          <w:p w14:paraId="3C1CA31E">
            <w:pPr>
              <w:wordWrap w:val="0"/>
              <w:adjustRightInd/>
              <w:spacing w:line="240" w:lineRule="auto"/>
              <w:jc w:val="center"/>
              <w:rPr>
                <w:szCs w:val="21"/>
              </w:rPr>
            </w:pPr>
            <w:r>
              <w:rPr>
                <w:rFonts w:hint="eastAsia"/>
                <w:szCs w:val="21"/>
              </w:rPr>
              <w:t>12个月</w:t>
            </w:r>
          </w:p>
        </w:tc>
        <w:tc>
          <w:tcPr>
            <w:tcW w:w="2700" w:type="dxa"/>
            <w:vAlign w:val="center"/>
          </w:tcPr>
          <w:p w14:paraId="31AA7956">
            <w:pPr>
              <w:wordWrap w:val="0"/>
              <w:adjustRightInd/>
              <w:spacing w:line="240" w:lineRule="auto"/>
              <w:jc w:val="center"/>
              <w:rPr>
                <w:szCs w:val="21"/>
              </w:rPr>
            </w:pPr>
            <w:r>
              <w:rPr>
                <w:rFonts w:hint="eastAsia"/>
                <w:szCs w:val="21"/>
              </w:rPr>
              <w:t>北京理工大学</w:t>
            </w:r>
          </w:p>
        </w:tc>
        <w:tc>
          <w:tcPr>
            <w:tcW w:w="1547" w:type="dxa"/>
            <w:vAlign w:val="center"/>
          </w:tcPr>
          <w:p w14:paraId="73FD9DFF">
            <w:pPr>
              <w:wordWrap w:val="0"/>
              <w:adjustRightInd/>
              <w:spacing w:line="240" w:lineRule="auto"/>
              <w:jc w:val="center"/>
              <w:rPr>
                <w:rFonts w:hint="eastAsia" w:ascii="宋体" w:hAnsi="宋体"/>
                <w:spacing w:val="-20"/>
                <w:szCs w:val="21"/>
              </w:rPr>
            </w:pPr>
            <w:r>
              <w:rPr>
                <w:rFonts w:ascii="宋体" w:hAnsi="宋体"/>
                <w:spacing w:val="-20"/>
                <w:szCs w:val="21"/>
              </w:rPr>
              <w:drawing>
                <wp:inline distT="0" distB="0" distL="114300" distR="114300">
                  <wp:extent cx="951865" cy="334645"/>
                  <wp:effectExtent l="0" t="0" r="0" b="0"/>
                  <wp:docPr id="7" name="图片 6" descr="3c8ad1c11dcd1bb4095ef71c7010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3c8ad1c11dcd1bb4095ef71c7010aca"/>
                          <pic:cNvPicPr>
                            <a:picLocks noChangeAspect="1"/>
                          </pic:cNvPicPr>
                        </pic:nvPicPr>
                        <pic:blipFill>
                          <a:blip r:embed="rId14"/>
                          <a:stretch>
                            <a:fillRect/>
                          </a:stretch>
                        </pic:blipFill>
                        <pic:spPr>
                          <a:xfrm>
                            <a:off x="0" y="0"/>
                            <a:ext cx="951865" cy="334645"/>
                          </a:xfrm>
                          <a:prstGeom prst="rect">
                            <a:avLst/>
                          </a:prstGeom>
                          <a:noFill/>
                          <a:ln>
                            <a:noFill/>
                          </a:ln>
                        </pic:spPr>
                      </pic:pic>
                    </a:graphicData>
                  </a:graphic>
                </wp:inline>
              </w:drawing>
            </w:r>
          </w:p>
        </w:tc>
      </w:tr>
      <w:tr w14:paraId="262BE26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567" w:hRule="atLeast"/>
        </w:trPr>
        <w:tc>
          <w:tcPr>
            <w:tcW w:w="575" w:type="dxa"/>
            <w:vAlign w:val="center"/>
          </w:tcPr>
          <w:p w14:paraId="097305D1">
            <w:pPr>
              <w:wordWrap w:val="0"/>
              <w:adjustRightInd/>
              <w:spacing w:line="240" w:lineRule="auto"/>
              <w:jc w:val="center"/>
              <w:rPr>
                <w:rFonts w:hint="eastAsia" w:ascii="宋体" w:hAnsi="宋体"/>
                <w:szCs w:val="21"/>
              </w:rPr>
            </w:pPr>
            <w:r>
              <w:rPr>
                <w:rFonts w:hint="eastAsia" w:ascii="宋体" w:hAnsi="宋体"/>
                <w:szCs w:val="21"/>
              </w:rPr>
              <w:t>6</w:t>
            </w:r>
          </w:p>
        </w:tc>
        <w:tc>
          <w:tcPr>
            <w:tcW w:w="1281" w:type="dxa"/>
            <w:vAlign w:val="center"/>
          </w:tcPr>
          <w:p w14:paraId="1CB2E76A">
            <w:pPr>
              <w:wordWrap w:val="0"/>
              <w:adjustRightInd/>
              <w:spacing w:line="240" w:lineRule="auto"/>
              <w:jc w:val="center"/>
              <w:rPr>
                <w:szCs w:val="21"/>
              </w:rPr>
            </w:pPr>
            <w:r>
              <w:rPr>
                <w:rFonts w:hint="eastAsia"/>
                <w:szCs w:val="21"/>
              </w:rPr>
              <w:t>王欣然</w:t>
            </w:r>
          </w:p>
        </w:tc>
        <w:tc>
          <w:tcPr>
            <w:tcW w:w="1980" w:type="dxa"/>
            <w:vAlign w:val="center"/>
          </w:tcPr>
          <w:p w14:paraId="166481BC">
            <w:pPr>
              <w:wordWrap w:val="0"/>
              <w:adjustRightInd/>
              <w:spacing w:line="240" w:lineRule="auto"/>
              <w:jc w:val="center"/>
              <w:rPr>
                <w:szCs w:val="21"/>
              </w:rPr>
            </w:pPr>
            <w:r>
              <w:rPr>
                <w:rFonts w:hint="eastAsia"/>
                <w:szCs w:val="21"/>
              </w:rPr>
              <w:t>2005年08月27日</w:t>
            </w:r>
          </w:p>
        </w:tc>
        <w:tc>
          <w:tcPr>
            <w:tcW w:w="2409" w:type="dxa"/>
            <w:vAlign w:val="center"/>
          </w:tcPr>
          <w:p w14:paraId="28D1D3ED">
            <w:pPr>
              <w:wordWrap w:val="0"/>
              <w:adjustRightInd/>
              <w:spacing w:line="240" w:lineRule="auto"/>
              <w:jc w:val="center"/>
              <w:rPr>
                <w:szCs w:val="21"/>
              </w:rPr>
            </w:pPr>
            <w:r>
              <w:rPr>
                <w:rFonts w:hint="eastAsia"/>
                <w:szCs w:val="21"/>
              </w:rPr>
              <w:t>法学</w:t>
            </w:r>
          </w:p>
        </w:tc>
        <w:tc>
          <w:tcPr>
            <w:tcW w:w="2525" w:type="dxa"/>
            <w:vAlign w:val="center"/>
          </w:tcPr>
          <w:p w14:paraId="14BC01A5">
            <w:pPr>
              <w:wordWrap w:val="0"/>
              <w:adjustRightInd/>
              <w:spacing w:line="240" w:lineRule="auto"/>
              <w:jc w:val="center"/>
              <w:rPr>
                <w:szCs w:val="21"/>
              </w:rPr>
            </w:pPr>
            <w:r>
              <w:rPr>
                <w:rFonts w:hint="eastAsia"/>
                <w:szCs w:val="21"/>
              </w:rPr>
              <w:t>文献调研及撰写</w:t>
            </w:r>
          </w:p>
        </w:tc>
        <w:tc>
          <w:tcPr>
            <w:tcW w:w="1323" w:type="dxa"/>
            <w:vAlign w:val="center"/>
          </w:tcPr>
          <w:p w14:paraId="0B97C28E">
            <w:pPr>
              <w:wordWrap w:val="0"/>
              <w:adjustRightInd/>
              <w:spacing w:line="240" w:lineRule="auto"/>
              <w:jc w:val="center"/>
              <w:rPr>
                <w:szCs w:val="21"/>
              </w:rPr>
            </w:pPr>
            <w:r>
              <w:rPr>
                <w:rFonts w:hint="eastAsia"/>
                <w:szCs w:val="21"/>
              </w:rPr>
              <w:t>12个月</w:t>
            </w:r>
          </w:p>
        </w:tc>
        <w:tc>
          <w:tcPr>
            <w:tcW w:w="2700" w:type="dxa"/>
            <w:vAlign w:val="center"/>
          </w:tcPr>
          <w:p w14:paraId="580F6A1F">
            <w:pPr>
              <w:wordWrap w:val="0"/>
              <w:adjustRightInd/>
              <w:spacing w:line="240" w:lineRule="auto"/>
              <w:jc w:val="center"/>
              <w:rPr>
                <w:szCs w:val="21"/>
              </w:rPr>
            </w:pPr>
            <w:r>
              <w:rPr>
                <w:rFonts w:hint="eastAsia"/>
                <w:szCs w:val="21"/>
              </w:rPr>
              <w:t>北京理工大学</w:t>
            </w:r>
          </w:p>
        </w:tc>
        <w:tc>
          <w:tcPr>
            <w:tcW w:w="1547" w:type="dxa"/>
            <w:vAlign w:val="center"/>
          </w:tcPr>
          <w:p w14:paraId="62670B5D">
            <w:pPr>
              <w:wordWrap w:val="0"/>
              <w:adjustRightInd/>
              <w:spacing w:line="240" w:lineRule="auto"/>
              <w:jc w:val="center"/>
              <w:rPr>
                <w:rFonts w:hint="eastAsia" w:ascii="宋体" w:hAnsi="宋体"/>
                <w:spacing w:val="-20"/>
                <w:szCs w:val="21"/>
              </w:rPr>
            </w:pPr>
            <w:r>
              <w:rPr>
                <w:rFonts w:ascii="宋体" w:hAnsi="宋体"/>
                <w:spacing w:val="-20"/>
                <w:szCs w:val="21"/>
              </w:rPr>
              <w:drawing>
                <wp:inline distT="0" distB="0" distL="114300" distR="114300">
                  <wp:extent cx="690880" cy="398780"/>
                  <wp:effectExtent l="0" t="0" r="0" b="0"/>
                  <wp:docPr id="8" name="图片 7" descr="3558f86efec1154e2bd4d9988f2d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3558f86efec1154e2bd4d9988f2d446"/>
                          <pic:cNvPicPr>
                            <a:picLocks noChangeAspect="1"/>
                          </pic:cNvPicPr>
                        </pic:nvPicPr>
                        <pic:blipFill>
                          <a:blip r:embed="rId15"/>
                          <a:stretch>
                            <a:fillRect/>
                          </a:stretch>
                        </pic:blipFill>
                        <pic:spPr>
                          <a:xfrm>
                            <a:off x="0" y="0"/>
                            <a:ext cx="690880" cy="398780"/>
                          </a:xfrm>
                          <a:prstGeom prst="rect">
                            <a:avLst/>
                          </a:prstGeom>
                          <a:noFill/>
                          <a:ln>
                            <a:noFill/>
                          </a:ln>
                        </pic:spPr>
                      </pic:pic>
                    </a:graphicData>
                  </a:graphic>
                </wp:inline>
              </w:drawing>
            </w:r>
          </w:p>
        </w:tc>
      </w:tr>
    </w:tbl>
    <w:p w14:paraId="7C99474E">
      <w:pPr>
        <w:wordWrap w:val="0"/>
        <w:ind w:right="-57"/>
        <w:rPr>
          <w:bCs/>
          <w:sz w:val="32"/>
          <w:szCs w:val="32"/>
        </w:rPr>
      </w:pPr>
    </w:p>
    <w:p w14:paraId="1F517CE4">
      <w:pPr>
        <w:wordWrap w:val="0"/>
        <w:ind w:right="-57"/>
        <w:rPr>
          <w:bCs/>
          <w:szCs w:val="21"/>
        </w:rPr>
        <w:sectPr>
          <w:pgSz w:w="16840" w:h="11907" w:orient="landscape"/>
          <w:pgMar w:top="964" w:right="1418" w:bottom="964" w:left="1134" w:header="851" w:footer="737" w:gutter="0"/>
          <w:pgNumType w:fmt="numberInDash"/>
          <w:cols w:space="720" w:num="1"/>
          <w:docGrid w:linePitch="285" w:charSpace="0"/>
        </w:sectPr>
      </w:pPr>
      <w:r>
        <w:rPr>
          <w:bCs/>
          <w:szCs w:val="21"/>
        </w:rPr>
        <mc:AlternateContent>
          <mc:Choice Requires="wps">
            <w:drawing>
              <wp:anchor distT="0" distB="0" distL="114300" distR="114300" simplePos="0" relativeHeight="251659264" behindDoc="0" locked="0" layoutInCell="1" allowOverlap="1">
                <wp:simplePos x="0" y="0"/>
                <wp:positionH relativeFrom="column">
                  <wp:posOffset>-52070</wp:posOffset>
                </wp:positionH>
                <wp:positionV relativeFrom="paragraph">
                  <wp:posOffset>76200</wp:posOffset>
                </wp:positionV>
                <wp:extent cx="2540" cy="0"/>
                <wp:effectExtent l="0" t="0" r="0" b="0"/>
                <wp:wrapNone/>
                <wp:docPr id="1" name="文本框 14"/>
                <wp:cNvGraphicFramePr/>
                <a:graphic xmlns:a="http://schemas.openxmlformats.org/drawingml/2006/main">
                  <a:graphicData uri="http://schemas.microsoft.com/office/word/2010/wordprocessingShape">
                    <wps:wsp>
                      <wps:cNvSpPr txBox="1"/>
                      <wps:spPr>
                        <a:xfrm>
                          <a:off x="0" y="0"/>
                          <a:ext cx="2540" cy="0"/>
                        </a:xfrm>
                        <a:prstGeom prst="rect">
                          <a:avLst/>
                        </a:prstGeom>
                        <a:noFill/>
                        <a:ln>
                          <a:noFill/>
                        </a:ln>
                      </wps:spPr>
                      <wps:txbx>
                        <w:txbxContent>
                          <w:p w14:paraId="56CE1E50">
                            <w:pPr>
                              <w:rPr>
                                <w:sz w:val="18"/>
                                <w:szCs w:val="18"/>
                              </w:rPr>
                            </w:pPr>
                            <w:r>
                              <w:rPr>
                                <w:rFonts w:hint="eastAsia"/>
                                <w:sz w:val="18"/>
                                <w:szCs w:val="18"/>
                              </w:rPr>
                              <w:t>说明：高级、中级、初级、博士后、博士生、硕士生人员数、</w:t>
                            </w:r>
                            <w:r>
                              <w:rPr>
                                <w:sz w:val="18"/>
                                <w:szCs w:val="18"/>
                              </w:rPr>
                              <w:t>参加单位数</w:t>
                            </w:r>
                            <w:r>
                              <w:rPr>
                                <w:rFonts w:hint="eastAsia"/>
                                <w:sz w:val="18"/>
                                <w:szCs w:val="18"/>
                              </w:rPr>
                              <w:t>由申请者负责填报（含申请者），总人数自动生成。</w:t>
                            </w:r>
                          </w:p>
                        </w:txbxContent>
                      </wps:txbx>
                      <wps:bodyPr upright="1"/>
                    </wps:wsp>
                  </a:graphicData>
                </a:graphic>
              </wp:anchor>
            </w:drawing>
          </mc:Choice>
          <mc:Fallback>
            <w:pict>
              <v:shape id="文本框 14" o:spid="_x0000_s1026" o:spt="202" type="#_x0000_t202" style="position:absolute;left:0pt;margin-left:-4.1pt;margin-top:6pt;height:0pt;width:0.2pt;z-index:251659264;mso-width-relative:page;mso-height-relative:page;" filled="f" stroked="f" coordsize="21600,21600" o:gfxdata="UEsDBAoAAAAAAIdO4kAAAAAAAAAAAAAAAAAEAAAAZHJzL1BLAwQUAAAACACHTuJAszlmhdMAAAAH&#10;AQAADwAAAGRycy9kb3ducmV2LnhtbE2PS0/DMBCE70j8B2uRuKV2Ix5tGqcHEFcQ5SFx28bbJCJe&#10;R7HbhH/PIg5wnJ3R7Dfldva9OtEYu8AWlgsDirgOruPGwuvLQ7YCFROywz4wWfiiCNvq/KzEwoWJ&#10;n+m0S42SEo4FWmhTGgqtY92Sx7gIA7F4hzB6TCLHRrsRJyn3vc6NudEeO5YPLQ5011L9uTt6C2+P&#10;h4/3K/PU3PvrYQqz0ezX2trLi6XZgEo0p78w/OALOlTCtA9HdlH1FrJVLkm55zJJ/OxWlux/ta5K&#10;/Z+/+gZQSwMEFAAAAAgAh07iQMmxyuqjAQAARwMAAA4AAABkcnMvZTJvRG9jLnhtbK1SwW4TMRC9&#10;I/EPlu/ESVQQWmVTqYrKBQFS4QMcr521ZHssj5Pd/AD8AScu3PmufAdjZ5uWcumhF6898/bNvDez&#10;uh69Ywed0EJo+WI250wHBZ0Nu5Z/+3r75j1nmGXopIOgW37UyK/Xr1+thtjoJfTgOp0YkQRshtjy&#10;PufYCIGq117iDKIOlDSQvMz0TDvRJTkQu3diOZ+/EwOkLiZQGpGim3OST4zpOYRgjFV6A2rvdchn&#10;1qSdzCQJexuRr2u3xmiVPxuDOjPXclKa60lF6L4tp1ivZLNLMvZWTS3I57TwRJOXNlDRC9VGZsn2&#10;yf5H5a1KgGDyTIEXZyHVEVKxmD/x5q6XUVctZDXGi+n4crTq0+FLYrajTeAsSE8DP/38cfr15/T7&#10;O1tcFX+GiA3B7iIB83gDY8FOcaRgkT2a5MuXBDHKk7vHi7t6zExRcPn2iuLqPiEe/ooJ8wcNnpVL&#10;yxNNrZopDx8xUyWC3kNKkQC31rk6ORf+CRCwRERp+dxaueVxO079bqE7kox9THbXU6kqpMLJ31po&#10;2oUywMfvSvqw/+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szlmhdMAAAAHAQAADwAAAAAAAAAB&#10;ACAAAAAiAAAAZHJzL2Rvd25yZXYueG1sUEsBAhQAFAAAAAgAh07iQMmxyuqjAQAARwMAAA4AAAAA&#10;AAAAAQAgAAAAIgEAAGRycy9lMm9Eb2MueG1sUEsFBgAAAAAGAAYAWQEAADcFAAAAAA==&#10;">
                <v:fill on="f" focussize="0,0"/>
                <v:stroke on="f"/>
                <v:imagedata o:title=""/>
                <o:lock v:ext="edit" aspectratio="f"/>
                <v:textbox>
                  <w:txbxContent>
                    <w:p w14:paraId="56CE1E50">
                      <w:pPr>
                        <w:rPr>
                          <w:sz w:val="18"/>
                          <w:szCs w:val="18"/>
                        </w:rPr>
                      </w:pPr>
                      <w:r>
                        <w:rPr>
                          <w:rFonts w:hint="eastAsia"/>
                          <w:sz w:val="18"/>
                          <w:szCs w:val="18"/>
                        </w:rPr>
                        <w:t>说明：高级、中级、初级、博士后、博士生、硕士生人员数、</w:t>
                      </w:r>
                      <w:r>
                        <w:rPr>
                          <w:sz w:val="18"/>
                          <w:szCs w:val="18"/>
                        </w:rPr>
                        <w:t>参加单位数</w:t>
                      </w:r>
                      <w:r>
                        <w:rPr>
                          <w:rFonts w:hint="eastAsia"/>
                          <w:sz w:val="18"/>
                          <w:szCs w:val="18"/>
                        </w:rPr>
                        <w:t>由申请者负责填报（含申请者），总人数自动生成。</w:t>
                      </w:r>
                    </w:p>
                  </w:txbxContent>
                </v:textbox>
              </v:shape>
            </w:pict>
          </mc:Fallback>
        </mc:AlternateContent>
      </w:r>
    </w:p>
    <w:p w14:paraId="1430EC8E">
      <w:pPr>
        <w:wordWrap w:val="0"/>
        <w:spacing w:line="360" w:lineRule="auto"/>
        <w:ind w:right="-57"/>
        <w:outlineLvl w:val="0"/>
        <w:rPr>
          <w:rFonts w:eastAsia="黑体"/>
          <w:b/>
          <w:sz w:val="32"/>
          <w:szCs w:val="32"/>
        </w:rPr>
      </w:pPr>
      <w:r>
        <w:rPr>
          <w:rFonts w:hint="eastAsia" w:eastAsia="黑体"/>
          <w:b/>
          <w:sz w:val="32"/>
          <w:szCs w:val="32"/>
        </w:rPr>
        <w:t>三</w:t>
      </w:r>
      <w:r>
        <w:rPr>
          <w:rFonts w:eastAsia="黑体"/>
          <w:b/>
          <w:sz w:val="32"/>
          <w:szCs w:val="32"/>
        </w:rPr>
        <w:t>、申请书正文</w:t>
      </w:r>
    </w:p>
    <w:p w14:paraId="33EFC021">
      <w:pPr>
        <w:wordWrap w:val="0"/>
        <w:spacing w:line="360" w:lineRule="auto"/>
        <w:ind w:right="-57"/>
        <w:outlineLvl w:val="1"/>
        <w:rPr>
          <w:rFonts w:eastAsia="黑体"/>
          <w:b/>
          <w:sz w:val="28"/>
          <w:szCs w:val="28"/>
        </w:rPr>
      </w:pPr>
      <w:r>
        <w:rPr>
          <w:rFonts w:eastAsia="黑体"/>
          <w:b/>
          <w:sz w:val="28"/>
          <w:szCs w:val="28"/>
        </w:rPr>
        <w:t>（</w:t>
      </w:r>
      <w:r>
        <w:rPr>
          <w:rFonts w:hint="eastAsia" w:eastAsia="黑体"/>
          <w:b/>
          <w:sz w:val="28"/>
          <w:szCs w:val="28"/>
        </w:rPr>
        <w:t>一</w:t>
      </w:r>
      <w:r>
        <w:rPr>
          <w:rFonts w:eastAsia="黑体"/>
          <w:b/>
          <w:sz w:val="28"/>
          <w:szCs w:val="28"/>
        </w:rPr>
        <w:t>）</w:t>
      </w:r>
      <w:r>
        <w:rPr>
          <w:rFonts w:hint="eastAsia" w:eastAsia="黑体"/>
          <w:b/>
          <w:sz w:val="28"/>
          <w:szCs w:val="28"/>
        </w:rPr>
        <w:t>研究初衷</w:t>
      </w:r>
    </w:p>
    <w:p w14:paraId="0FAA82D7">
      <w:pPr>
        <w:wordWrap w:val="0"/>
        <w:spacing w:line="360" w:lineRule="exact"/>
        <w:ind w:left="425" w:firstLine="420" w:firstLineChars="200"/>
        <w:rPr>
          <w:rFonts w:hint="eastAsia" w:ascii="宋体" w:hAnsi="宋体" w:cs="宋体"/>
          <w:szCs w:val="21"/>
        </w:rPr>
      </w:pPr>
      <w:r>
        <w:rPr>
          <w:rFonts w:hint="eastAsia" w:ascii="宋体" w:hAnsi="宋体" w:cs="宋体"/>
          <w:szCs w:val="21"/>
        </w:rPr>
        <w:t>民事纠纷案件数量的持续攀升对我国司法体系带来了严峻挑战。根据2026年3月最高人民法院工作报告，2025年全国民商事一审案件超过2000万件，同比上升逾11%</w:t>
      </w:r>
      <w:r>
        <w:rPr>
          <w:rFonts w:hint="eastAsia" w:ascii="宋体" w:hAnsi="宋体" w:cs="宋体"/>
          <w:szCs w:val="21"/>
          <w:vertAlign w:val="superscript"/>
        </w:rPr>
        <w:fldChar w:fldCharType="begin"/>
      </w:r>
      <w:r>
        <w:rPr>
          <w:rFonts w:hint="eastAsia" w:ascii="宋体" w:hAnsi="宋体" w:cs="宋体"/>
          <w:szCs w:val="21"/>
          <w:vertAlign w:val="superscript"/>
        </w:rPr>
        <w:instrText xml:space="preserve"> REF _Ref11114 \r \h </w:instrText>
      </w:r>
      <w:r>
        <w:rPr>
          <w:rFonts w:hint="eastAsia" w:ascii="宋体" w:hAnsi="宋体" w:cs="宋体"/>
          <w:szCs w:val="21"/>
          <w:vertAlign w:val="superscript"/>
        </w:rPr>
        <w:fldChar w:fldCharType="separate"/>
      </w:r>
      <w:r>
        <w:rPr>
          <w:rFonts w:hint="eastAsia" w:ascii="宋体" w:hAnsi="宋体" w:cs="宋体"/>
          <w:szCs w:val="21"/>
          <w:vertAlign w:val="superscript"/>
        </w:rPr>
        <w:t>[1]</w:t>
      </w:r>
      <w:r>
        <w:rPr>
          <w:rFonts w:hint="eastAsia" w:ascii="宋体" w:hAnsi="宋体" w:cs="宋体"/>
          <w:szCs w:val="21"/>
          <w:vertAlign w:val="superscript"/>
        </w:rPr>
        <w:fldChar w:fldCharType="end"/>
      </w:r>
      <w:r>
        <w:rPr>
          <w:rFonts w:hint="eastAsia" w:ascii="宋体" w:hAnsi="宋体" w:cs="宋体"/>
          <w:szCs w:val="21"/>
        </w:rPr>
        <w:t>。最高人民法院于2024年发布的《人民法院第六个五年改革纲要》</w:t>
      </w:r>
      <w:r>
        <w:rPr>
          <w:rFonts w:hint="eastAsia" w:ascii="宋体" w:hAnsi="宋体" w:cs="宋体"/>
          <w:szCs w:val="21"/>
          <w:vertAlign w:val="superscript"/>
        </w:rPr>
        <w:fldChar w:fldCharType="begin"/>
      </w:r>
      <w:r>
        <w:rPr>
          <w:rFonts w:hint="eastAsia" w:ascii="宋体" w:hAnsi="宋体" w:cs="宋体"/>
          <w:szCs w:val="21"/>
          <w:vertAlign w:val="superscript"/>
        </w:rPr>
        <w:instrText xml:space="preserve"> REF _Ref11179 \r \h </w:instrText>
      </w:r>
      <w:r>
        <w:rPr>
          <w:rFonts w:hint="eastAsia" w:ascii="宋体" w:hAnsi="宋体" w:cs="宋体"/>
          <w:szCs w:val="21"/>
          <w:vertAlign w:val="superscript"/>
        </w:rPr>
        <w:fldChar w:fldCharType="separate"/>
      </w:r>
      <w:r>
        <w:rPr>
          <w:rFonts w:hint="eastAsia" w:ascii="宋体" w:hAnsi="宋体" w:cs="宋体"/>
          <w:szCs w:val="21"/>
          <w:vertAlign w:val="superscript"/>
        </w:rPr>
        <w:t>[2]</w:t>
      </w:r>
      <w:r>
        <w:rPr>
          <w:rFonts w:hint="eastAsia" w:ascii="宋体" w:hAnsi="宋体" w:cs="宋体"/>
          <w:szCs w:val="21"/>
          <w:vertAlign w:val="superscript"/>
        </w:rPr>
        <w:fldChar w:fldCharType="end"/>
      </w:r>
      <w:r>
        <w:rPr>
          <w:rFonts w:hint="eastAsia" w:ascii="宋体" w:hAnsi="宋体" w:cs="宋体"/>
          <w:szCs w:val="21"/>
        </w:rPr>
        <w:t>则进一步强调“强化大语言模型等技术应用，充分发挥人工智能辅助办案作用”。然而，将大语言模型直接应用于民事诉讼实务场景时，仍面临深层次的技术瓶颈。Yu等人的系统评测</w:t>
      </w:r>
      <w:r>
        <w:rPr>
          <w:rFonts w:hint="eastAsia" w:ascii="宋体" w:hAnsi="宋体" w:cs="宋体"/>
          <w:szCs w:val="21"/>
          <w:vertAlign w:val="superscript"/>
        </w:rPr>
        <w:fldChar w:fldCharType="begin"/>
      </w:r>
      <w:r>
        <w:rPr>
          <w:rFonts w:hint="eastAsia" w:ascii="宋体" w:hAnsi="宋体" w:cs="宋体"/>
          <w:szCs w:val="21"/>
          <w:vertAlign w:val="superscript"/>
        </w:rPr>
        <w:instrText xml:space="preserve"> REF _Ref11261 \r \h </w:instrText>
      </w:r>
      <w:r>
        <w:rPr>
          <w:rFonts w:hint="eastAsia" w:ascii="宋体" w:hAnsi="宋体" w:cs="宋体"/>
          <w:szCs w:val="21"/>
          <w:vertAlign w:val="superscript"/>
        </w:rPr>
        <w:fldChar w:fldCharType="separate"/>
      </w:r>
      <w:r>
        <w:rPr>
          <w:rFonts w:hint="eastAsia" w:ascii="宋体" w:hAnsi="宋体" w:cs="宋体"/>
          <w:szCs w:val="21"/>
          <w:vertAlign w:val="superscript"/>
        </w:rPr>
        <w:t>[3]</w:t>
      </w:r>
      <w:r>
        <w:rPr>
          <w:rFonts w:hint="eastAsia" w:ascii="宋体" w:hAnsi="宋体" w:cs="宋体"/>
          <w:szCs w:val="21"/>
          <w:vertAlign w:val="superscript"/>
        </w:rPr>
        <w:fldChar w:fldCharType="end"/>
      </w:r>
      <w:r>
        <w:rPr>
          <w:rFonts w:hint="eastAsia" w:ascii="宋体" w:hAnsi="宋体" w:cs="宋体"/>
          <w:szCs w:val="21"/>
        </w:rPr>
        <w:t>显示GPT-4o在中文法律知识基准上得分仅为59.4%，推理增强模型在高难度法律推理基准中亦表现不佳。而现有研究也暴露了两个亟待突破的关键瓶颈：</w:t>
      </w:r>
    </w:p>
    <w:p w14:paraId="1B6A2536">
      <w:pPr>
        <w:numPr>
          <w:ilvl w:val="0"/>
          <w:numId w:val="1"/>
        </w:numPr>
        <w:wordWrap w:val="0"/>
        <w:spacing w:line="360" w:lineRule="exact"/>
        <w:ind w:left="425" w:firstLine="420" w:firstLineChars="200"/>
        <w:rPr>
          <w:rFonts w:hint="eastAsia" w:ascii="宋体" w:hAnsi="宋体" w:cs="宋体"/>
          <w:szCs w:val="21"/>
        </w:rPr>
      </w:pPr>
      <w:r>
        <w:rPr>
          <w:rFonts w:hint="eastAsia" w:ascii="宋体" w:hAnsi="宋体" w:cs="宋体"/>
          <w:szCs w:val="21"/>
        </w:rPr>
        <w:t>交互动态性不足。现有法律AI系统主要采用静态问答范式，无法模拟真实庭审中多轮质证、举证、辩论的动态交互。J1-EVAL评测发现GPT-4o在动态法律场景中整体得分不足60%，尤其在程序执行（Procedural-Following Score, PFS）方面严重不足</w:t>
      </w:r>
      <w:r>
        <w:rPr>
          <w:rFonts w:hint="eastAsia" w:ascii="宋体" w:hAnsi="宋体" w:cs="宋体"/>
          <w:szCs w:val="21"/>
          <w:vertAlign w:val="superscript"/>
        </w:rPr>
        <w:fldChar w:fldCharType="begin"/>
      </w:r>
      <w:r>
        <w:rPr>
          <w:rFonts w:hint="eastAsia" w:ascii="宋体" w:hAnsi="宋体" w:cs="宋体"/>
          <w:szCs w:val="21"/>
          <w:vertAlign w:val="superscript"/>
        </w:rPr>
        <w:instrText xml:space="preserve"> REF _Ref11310 \r \h </w:instrText>
      </w:r>
      <w:r>
        <w:rPr>
          <w:rFonts w:hint="eastAsia" w:ascii="宋体" w:hAnsi="宋体" w:cs="宋体"/>
          <w:szCs w:val="21"/>
          <w:vertAlign w:val="superscript"/>
        </w:rPr>
        <w:fldChar w:fldCharType="separate"/>
      </w:r>
      <w:r>
        <w:rPr>
          <w:rFonts w:hint="eastAsia" w:ascii="宋体" w:hAnsi="宋体" w:cs="宋体"/>
          <w:szCs w:val="21"/>
          <w:vertAlign w:val="superscript"/>
        </w:rPr>
        <w:t>[4]</w:t>
      </w:r>
      <w:r>
        <w:rPr>
          <w:rFonts w:hint="eastAsia" w:ascii="宋体" w:hAnsi="宋体" w:cs="宋体"/>
          <w:szCs w:val="21"/>
          <w:vertAlign w:val="superscript"/>
        </w:rPr>
        <w:fldChar w:fldCharType="end"/>
      </w:r>
      <w:r>
        <w:rPr>
          <w:rFonts w:hint="eastAsia" w:ascii="宋体" w:hAnsi="宋体" w:cs="宋体"/>
          <w:szCs w:val="21"/>
        </w:rPr>
        <w:t>，表明大语言模型在"知道法律知识"与"正确执行法律程序"之间存在结构性鸿沟。</w:t>
      </w:r>
    </w:p>
    <w:p w14:paraId="52223772">
      <w:pPr>
        <w:numPr>
          <w:ilvl w:val="0"/>
          <w:numId w:val="1"/>
        </w:numPr>
        <w:wordWrap w:val="0"/>
        <w:spacing w:line="360" w:lineRule="exact"/>
        <w:ind w:left="425" w:firstLine="420" w:firstLineChars="200"/>
        <w:rPr>
          <w:rFonts w:hint="eastAsia" w:ascii="宋体" w:hAnsi="宋体" w:cs="宋体"/>
          <w:szCs w:val="21"/>
        </w:rPr>
      </w:pPr>
      <w:r>
        <w:rPr>
          <w:rFonts w:hint="eastAsia" w:ascii="宋体" w:hAnsi="宋体" w:cs="宋体"/>
          <w:szCs w:val="21"/>
        </w:rPr>
        <w:t>策略博弈维度缺失。真实的民事诉讼不是一次性的静态决策，而是多阶段的序贯博弈过程——原告首先选择起诉策略（如激进主张全额赔偿或保守主张部分赔偿），被告在收到起诉状后观察原告策略再选择答辩策略（如全面否认或部分承认），法官最终基于双方策略组合裁判。这种“先行动者→后行动者观察后响应”的结构，在博弈论中对应扩展式博弈（extensive-form game），Selten提出的子博弈精炼纳什均衡（Subgame Perfect Nash Equilibrium, SPNE）</w:t>
      </w:r>
      <w:r>
        <w:rPr>
          <w:rFonts w:hint="eastAsia" w:ascii="宋体" w:hAnsi="宋体" w:cs="宋体"/>
          <w:szCs w:val="21"/>
          <w:vertAlign w:val="superscript"/>
        </w:rPr>
        <w:fldChar w:fldCharType="begin"/>
      </w:r>
      <w:r>
        <w:rPr>
          <w:rFonts w:hint="eastAsia" w:ascii="宋体" w:hAnsi="宋体" w:cs="宋体"/>
          <w:szCs w:val="21"/>
          <w:vertAlign w:val="superscript"/>
        </w:rPr>
        <w:instrText xml:space="preserve"> REF _Ref11382 \r \h </w:instrText>
      </w:r>
      <w:r>
        <w:rPr>
          <w:rFonts w:hint="eastAsia" w:ascii="宋体" w:hAnsi="宋体" w:cs="宋体"/>
          <w:szCs w:val="21"/>
          <w:vertAlign w:val="superscript"/>
        </w:rPr>
        <w:fldChar w:fldCharType="separate"/>
      </w:r>
      <w:r>
        <w:rPr>
          <w:rFonts w:hint="eastAsia" w:ascii="宋体" w:hAnsi="宋体" w:cs="宋体"/>
          <w:szCs w:val="21"/>
          <w:vertAlign w:val="superscript"/>
        </w:rPr>
        <w:t>[5]</w:t>
      </w:r>
      <w:r>
        <w:rPr>
          <w:rFonts w:hint="eastAsia" w:ascii="宋体" w:hAnsi="宋体" w:cs="宋体"/>
          <w:szCs w:val="21"/>
          <w:vertAlign w:val="superscript"/>
        </w:rPr>
        <w:fldChar w:fldCharType="end"/>
      </w:r>
      <w:r>
        <w:rPr>
          <w:rFonts w:hint="eastAsia" w:ascii="宋体" w:hAnsi="宋体" w:cs="宋体"/>
          <w:szCs w:val="21"/>
        </w:rPr>
        <w:t>正是求解此类序贯决策的经典工具——SPNE通过反向归纳法排除不可信威胁，给出比传统纳什均衡（Nash Equilibrium, NE）更精确的序贯策略预测。</w:t>
      </w:r>
    </w:p>
    <w:p w14:paraId="05B5FE6A">
      <w:pPr>
        <w:wordWrap w:val="0"/>
        <w:spacing w:line="360" w:lineRule="exact"/>
        <w:ind w:left="425" w:firstLine="420" w:firstLineChars="200"/>
        <w:rPr>
          <w:rFonts w:hint="eastAsia" w:ascii="宋体" w:hAnsi="宋体" w:cs="宋体"/>
          <w:szCs w:val="21"/>
        </w:rPr>
      </w:pPr>
      <w:r>
        <w:rPr>
          <w:rFonts w:hint="eastAsia" w:ascii="宋体" w:hAnsi="宋体" w:cs="宋体"/>
          <w:szCs w:val="21"/>
        </w:rPr>
        <w:t>然而，当前的法律AI系统普遍忽略了诉讼的序贯结构。Chen等人的AgentMediation</w:t>
      </w:r>
      <w:r>
        <w:rPr>
          <w:rFonts w:hint="eastAsia" w:ascii="宋体" w:hAnsi="宋体" w:cs="宋体"/>
          <w:szCs w:val="21"/>
          <w:vertAlign w:val="superscript"/>
        </w:rPr>
        <w:fldChar w:fldCharType="begin"/>
      </w:r>
      <w:r>
        <w:rPr>
          <w:rFonts w:hint="eastAsia" w:ascii="宋体" w:hAnsi="宋体" w:cs="宋体"/>
          <w:szCs w:val="21"/>
          <w:vertAlign w:val="superscript"/>
        </w:rPr>
        <w:instrText xml:space="preserve"> REF _Ref11437 \r \h </w:instrText>
      </w:r>
      <w:r>
        <w:rPr>
          <w:rFonts w:hint="eastAsia" w:ascii="宋体" w:hAnsi="宋体" w:cs="宋体"/>
          <w:szCs w:val="21"/>
          <w:vertAlign w:val="superscript"/>
        </w:rPr>
        <w:fldChar w:fldCharType="separate"/>
      </w:r>
      <w:r>
        <w:rPr>
          <w:rFonts w:hint="eastAsia" w:ascii="宋体" w:hAnsi="宋体" w:cs="宋体"/>
          <w:szCs w:val="21"/>
          <w:vertAlign w:val="superscript"/>
        </w:rPr>
        <w:t>[6]</w:t>
      </w:r>
      <w:r>
        <w:rPr>
          <w:rFonts w:hint="eastAsia" w:ascii="宋体" w:hAnsi="宋体" w:cs="宋体"/>
          <w:szCs w:val="21"/>
          <w:vertAlign w:val="superscript"/>
        </w:rPr>
        <w:fldChar w:fldCharType="end"/>
      </w:r>
      <w:r>
        <w:rPr>
          <w:rFonts w:hint="eastAsia" w:ascii="宋体" w:hAnsi="宋体" w:cs="宋体"/>
          <w:szCs w:val="21"/>
        </w:rPr>
        <w:t>是当前LLM多智能体法律模拟的代表性工作，通过在330个真实民事案件上进行超过14000次模拟，基于Thomas-Kilmann冲突模型（TKI）</w:t>
      </w:r>
      <w:r>
        <w:rPr>
          <w:rFonts w:hint="eastAsia" w:ascii="宋体" w:hAnsi="宋体" w:cs="宋体"/>
          <w:szCs w:val="21"/>
          <w:vertAlign w:val="superscript"/>
        </w:rPr>
        <w:fldChar w:fldCharType="begin"/>
      </w:r>
      <w:r>
        <w:rPr>
          <w:rFonts w:hint="eastAsia" w:ascii="宋体" w:hAnsi="宋体" w:cs="宋体"/>
          <w:szCs w:val="21"/>
          <w:vertAlign w:val="superscript"/>
        </w:rPr>
        <w:instrText xml:space="preserve"> REF _Ref11506 \r \h </w:instrText>
      </w:r>
      <w:r>
        <w:rPr>
          <w:rFonts w:hint="eastAsia" w:ascii="宋体" w:hAnsi="宋体" w:cs="宋体"/>
          <w:szCs w:val="21"/>
          <w:vertAlign w:val="superscript"/>
        </w:rPr>
        <w:fldChar w:fldCharType="separate"/>
      </w:r>
      <w:r>
        <w:rPr>
          <w:rFonts w:hint="eastAsia" w:ascii="宋体" w:hAnsi="宋体" w:cs="宋体"/>
          <w:szCs w:val="21"/>
          <w:vertAlign w:val="superscript"/>
        </w:rPr>
        <w:t>[7]</w:t>
      </w:r>
      <w:r>
        <w:rPr>
          <w:rFonts w:hint="eastAsia" w:ascii="宋体" w:hAnsi="宋体" w:cs="宋体"/>
          <w:szCs w:val="21"/>
          <w:vertAlign w:val="superscript"/>
        </w:rPr>
        <w:fldChar w:fldCharType="end"/>
      </w:r>
      <w:r>
        <w:rPr>
          <w:rFonts w:hint="eastAsia" w:ascii="宋体" w:hAnsi="宋体" w:cs="宋体"/>
          <w:szCs w:val="21"/>
        </w:rPr>
        <w:t>验证了不同行为策略对调解结果的显著非线性影响。然而该工作仅在单一调解阶段中使用静态策略标签，以标准式博弈（normal-form game）求解NE，既未建模诉讼从起诉到答辩的序贯决策结构，也未分析策略跨阶段的传导效应。在真实诉讼中，原告的起诉策略选择会实质性地改变被告的信息集和可选行动空间——例如原告选择“竞争型”策略激进主张全额赔偿后，被告可能发现全面否认（同样“竞争型”）的预期收益反而低于部分承认（“妥协型”），因为法官会认为面对充分证据的全面否认缺乏可信度。这种序贯依赖关系被静态NE完全忽略。</w:t>
      </w:r>
    </w:p>
    <w:p w14:paraId="31EDCE7F">
      <w:pPr>
        <w:wordWrap w:val="0"/>
        <w:spacing w:line="360" w:lineRule="exact"/>
        <w:ind w:left="425" w:firstLine="420" w:firstLineChars="200"/>
        <w:rPr>
          <w:rFonts w:hint="eastAsia" w:ascii="宋体" w:hAnsi="宋体" w:cs="宋体"/>
          <w:szCs w:val="21"/>
        </w:rPr>
      </w:pPr>
      <w:r>
        <w:rPr>
          <w:rFonts w:hint="eastAsia" w:ascii="宋体" w:hAnsi="宋体" w:cs="宋体"/>
          <w:szCs w:val="21"/>
        </w:rPr>
        <w:t>Sun等人的系统综述</w:t>
      </w:r>
      <w:r>
        <w:rPr>
          <w:rFonts w:hint="eastAsia" w:ascii="宋体" w:hAnsi="宋体" w:cs="宋体"/>
          <w:szCs w:val="21"/>
          <w:vertAlign w:val="superscript"/>
        </w:rPr>
        <w:fldChar w:fldCharType="begin"/>
      </w:r>
      <w:r>
        <w:rPr>
          <w:rFonts w:hint="eastAsia" w:ascii="宋体" w:hAnsi="宋体" w:cs="宋体"/>
          <w:szCs w:val="21"/>
          <w:vertAlign w:val="superscript"/>
        </w:rPr>
        <w:instrText xml:space="preserve"> REF _Ref11506 \r \h </w:instrText>
      </w:r>
      <w:r>
        <w:rPr>
          <w:rFonts w:hint="eastAsia" w:ascii="宋体" w:hAnsi="宋体" w:cs="宋体"/>
          <w:szCs w:val="21"/>
          <w:vertAlign w:val="superscript"/>
        </w:rPr>
        <w:fldChar w:fldCharType="separate"/>
      </w:r>
      <w:r>
        <w:rPr>
          <w:rFonts w:hint="eastAsia" w:ascii="宋体" w:hAnsi="宋体" w:cs="宋体"/>
          <w:szCs w:val="21"/>
          <w:vertAlign w:val="superscript"/>
        </w:rPr>
        <w:t>[8]</w:t>
      </w:r>
      <w:r>
        <w:rPr>
          <w:rFonts w:hint="eastAsia" w:ascii="宋体" w:hAnsi="宋体" w:cs="宋体"/>
          <w:szCs w:val="21"/>
          <w:vertAlign w:val="superscript"/>
        </w:rPr>
        <w:fldChar w:fldCharType="end"/>
      </w:r>
      <w:r>
        <w:rPr>
          <w:rFonts w:hint="eastAsia" w:ascii="宋体" w:hAnsi="宋体" w:cs="宋体"/>
          <w:szCs w:val="21"/>
        </w:rPr>
        <w:t>将博弈论与LLM的交叉研究归纳为四个象限，指出当前研究主要集中在“用博弈论评测LLM”（象限1），而将博弈论机制嵌入LLM多智能体系统以驱动策略优化（象限2与4的交叉）的工作并不多见。尤其是，将扩展式博弈的SPNE框架引入LLM多智能体法律模拟系统，在现有文献中并未有过多探索。进一步地，若SPNE给出了不同于NE的策略预测，还需追问该序贯均衡在群体层面是否稳定，Maynard Smith的演化稳定策略（Evolutionarily Stable Strategy, ESS）理论</w:t>
      </w:r>
      <w:r>
        <w:rPr>
          <w:rFonts w:hint="eastAsia" w:ascii="宋体" w:hAnsi="宋体" w:cs="宋体"/>
          <w:szCs w:val="21"/>
          <w:vertAlign w:val="superscript"/>
        </w:rPr>
        <w:fldChar w:fldCharType="begin"/>
      </w:r>
      <w:r>
        <w:rPr>
          <w:rFonts w:hint="eastAsia" w:ascii="宋体" w:hAnsi="宋体" w:cs="宋体"/>
          <w:szCs w:val="21"/>
          <w:vertAlign w:val="superscript"/>
        </w:rPr>
        <w:instrText xml:space="preserve"> REF _Ref11610 \r \h </w:instrText>
      </w:r>
      <w:r>
        <w:rPr>
          <w:rFonts w:hint="eastAsia" w:ascii="宋体" w:hAnsi="宋体" w:cs="宋体"/>
          <w:szCs w:val="21"/>
          <w:vertAlign w:val="superscript"/>
        </w:rPr>
        <w:fldChar w:fldCharType="separate"/>
      </w:r>
      <w:r>
        <w:rPr>
          <w:rFonts w:hint="eastAsia" w:ascii="宋体" w:hAnsi="宋体" w:cs="宋体"/>
          <w:szCs w:val="21"/>
          <w:vertAlign w:val="superscript"/>
        </w:rPr>
        <w:t>[9]</w:t>
      </w:r>
      <w:r>
        <w:rPr>
          <w:rFonts w:hint="eastAsia" w:ascii="宋体" w:hAnsi="宋体" w:cs="宋体"/>
          <w:szCs w:val="21"/>
          <w:vertAlign w:val="superscript"/>
        </w:rPr>
        <w:fldChar w:fldCharType="end"/>
      </w:r>
      <w:r>
        <w:rPr>
          <w:rFonts w:hint="eastAsia" w:ascii="宋体" w:hAnsi="宋体" w:cs="宋体"/>
          <w:szCs w:val="21"/>
        </w:rPr>
        <w:t>和复制者动态方程为此提供了成熟的数学验证工具，但尚未被引入法律AI领域。</w:t>
      </w:r>
    </w:p>
    <w:p w14:paraId="0B17BB80">
      <w:pPr>
        <w:wordWrap w:val="0"/>
        <w:spacing w:line="360" w:lineRule="exact"/>
        <w:ind w:left="425" w:firstLine="420" w:firstLineChars="200"/>
        <w:rPr>
          <w:rFonts w:eastAsia="黑体"/>
          <w:bCs/>
          <w:szCs w:val="21"/>
        </w:rPr>
      </w:pPr>
      <w:r>
        <w:rPr>
          <w:rFonts w:hint="eastAsia" w:ascii="宋体" w:hAnsi="宋体" w:cs="宋体"/>
          <w:szCs w:val="21"/>
        </w:rPr>
        <w:t>基于上述分析，本研究拟构建一个基于扩展式博弈建模的多智能体协同模拟法庭系统（LegalFlow），在LLM多智能体框架下将民事诉讼的起诉（Complaint Drafting, CD）→答辩（Defense Drafting, DD）→审判（Court Investigation, CI）全流程管道建模为扩展式博弈，引入SPNE求解序贯策略，通过与传统NE的系统性对照实验验证序贯建模在法律AI策略预测中的有效性，并借助演化博弈理论在群体层面检验序贯均衡的稳定性。系统由原告律师智能体、被告律师智能体、审判长智能体和当事人模拟器四个角色在博弈框架下协同运作，底层辅以渐进式法条检索增强（Progressive Retrieval-Augmented Generation, P-RAG）保障判决质量，旨在为法律AI领域提供一个兼具博弈论理论深度和工程可用性的模拟法庭研究平台。</w:t>
      </w:r>
    </w:p>
    <w:p w14:paraId="2880DD6A">
      <w:pPr>
        <w:wordWrap w:val="0"/>
        <w:ind w:left="424"/>
        <w:rPr>
          <w:rFonts w:eastAsia="黑体"/>
          <w:bCs/>
          <w:sz w:val="24"/>
          <w:szCs w:val="24"/>
        </w:rPr>
      </w:pPr>
      <w:bookmarkStart w:id="0" w:name="baseon"/>
      <w:bookmarkEnd w:id="0"/>
    </w:p>
    <w:p w14:paraId="72BB0305">
      <w:pPr>
        <w:wordWrap w:val="0"/>
        <w:spacing w:after="120" w:afterLines="50"/>
        <w:ind w:left="425" w:right="158" w:rightChars="75"/>
        <w:rPr>
          <w:rFonts w:eastAsia="黑体"/>
          <w:bCs/>
          <w:sz w:val="24"/>
          <w:szCs w:val="24"/>
        </w:rPr>
      </w:pPr>
      <w:r>
        <w:rPr>
          <w:rFonts w:eastAsia="黑体"/>
          <w:bCs/>
          <w:sz w:val="24"/>
          <w:szCs w:val="24"/>
        </w:rPr>
        <w:t>参考文献</w:t>
      </w:r>
      <w:r>
        <w:rPr>
          <w:rFonts w:hint="eastAsia" w:eastAsia="黑体"/>
          <w:bCs/>
          <w:sz w:val="24"/>
          <w:szCs w:val="24"/>
        </w:rPr>
        <w:t>：</w:t>
      </w:r>
    </w:p>
    <w:p w14:paraId="0B6FDD04">
      <w:pPr>
        <w:numPr>
          <w:ilvl w:val="0"/>
          <w:numId w:val="2"/>
        </w:numPr>
        <w:wordWrap w:val="0"/>
        <w:spacing w:line="360" w:lineRule="auto"/>
        <w:ind w:right="-57"/>
        <w:outlineLvl w:val="1"/>
        <w:rPr>
          <w:rFonts w:hint="eastAsia" w:ascii="楷体" w:hAnsi="楷体" w:eastAsia="楷体" w:cs="楷体"/>
          <w:bCs/>
          <w:sz w:val="24"/>
          <w:szCs w:val="24"/>
        </w:rPr>
      </w:pPr>
      <w:bookmarkStart w:id="1" w:name="_Ref11114"/>
      <w:r>
        <w:rPr>
          <w:rFonts w:hint="eastAsia" w:ascii="楷体" w:hAnsi="楷体" w:eastAsia="楷体" w:cs="楷体"/>
          <w:bCs/>
          <w:sz w:val="24"/>
          <w:szCs w:val="24"/>
        </w:rPr>
        <w:t>最高人民法院. 最高人民法院工作报告. 2026.</w:t>
      </w:r>
      <w:bookmarkEnd w:id="1"/>
    </w:p>
    <w:p w14:paraId="5D7EA237">
      <w:pPr>
        <w:numPr>
          <w:ilvl w:val="0"/>
          <w:numId w:val="2"/>
        </w:numPr>
        <w:wordWrap w:val="0"/>
        <w:spacing w:line="360" w:lineRule="auto"/>
        <w:ind w:right="-57"/>
        <w:outlineLvl w:val="1"/>
        <w:rPr>
          <w:rFonts w:hint="eastAsia" w:ascii="楷体" w:hAnsi="楷体" w:eastAsia="楷体" w:cs="楷体"/>
          <w:bCs/>
          <w:sz w:val="24"/>
          <w:szCs w:val="24"/>
        </w:rPr>
      </w:pPr>
      <w:bookmarkStart w:id="2" w:name="_Ref11179"/>
      <w:r>
        <w:rPr>
          <w:rFonts w:hint="eastAsia" w:ascii="楷体" w:hAnsi="楷体" w:eastAsia="楷体" w:cs="楷体"/>
          <w:bCs/>
          <w:sz w:val="24"/>
          <w:szCs w:val="24"/>
        </w:rPr>
        <w:t>最高人民法院. 人民法院第六个五年改革纲要（2024—2028年）. 2024.</w:t>
      </w:r>
      <w:bookmarkEnd w:id="2"/>
    </w:p>
    <w:p w14:paraId="5E2207EC">
      <w:pPr>
        <w:numPr>
          <w:ilvl w:val="0"/>
          <w:numId w:val="2"/>
        </w:numPr>
        <w:wordWrap w:val="0"/>
        <w:spacing w:line="360" w:lineRule="auto"/>
        <w:ind w:right="-57"/>
        <w:outlineLvl w:val="1"/>
        <w:rPr>
          <w:rFonts w:hint="eastAsia" w:ascii="楷体" w:hAnsi="楷体" w:eastAsia="楷体" w:cs="楷体"/>
          <w:bCs/>
          <w:sz w:val="24"/>
          <w:szCs w:val="24"/>
        </w:rPr>
      </w:pPr>
      <w:bookmarkStart w:id="3" w:name="_Ref11261"/>
      <w:r>
        <w:rPr>
          <w:rFonts w:hint="eastAsia" w:ascii="楷体" w:hAnsi="楷体" w:eastAsia="楷体" w:cs="楷体"/>
          <w:bCs/>
          <w:sz w:val="24"/>
          <w:szCs w:val="24"/>
        </w:rPr>
        <w:t>Yu Y, Hu Y, et al. Evaluating Test-Time Scaling LLMs for Legal Reasoning: OpenAI o1, DeepSeek-R1, and Beyond. Findings of EMNLP, 2025.</w:t>
      </w:r>
      <w:bookmarkEnd w:id="3"/>
    </w:p>
    <w:p w14:paraId="5A96D0CF">
      <w:pPr>
        <w:numPr>
          <w:ilvl w:val="0"/>
          <w:numId w:val="2"/>
        </w:numPr>
        <w:wordWrap w:val="0"/>
        <w:spacing w:line="360" w:lineRule="auto"/>
        <w:ind w:right="-57"/>
        <w:outlineLvl w:val="1"/>
        <w:rPr>
          <w:rFonts w:hint="eastAsia" w:ascii="楷体" w:hAnsi="楷体" w:eastAsia="楷体" w:cs="楷体"/>
          <w:bCs/>
          <w:sz w:val="24"/>
          <w:szCs w:val="24"/>
        </w:rPr>
      </w:pPr>
      <w:bookmarkStart w:id="4" w:name="_Ref11310"/>
      <w:r>
        <w:rPr>
          <w:rFonts w:hint="eastAsia" w:ascii="楷体" w:hAnsi="楷体" w:eastAsia="楷体" w:cs="楷体"/>
          <w:bCs/>
          <w:sz w:val="24"/>
          <w:szCs w:val="24"/>
        </w:rPr>
        <w:t>Jia Z, Yue S, Chen W, et al. Ready Jurist One: Benchmarking Language Agents for Legal Intelligence in Dynamic Environments. arXiv, 2025.</w:t>
      </w:r>
      <w:bookmarkEnd w:id="4"/>
    </w:p>
    <w:p w14:paraId="66D57A80">
      <w:pPr>
        <w:numPr>
          <w:ilvl w:val="0"/>
          <w:numId w:val="2"/>
        </w:numPr>
        <w:wordWrap w:val="0"/>
        <w:spacing w:line="360" w:lineRule="auto"/>
        <w:ind w:right="-57"/>
        <w:outlineLvl w:val="1"/>
        <w:rPr>
          <w:rFonts w:hint="eastAsia" w:ascii="楷体" w:hAnsi="楷体" w:eastAsia="楷体" w:cs="楷体"/>
          <w:bCs/>
          <w:sz w:val="24"/>
          <w:szCs w:val="24"/>
        </w:rPr>
      </w:pPr>
      <w:bookmarkStart w:id="5" w:name="_Ref11382"/>
      <w:r>
        <w:rPr>
          <w:rFonts w:hint="eastAsia" w:ascii="楷体" w:hAnsi="楷体" w:eastAsia="楷体" w:cs="楷体"/>
          <w:bCs/>
          <w:sz w:val="24"/>
          <w:szCs w:val="24"/>
        </w:rPr>
        <w:t>Selten R. Reexamination of the Perfectness Concept for Equilibrium Points in Extensive Games. International Journal of Game Theory, 1975, 4(1): 25-55.</w:t>
      </w:r>
      <w:bookmarkEnd w:id="5"/>
    </w:p>
    <w:p w14:paraId="26C97085">
      <w:pPr>
        <w:numPr>
          <w:ilvl w:val="0"/>
          <w:numId w:val="2"/>
        </w:numPr>
        <w:wordWrap w:val="0"/>
        <w:spacing w:line="360" w:lineRule="auto"/>
        <w:ind w:right="-57"/>
        <w:outlineLvl w:val="1"/>
        <w:rPr>
          <w:rFonts w:hint="eastAsia" w:ascii="楷体" w:hAnsi="楷体" w:eastAsia="楷体" w:cs="楷体"/>
          <w:bCs/>
          <w:sz w:val="24"/>
          <w:szCs w:val="24"/>
        </w:rPr>
      </w:pPr>
      <w:bookmarkStart w:id="6" w:name="_Ref11437"/>
      <w:r>
        <w:rPr>
          <w:rFonts w:hint="eastAsia" w:ascii="楷体" w:hAnsi="楷体" w:eastAsia="楷体" w:cs="楷体"/>
          <w:bCs/>
          <w:sz w:val="24"/>
          <w:szCs w:val="24"/>
        </w:rPr>
        <w:t>Chen J, Li H, Qin M, et al. Simulating Dispute Mediation with LLM-Based Agents for Legal Research. Proceedings of AAAI, 2026.</w:t>
      </w:r>
      <w:bookmarkEnd w:id="6"/>
    </w:p>
    <w:p w14:paraId="18EE6700">
      <w:pPr>
        <w:numPr>
          <w:ilvl w:val="0"/>
          <w:numId w:val="2"/>
        </w:numPr>
        <w:wordWrap w:val="0"/>
        <w:spacing w:line="360" w:lineRule="auto"/>
        <w:ind w:right="-57"/>
        <w:outlineLvl w:val="1"/>
        <w:rPr>
          <w:rFonts w:hint="eastAsia" w:ascii="楷体" w:hAnsi="楷体" w:eastAsia="楷体" w:cs="楷体"/>
          <w:bCs/>
          <w:sz w:val="24"/>
          <w:szCs w:val="24"/>
        </w:rPr>
      </w:pPr>
      <w:bookmarkStart w:id="7" w:name="_Ref11506"/>
      <w:r>
        <w:rPr>
          <w:rFonts w:hint="eastAsia" w:ascii="楷体" w:hAnsi="楷体" w:eastAsia="楷体" w:cs="楷体"/>
          <w:bCs/>
          <w:sz w:val="24"/>
          <w:szCs w:val="24"/>
        </w:rPr>
        <w:t xml:space="preserve"> Thomas K W. Thomas-Kilmann Conflict Mode Instrument. TKI Profile and Interpretive Report, 2008.</w:t>
      </w:r>
      <w:bookmarkEnd w:id="7"/>
    </w:p>
    <w:p w14:paraId="0CF225D2">
      <w:pPr>
        <w:numPr>
          <w:ilvl w:val="0"/>
          <w:numId w:val="2"/>
        </w:numPr>
        <w:wordWrap w:val="0"/>
        <w:spacing w:line="360" w:lineRule="auto"/>
        <w:ind w:right="-57"/>
        <w:outlineLvl w:val="1"/>
        <w:rPr>
          <w:rFonts w:hint="eastAsia" w:ascii="楷体" w:hAnsi="楷体" w:eastAsia="楷体" w:cs="楷体"/>
          <w:bCs/>
          <w:sz w:val="24"/>
          <w:szCs w:val="24"/>
        </w:rPr>
      </w:pPr>
      <w:bookmarkStart w:id="8" w:name="_Ref11610"/>
      <w:r>
        <w:rPr>
          <w:rFonts w:hint="eastAsia" w:ascii="楷体" w:hAnsi="楷体" w:eastAsia="楷体" w:cs="楷体"/>
          <w:bCs/>
          <w:sz w:val="24"/>
          <w:szCs w:val="24"/>
        </w:rPr>
        <w:t>Sun H, Wu Y, Wang P, et al. Game Theory Meets Large Language Models: A Systematic Survey with Taxonomy and New Frontiers. arXiv, 2025.</w:t>
      </w:r>
      <w:bookmarkEnd w:id="8"/>
    </w:p>
    <w:p w14:paraId="40A1B352">
      <w:pPr>
        <w:numPr>
          <w:ilvl w:val="0"/>
          <w:numId w:val="2"/>
        </w:numPr>
        <w:wordWrap w:val="0"/>
        <w:spacing w:line="360" w:lineRule="auto"/>
        <w:ind w:right="-57"/>
        <w:outlineLvl w:val="1"/>
        <w:rPr>
          <w:rFonts w:hint="eastAsia" w:ascii="楷体" w:hAnsi="楷体" w:eastAsia="楷体" w:cs="楷体"/>
          <w:bCs/>
          <w:sz w:val="24"/>
          <w:szCs w:val="24"/>
        </w:rPr>
      </w:pPr>
      <w:r>
        <w:rPr>
          <w:rFonts w:hint="eastAsia" w:ascii="楷体" w:hAnsi="楷体" w:eastAsia="楷体" w:cs="楷体"/>
          <w:bCs/>
          <w:sz w:val="24"/>
          <w:szCs w:val="24"/>
        </w:rPr>
        <w:t>Maynard Smith J, Price G R. The Logic of Animal Conflict. Nature, 1973, 246: 15-18.</w:t>
      </w:r>
    </w:p>
    <w:p w14:paraId="166915F3">
      <w:pPr>
        <w:numPr>
          <w:ilvl w:val="0"/>
          <w:numId w:val="2"/>
        </w:numPr>
        <w:wordWrap w:val="0"/>
        <w:spacing w:line="360" w:lineRule="auto"/>
        <w:ind w:right="-57"/>
        <w:outlineLvl w:val="1"/>
        <w:rPr>
          <w:rFonts w:hint="eastAsia" w:ascii="楷体" w:hAnsi="楷体" w:eastAsia="楷体" w:cs="楷体"/>
          <w:bCs/>
          <w:sz w:val="24"/>
          <w:szCs w:val="24"/>
        </w:rPr>
      </w:pPr>
      <w:r>
        <w:rPr>
          <w:rFonts w:hint="eastAsia" w:ascii="楷体" w:hAnsi="楷体" w:eastAsia="楷体" w:cs="楷体"/>
          <w:bCs/>
          <w:sz w:val="24"/>
          <w:szCs w:val="24"/>
        </w:rPr>
        <w:t>Li H, Chen Y, Ai Q, et al. LexEval: A Comprehensive Chinese Legal Benchmark for Evaluating Large Language Models. Proceedings of NeurIPS Datasets and Benchmarks Track, 2024.</w:t>
      </w:r>
    </w:p>
    <w:p w14:paraId="587BD7DA">
      <w:pPr>
        <w:numPr>
          <w:ilvl w:val="0"/>
          <w:numId w:val="2"/>
        </w:numPr>
        <w:wordWrap w:val="0"/>
        <w:spacing w:line="360" w:lineRule="auto"/>
        <w:ind w:right="-57"/>
        <w:outlineLvl w:val="1"/>
        <w:rPr>
          <w:rFonts w:hint="eastAsia" w:ascii="楷体" w:hAnsi="楷体" w:eastAsia="楷体" w:cs="楷体"/>
          <w:bCs/>
          <w:sz w:val="24"/>
          <w:szCs w:val="24"/>
        </w:rPr>
      </w:pPr>
      <w:r>
        <w:rPr>
          <w:rFonts w:hint="eastAsia" w:ascii="楷体" w:hAnsi="楷体" w:eastAsia="楷体" w:cs="楷体"/>
          <w:bCs/>
          <w:sz w:val="24"/>
          <w:szCs w:val="24"/>
        </w:rPr>
        <w:t>Zhou S, Wu Y, Chen H, et al. ClaimGen-CN: A Large-scale Chinese Dataset for Legal Claim Generation. Findings of EMNLP, 2025.</w:t>
      </w:r>
    </w:p>
    <w:p w14:paraId="2214B877">
      <w:pPr>
        <w:wordWrap w:val="0"/>
        <w:spacing w:line="360" w:lineRule="auto"/>
        <w:ind w:right="-57"/>
        <w:outlineLvl w:val="1"/>
        <w:rPr>
          <w:rFonts w:eastAsia="楷体_GB2312"/>
          <w:b/>
          <w:sz w:val="24"/>
          <w:szCs w:val="24"/>
        </w:rPr>
      </w:pPr>
      <w:r>
        <w:rPr>
          <w:rFonts w:hint="eastAsia" w:ascii="宋体" w:hAnsi="宋体" w:cs="宋体"/>
          <w:b/>
          <w:szCs w:val="21"/>
        </w:rPr>
        <w:br w:type="page"/>
      </w:r>
      <w:r>
        <w:rPr>
          <w:rFonts w:eastAsia="黑体"/>
          <w:b/>
          <w:sz w:val="28"/>
          <w:szCs w:val="28"/>
        </w:rPr>
        <w:t>（二）</w:t>
      </w:r>
      <w:r>
        <w:rPr>
          <w:rFonts w:hint="eastAsia" w:eastAsia="黑体"/>
          <w:b/>
          <w:sz w:val="28"/>
          <w:szCs w:val="28"/>
        </w:rPr>
        <w:t>前期工作</w:t>
      </w:r>
    </w:p>
    <w:p w14:paraId="0FF560C9">
      <w:pPr>
        <w:numPr>
          <w:ilvl w:val="0"/>
          <w:numId w:val="3"/>
        </w:numPr>
        <w:spacing w:line="360" w:lineRule="exact"/>
        <w:ind w:right="71" w:rightChars="34"/>
        <w:rPr>
          <w:rFonts w:hint="eastAsia" w:ascii="宋体" w:hAnsi="宋体" w:cs="宋体"/>
          <w:bCs/>
          <w:szCs w:val="21"/>
        </w:rPr>
      </w:pPr>
      <w:r>
        <w:rPr>
          <w:rFonts w:hint="eastAsia" w:ascii="宋体" w:hAnsi="宋体" w:cs="宋体"/>
          <w:bCs/>
          <w:szCs w:val="21"/>
        </w:rPr>
        <w:t>文献调研与理论基础</w:t>
      </w:r>
    </w:p>
    <w:p w14:paraId="538EB14C">
      <w:pPr>
        <w:spacing w:line="360" w:lineRule="exact"/>
        <w:ind w:left="425" w:firstLine="420" w:firstLineChars="200"/>
        <w:rPr>
          <w:rFonts w:hint="eastAsia" w:ascii="宋体" w:hAnsi="宋体" w:cs="宋体"/>
          <w:bCs/>
          <w:szCs w:val="21"/>
        </w:rPr>
      </w:pPr>
      <w:r>
        <w:rPr>
          <w:rFonts w:hint="eastAsia" w:ascii="宋体" w:hAnsi="宋体" w:cs="宋体"/>
          <w:bCs/>
          <w:szCs w:val="21"/>
        </w:rPr>
        <w:t>本研究系统调研了法律AI评测、LLM博弈行为和经典博弈论三个方向的代表性文献，确立了以扩展式博弈建模为核心的研究路线。在评测维度，LexEval</w:t>
      </w:r>
      <w:r>
        <w:rPr>
          <w:rFonts w:hint="eastAsia" w:ascii="宋体" w:hAnsi="宋体" w:cs="宋体"/>
          <w:bCs/>
          <w:szCs w:val="21"/>
          <w:vertAlign w:val="superscript"/>
        </w:rPr>
        <w:t>[10]</w:t>
      </w:r>
      <w:r>
        <w:rPr>
          <w:rFonts w:hint="eastAsia" w:ascii="宋体" w:hAnsi="宋体" w:cs="宋体"/>
          <w:bCs/>
          <w:szCs w:val="21"/>
        </w:rPr>
        <w:t>建立了六层法律认知能力分类体系（23项任务/14150题），为法律AI的能力评估提供了多粒度基准；J1-EVAL首次构建了交互式动态法律环境，提出PFS/JUD/REA/LAW等细粒度指标，其核心发现——LLM在程序执行层面严重不足——直接启发了本系统庭审状态机的设计。在博弈维度，AgentMediation基于TKI五策略在330个民事案件上验证了不同冲突策略对调解结果的非线性影响和群体极化效应，但仅限于单一调解阶段的静态策略分配，未涉及诉讼的序贯决策建模——这一局限正是本研究的学术出发点。Sun等人的综述系统梳理了博弈论×LLM的四象限分类，明确指出将博弈论机制嵌入LLM多智能体系统的工作极为稀缺，尤其是扩展式博弈在法律场景中的应用尚属空白。在经典博弈论方面，本研究重点调研了两个核心工具：Selten的子博弈精炼均衡（SPNE）为序贯决策提供了基于反向归纳的精确求解方法，是本研究的核心理论工具；Maynard Smith的演化稳定策略（ESS）理论和复制者动态方程为群体层面的均衡稳定性检验提供了数学框架，将用于补充验证SPNE均衡的群体鲁棒性。</w:t>
      </w:r>
    </w:p>
    <w:p w14:paraId="243485E1">
      <w:pPr>
        <w:numPr>
          <w:ilvl w:val="0"/>
          <w:numId w:val="3"/>
        </w:numPr>
        <w:spacing w:line="360" w:lineRule="exact"/>
        <w:ind w:right="71" w:rightChars="34"/>
        <w:rPr>
          <w:rFonts w:hint="eastAsia" w:ascii="宋体" w:hAnsi="宋体" w:cs="宋体"/>
          <w:bCs/>
          <w:szCs w:val="21"/>
        </w:rPr>
      </w:pPr>
      <w:r>
        <w:rPr>
          <w:rFonts w:hint="eastAsia" w:ascii="宋体" w:hAnsi="宋体" w:cs="宋体"/>
          <w:bCs/>
          <w:szCs w:val="21"/>
        </w:rPr>
        <w:t>系统原型开发</w:t>
      </w:r>
    </w:p>
    <w:p w14:paraId="0E00D757">
      <w:pPr>
        <w:spacing w:line="360" w:lineRule="exact"/>
        <w:ind w:left="425" w:firstLine="420" w:firstLineChars="200"/>
        <w:rPr>
          <w:rFonts w:hint="eastAsia" w:ascii="宋体" w:hAnsi="宋体" w:cs="宋体"/>
          <w:bCs/>
          <w:szCs w:val="21"/>
        </w:rPr>
      </w:pPr>
      <w:r>
        <w:rPr>
          <w:rFonts w:hint="eastAsia" w:ascii="宋体" w:hAnsi="宋体" w:cs="宋体"/>
          <w:bCs/>
          <w:szCs w:val="21"/>
        </w:rPr>
        <w:t>受J1-ENVS多层级环境架构的启发，本研究以"角色分离—引擎驱动—评测闭环"为设计原则，已完成LegalFlow系统v1.0的开发，总体架构如图1所示，包含28个功能Python模块（core层23个、agents层5个）、65个FastAPI端点。</w:t>
      </w:r>
    </w:p>
    <w:p w14:paraId="5151ECD6">
      <w:pPr>
        <w:spacing w:line="360" w:lineRule="auto"/>
        <w:ind w:left="425" w:firstLine="420" w:firstLineChars="200"/>
        <w:rPr>
          <w:rFonts w:hint="eastAsia" w:ascii="宋体" w:hAnsi="宋体" w:cs="宋体"/>
          <w:bCs/>
          <w:szCs w:val="21"/>
        </w:rPr>
      </w:pPr>
    </w:p>
    <w:p w14:paraId="4EF7AB7A">
      <w:pPr>
        <w:spacing w:line="360" w:lineRule="auto"/>
        <w:ind w:right="71" w:rightChars="34" w:firstLine="371" w:firstLineChars="177"/>
        <w:jc w:val="center"/>
        <w:rPr>
          <w:rFonts w:hint="eastAsia" w:ascii="宋体" w:hAnsi="宋体" w:cs="宋体"/>
          <w:bCs/>
          <w:szCs w:val="21"/>
        </w:rPr>
      </w:pPr>
      <w:r>
        <w:rPr>
          <w:rFonts w:ascii="宋体" w:hAnsi="宋体" w:cs="宋体"/>
          <w:bCs/>
          <w:szCs w:val="21"/>
        </w:rPr>
        <w:drawing>
          <wp:inline distT="0" distB="0" distL="114300" distR="114300">
            <wp:extent cx="5278755" cy="3216275"/>
            <wp:effectExtent l="0" t="0" r="0" b="0"/>
            <wp:docPr id="9" name="图片 8" descr="图1_LegalFlow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图1_LegalFlow系统架构"/>
                    <pic:cNvPicPr>
                      <a:picLocks noChangeAspect="1"/>
                    </pic:cNvPicPr>
                  </pic:nvPicPr>
                  <pic:blipFill>
                    <a:blip r:embed="rId16"/>
                    <a:srcRect r="539" b="24663"/>
                    <a:stretch>
                      <a:fillRect/>
                    </a:stretch>
                  </pic:blipFill>
                  <pic:spPr>
                    <a:xfrm>
                      <a:off x="0" y="0"/>
                      <a:ext cx="5278755" cy="3216275"/>
                    </a:xfrm>
                    <a:prstGeom prst="rect">
                      <a:avLst/>
                    </a:prstGeom>
                    <a:noFill/>
                    <a:ln>
                      <a:noFill/>
                    </a:ln>
                  </pic:spPr>
                </pic:pic>
              </a:graphicData>
            </a:graphic>
          </wp:inline>
        </w:drawing>
      </w:r>
    </w:p>
    <w:p w14:paraId="0E7A4A14">
      <w:pPr>
        <w:spacing w:line="360" w:lineRule="auto"/>
        <w:ind w:right="71" w:rightChars="34" w:firstLine="371" w:firstLineChars="177"/>
        <w:jc w:val="center"/>
        <w:rPr>
          <w:rFonts w:hint="eastAsia" w:ascii="宋体" w:hAnsi="宋体" w:cs="宋体"/>
          <w:bCs/>
          <w:szCs w:val="21"/>
        </w:rPr>
      </w:pPr>
      <w:r>
        <w:rPr>
          <w:rFonts w:hint="eastAsia" w:ascii="宋体" w:hAnsi="宋体" w:cs="宋体"/>
          <w:bCs/>
          <w:szCs w:val="21"/>
        </w:rPr>
        <w:t>图1 LegalFlowv1.0系统架构</w:t>
      </w:r>
    </w:p>
    <w:p w14:paraId="0478A42E">
      <w:pPr>
        <w:spacing w:line="360" w:lineRule="exact"/>
        <w:ind w:left="425" w:firstLine="420" w:firstLineChars="200"/>
        <w:rPr>
          <w:rFonts w:hint="eastAsia" w:ascii="宋体" w:hAnsi="宋体" w:cs="宋体"/>
          <w:bCs/>
          <w:szCs w:val="21"/>
        </w:rPr>
      </w:pPr>
      <w:r>
        <w:rPr>
          <w:rFonts w:hint="eastAsia" w:ascii="宋体" w:hAnsi="宋体" w:cs="宋体"/>
          <w:bCs/>
          <w:szCs w:val="21"/>
        </w:rPr>
        <w:t>数据输入经三场景重构后进入扩展式博弈驱动的多智能体协同管道（CD→DD→CI），核心引擎基于SPNE建模序贯策略决策，辅以演化博弈模拟器和P-RAG渐进式法条检索，最终输出多维评测结果。</w:t>
      </w:r>
    </w:p>
    <w:p w14:paraId="233F340E">
      <w:pPr>
        <w:spacing w:line="360" w:lineRule="auto"/>
        <w:ind w:right="71" w:rightChars="34" w:firstLine="371" w:firstLineChars="177"/>
        <w:jc w:val="center"/>
        <w:rPr>
          <w:rFonts w:hint="eastAsia" w:ascii="宋体" w:hAnsi="宋体" w:cs="宋体"/>
          <w:bCs/>
          <w:szCs w:val="21"/>
        </w:rPr>
      </w:pPr>
      <w:r>
        <w:rPr>
          <w:rFonts w:hint="eastAsia" w:ascii="宋体" w:hAnsi="宋体" w:cs="宋体"/>
          <w:bCs/>
          <w:szCs w:val="21"/>
        </w:rPr>
        <w:t>、</w:t>
      </w:r>
      <w:r>
        <w:rPr>
          <w:rFonts w:ascii="宋体" w:hAnsi="宋体" w:cs="宋体"/>
          <w:bCs/>
          <w:szCs w:val="21"/>
        </w:rPr>
        <w:drawing>
          <wp:inline distT="0" distB="0" distL="114300" distR="114300">
            <wp:extent cx="5513070" cy="2844165"/>
            <wp:effectExtent l="0" t="0" r="0" b="0"/>
            <wp:docPr id="10" name="图片 9" descr="7ab63a1cec2e6ea8d572aa3b55db88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7ab63a1cec2e6ea8d572aa3b55db88f7"/>
                    <pic:cNvPicPr>
                      <a:picLocks noChangeAspect="1"/>
                    </pic:cNvPicPr>
                  </pic:nvPicPr>
                  <pic:blipFill>
                    <a:blip r:embed="rId17"/>
                    <a:stretch>
                      <a:fillRect/>
                    </a:stretch>
                  </pic:blipFill>
                  <pic:spPr>
                    <a:xfrm>
                      <a:off x="0" y="0"/>
                      <a:ext cx="5513070" cy="2844165"/>
                    </a:xfrm>
                    <a:prstGeom prst="rect">
                      <a:avLst/>
                    </a:prstGeom>
                    <a:noFill/>
                    <a:ln>
                      <a:noFill/>
                    </a:ln>
                  </pic:spPr>
                </pic:pic>
              </a:graphicData>
            </a:graphic>
          </wp:inline>
        </w:drawing>
      </w:r>
    </w:p>
    <w:p w14:paraId="4ABCD188">
      <w:pPr>
        <w:pStyle w:val="4"/>
        <w:spacing w:line="360" w:lineRule="auto"/>
        <w:ind w:right="71" w:rightChars="34" w:firstLine="371" w:firstLineChars="177"/>
        <w:jc w:val="center"/>
        <w:rPr>
          <w:rFonts w:hint="eastAsia" w:ascii="宋体" w:hAnsi="宋体" w:eastAsia="宋体" w:cs="宋体"/>
          <w:sz w:val="21"/>
          <w:szCs w:val="21"/>
        </w:rPr>
      </w:pPr>
      <w:r>
        <w:rPr>
          <w:rFonts w:hint="eastAsia" w:ascii="宋体" w:hAnsi="宋体" w:eastAsia="宋体" w:cs="宋体"/>
          <w:sz w:val="21"/>
          <w:szCs w:val="21"/>
        </w:rPr>
        <w:t>图 2 LegalFlow系统前端界面</w:t>
      </w:r>
    </w:p>
    <w:p w14:paraId="48BF1D15">
      <w:pPr>
        <w:pStyle w:val="4"/>
        <w:spacing w:line="360" w:lineRule="exact"/>
        <w:ind w:left="425" w:firstLine="420" w:firstLineChars="200"/>
        <w:rPr>
          <w:sz w:val="21"/>
          <w:szCs w:val="21"/>
        </w:rPr>
      </w:pPr>
      <w:r>
        <w:rPr>
          <w:rFonts w:hint="eastAsia" w:ascii="宋体" w:hAnsi="宋体" w:eastAsia="宋体" w:cs="宋体"/>
          <w:sz w:val="21"/>
          <w:szCs w:val="21"/>
        </w:rPr>
        <w:t>顶部导航栏集成了系统的核心功能模块：模拟器（CD→DD→CI全流程管道运行）、对话（智能体交互界面）、博弈（扩展式博弈引擎与策略分析）、评测（SR/ECR等多维指标计算）、数据库（LegalFlow-1K数据集管理）、API历史（65个FastAPI端点调用记录）和系统状态（多模型运行时监控）。系统已完成前后端联调，支持完整的模拟法庭实验流程。</w:t>
      </w:r>
    </w:p>
    <w:p w14:paraId="66CB7DD3">
      <w:pPr>
        <w:spacing w:line="360" w:lineRule="exact"/>
        <w:ind w:left="425" w:firstLine="420" w:firstLineChars="200"/>
        <w:rPr>
          <w:rFonts w:hint="eastAsia" w:ascii="宋体" w:hAnsi="宋体" w:cs="宋体"/>
          <w:bCs/>
          <w:szCs w:val="21"/>
        </w:rPr>
      </w:pPr>
      <w:r>
        <w:rPr>
          <w:rFonts w:hint="eastAsia" w:ascii="宋体" w:hAnsi="宋体" w:cs="宋体"/>
          <w:bCs/>
          <w:szCs w:val="21"/>
        </w:rPr>
        <w:t>系统包含四个核心层次：</w:t>
      </w:r>
    </w:p>
    <w:p w14:paraId="27A707A2">
      <w:pPr>
        <w:spacing w:line="360" w:lineRule="exact"/>
        <w:ind w:left="425" w:firstLine="420" w:firstLineChars="200"/>
        <w:rPr>
          <w:rFonts w:hint="eastAsia" w:ascii="宋体" w:hAnsi="宋体" w:cs="宋体"/>
          <w:bCs/>
          <w:szCs w:val="21"/>
        </w:rPr>
      </w:pPr>
      <w:r>
        <w:rPr>
          <w:rFonts w:hint="eastAsia" w:ascii="宋体" w:hAnsi="宋体" w:cs="宋体"/>
          <w:bCs/>
          <w:szCs w:val="21"/>
        </w:rPr>
        <w:t>智能体层。包括CD Agent（起诉状律师）、DD Agent（答辩状律师）、CI Agent（审判长）和Sim Agent（当事人模拟器）四个角色。CD Agent接收案件事实，生成起诉状并选择起诉策略（TKI五策略之一）；DD Agent观察起诉状后生成答辩状并选择答辩策略——被告在答辩阶段可观察原告的起诉策略类型，这一完美信息假设在模拟法庭中具有合理性（起诉状在答辩前已送达被告）。CI Agent内置26项必经步骤的庭审有限状态机（6个主状态：Opening→Investigation→Debate→Mediation→Judgment→Closed），实时追踪每项动作的完成状态，计算程序合规分（PFS）。Sim Agent支持TKI五策略（竞争型、合作型、妥协型、回避型、迁就型）的动态注入；与AgentMediation的全局共享模拟器不同，本系统为原被告分别创建独立Sim Agent实例（per-party），使双方策略可独立进化。四个智能体通过Full Case Orchestrator串联为CD→DD→CI完整管道。</w:t>
      </w:r>
    </w:p>
    <w:p w14:paraId="4DDC8E9E">
      <w:pPr>
        <w:spacing w:line="360" w:lineRule="exact"/>
        <w:ind w:left="425" w:firstLine="420" w:firstLineChars="200"/>
        <w:rPr>
          <w:rFonts w:hint="eastAsia" w:ascii="宋体" w:hAnsi="宋体" w:cs="宋体"/>
          <w:bCs/>
          <w:szCs w:val="21"/>
        </w:rPr>
      </w:pPr>
      <w:r>
        <w:rPr>
          <w:rFonts w:hint="eastAsia" w:ascii="宋体" w:hAnsi="宋体" w:cs="宋体"/>
          <w:bCs/>
          <w:szCs w:val="21"/>
        </w:rPr>
        <w:t>引擎层。包括扩展式博弈引擎（SPNE反向归纳求解器）、纳什均衡追踪器、演化博弈模拟器（复制者动态方程数值求解）、庭审调解引擎和P-RAG检索引擎。其中，扩展式博弈引擎为系统的理论核心，负责将CD→DD的序贯决策过程建模为博弈树并求解SPNE；P-RAG检索引擎在庭审四个阶段（开庭准备、法庭调查、法庭辩论、判决生成）执行渐进式法条检索，基于民商事相关法律条文的FAISS+BM25混合检索索引，跨阶段重复命中的法条获得更高排名，确保长周期庭审中法条信息的有效召回。</w:t>
      </w:r>
    </w:p>
    <w:p w14:paraId="21582927">
      <w:pPr>
        <w:spacing w:line="360" w:lineRule="exact"/>
        <w:ind w:left="425" w:firstLine="420" w:firstLineChars="200"/>
        <w:rPr>
          <w:rFonts w:hint="eastAsia" w:ascii="宋体" w:hAnsi="宋体" w:cs="宋体"/>
          <w:bCs/>
          <w:szCs w:val="21"/>
        </w:rPr>
      </w:pPr>
      <w:r>
        <w:rPr>
          <w:rFonts w:hint="eastAsia" w:ascii="宋体" w:hAnsi="宋体" w:cs="宋体"/>
          <w:bCs/>
          <w:szCs w:val="21"/>
        </w:rPr>
        <w:t>评测层。融合LexEval/J1-EVAL/AgentMediation等多维评测框架。</w:t>
      </w:r>
    </w:p>
    <w:p w14:paraId="4E2F8A45">
      <w:pPr>
        <w:spacing w:line="360" w:lineRule="exact"/>
        <w:ind w:left="425" w:firstLine="420" w:firstLineChars="200"/>
        <w:rPr>
          <w:rFonts w:hint="eastAsia" w:ascii="宋体" w:hAnsi="宋体" w:cs="宋体"/>
          <w:bCs/>
          <w:szCs w:val="21"/>
        </w:rPr>
      </w:pPr>
      <w:r>
        <w:rPr>
          <w:rFonts w:hint="eastAsia" w:ascii="宋体" w:hAnsi="宋体" w:cs="宋体"/>
          <w:bCs/>
          <w:szCs w:val="21"/>
        </w:rPr>
        <w:t>数据层。包含法条数据库和基于ClaimGen-CN语料重构的1000条民事诉讼数据集。</w:t>
      </w:r>
    </w:p>
    <w:p w14:paraId="10D84F63">
      <w:pPr>
        <w:spacing w:line="360" w:lineRule="exact"/>
        <w:ind w:left="425" w:firstLine="420" w:firstLineChars="200"/>
        <w:rPr>
          <w:rFonts w:hint="eastAsia" w:ascii="宋体" w:hAnsi="宋体" w:cs="宋体"/>
          <w:bCs/>
          <w:szCs w:val="21"/>
        </w:rPr>
      </w:pPr>
      <w:r>
        <w:rPr>
          <w:rFonts w:hint="eastAsia" w:ascii="宋体" w:hAnsi="宋体" w:cs="宋体"/>
          <w:bCs/>
          <w:szCs w:val="21"/>
        </w:rPr>
        <w:t>基座模型选择。本系统采用多模型运行时切换架构，默认基座模型为DeepSeek-V3（用于CD Agent/DD Agent/Sim Agent的文书生成与策略推理，性价比最优）和GPT-4o（用于CI Agent的核心判决生成，推理能力最强）。P-RAG检索阶段使用BGE-M3嵌入模型（本地部署，无API费用）。</w:t>
      </w:r>
    </w:p>
    <w:p w14:paraId="556A4608">
      <w:pPr>
        <w:spacing w:line="360" w:lineRule="exact"/>
        <w:ind w:left="425" w:firstLine="420" w:firstLineChars="200"/>
        <w:rPr>
          <w:rFonts w:hint="eastAsia" w:ascii="宋体" w:hAnsi="宋体" w:cs="宋体"/>
          <w:bCs/>
          <w:szCs w:val="21"/>
        </w:rPr>
      </w:pPr>
      <w:r>
        <w:rPr>
          <w:rFonts w:hint="eastAsia" w:ascii="宋体" w:hAnsi="宋体" w:cs="宋体"/>
          <w:bCs/>
          <w:szCs w:val="21"/>
        </w:rPr>
        <w:t>模型选择依据：</w:t>
      </w:r>
    </w:p>
    <w:p w14:paraId="690D7C2B">
      <w:pPr>
        <w:numPr>
          <w:ilvl w:val="0"/>
          <w:numId w:val="4"/>
        </w:numPr>
        <w:spacing w:line="360" w:lineRule="exact"/>
        <w:ind w:left="425" w:firstLine="420" w:firstLineChars="200"/>
        <w:rPr>
          <w:rFonts w:hint="eastAsia" w:ascii="宋体" w:hAnsi="宋体" w:cs="宋体"/>
          <w:bCs/>
          <w:szCs w:val="21"/>
        </w:rPr>
      </w:pPr>
      <w:r>
        <w:rPr>
          <w:rFonts w:hint="eastAsia" w:ascii="宋体" w:hAnsi="宋体" w:cs="宋体"/>
          <w:bCs/>
          <w:szCs w:val="21"/>
        </w:rPr>
        <w:t>DeepSeek-V3在中文法律任务上性能接近GPT-4o但API成本约为其1/10；</w:t>
      </w:r>
    </w:p>
    <w:p w14:paraId="4561609A">
      <w:pPr>
        <w:numPr>
          <w:ilvl w:val="0"/>
          <w:numId w:val="4"/>
        </w:numPr>
        <w:spacing w:line="360" w:lineRule="exact"/>
        <w:ind w:left="425" w:firstLine="420" w:firstLineChars="200"/>
        <w:rPr>
          <w:rFonts w:hint="eastAsia" w:ascii="宋体" w:hAnsi="宋体" w:cs="宋体"/>
          <w:bCs/>
          <w:szCs w:val="21"/>
        </w:rPr>
      </w:pPr>
      <w:r>
        <w:rPr>
          <w:rFonts w:hint="eastAsia" w:ascii="宋体" w:hAnsi="宋体" w:cs="宋体"/>
          <w:bCs/>
          <w:szCs w:val="21"/>
        </w:rPr>
        <w:t>GPT-4o在J1-EVAL的JUD维度表现最优，适合关键判决环节；</w:t>
      </w:r>
    </w:p>
    <w:p w14:paraId="43C3CBC3">
      <w:pPr>
        <w:numPr>
          <w:ilvl w:val="0"/>
          <w:numId w:val="4"/>
        </w:numPr>
        <w:spacing w:line="360" w:lineRule="exact"/>
        <w:ind w:left="425" w:firstLine="420" w:firstLineChars="200"/>
        <w:rPr>
          <w:rFonts w:hint="eastAsia" w:ascii="宋体" w:hAnsi="宋体" w:cs="宋体"/>
          <w:bCs/>
          <w:szCs w:val="21"/>
        </w:rPr>
      </w:pPr>
      <w:r>
        <w:rPr>
          <w:rFonts w:hint="eastAsia" w:ascii="宋体" w:hAnsi="宋体" w:cs="宋体"/>
          <w:bCs/>
          <w:szCs w:val="21"/>
        </w:rPr>
        <w:t>系统支持一键切换至其他模型（Qwen-Max、Claude等），实验中将对比至少两种基座模型以排除模型特异性。</w:t>
      </w:r>
    </w:p>
    <w:p w14:paraId="496CCD2F">
      <w:pPr>
        <w:numPr>
          <w:ilvl w:val="0"/>
          <w:numId w:val="3"/>
        </w:numPr>
        <w:spacing w:line="360" w:lineRule="exact"/>
        <w:ind w:right="71" w:rightChars="34"/>
        <w:rPr>
          <w:rFonts w:hint="eastAsia" w:ascii="宋体" w:hAnsi="宋体" w:cs="宋体"/>
          <w:bCs/>
          <w:szCs w:val="21"/>
        </w:rPr>
      </w:pPr>
      <w:r>
        <w:rPr>
          <w:rFonts w:hint="eastAsia" w:ascii="宋体" w:hAnsi="宋体" w:cs="宋体"/>
          <w:bCs/>
          <w:szCs w:val="21"/>
        </w:rPr>
        <w:t>数据集构建</w:t>
      </w:r>
    </w:p>
    <w:p w14:paraId="6E0859A4">
      <w:pPr>
        <w:spacing w:line="360" w:lineRule="exact"/>
        <w:ind w:left="425" w:firstLine="420" w:firstLineChars="200"/>
        <w:rPr>
          <w:rFonts w:hint="eastAsia" w:ascii="宋体" w:hAnsi="宋体" w:cs="宋体"/>
          <w:bCs/>
          <w:szCs w:val="21"/>
        </w:rPr>
      </w:pPr>
      <w:r>
        <w:rPr>
          <w:rFonts w:hint="eastAsia" w:ascii="宋体" w:hAnsi="宋体" w:cs="宋体"/>
          <w:bCs/>
          <w:szCs w:val="21"/>
        </w:rPr>
        <w:t>面向民事诉讼全流程的结构化评测数据集尚属空白。本研究基于公开的ClaimGen-CN语料</w:t>
      </w:r>
      <w:r>
        <w:rPr>
          <w:rFonts w:hint="eastAsia" w:ascii="宋体" w:hAnsi="宋体" w:cs="宋体"/>
          <w:bCs/>
          <w:szCs w:val="21"/>
          <w:vertAlign w:val="superscript"/>
        </w:rPr>
        <w:t>[11]</w:t>
      </w:r>
      <w:r>
        <w:rPr>
          <w:rFonts w:hint="eastAsia" w:ascii="宋体" w:hAnsi="宋体" w:cs="宋体"/>
          <w:bCs/>
          <w:szCs w:val="21"/>
        </w:rPr>
        <w:t>（源自中国裁判文书网207748条真实民事判决书），自行构建了多角色对抗结构化衍生数据集LegalFlow-1K。原始数据仅含案由、原告事实陈述段和诉讼请求三个扁平字段，不具备多角色对抗结构。本研究的核心数据贡献在于将其重构为面向多智能体博弈的三场景结构化数据。</w:t>
      </w:r>
    </w:p>
    <w:p w14:paraId="5163D30D">
      <w:pPr>
        <w:spacing w:line="360" w:lineRule="exact"/>
        <w:ind w:left="425" w:firstLine="420" w:firstLineChars="200"/>
        <w:rPr>
          <w:rFonts w:hint="eastAsia" w:ascii="宋体" w:hAnsi="宋体" w:cs="宋体"/>
          <w:bCs/>
          <w:szCs w:val="21"/>
        </w:rPr>
      </w:pPr>
      <w:r>
        <w:rPr>
          <w:rFonts w:hint="eastAsia" w:ascii="宋体" w:hAnsi="宋体" w:cs="宋体"/>
          <w:bCs/>
          <w:szCs w:val="21"/>
        </w:rPr>
        <w:t>构建流程包括：</w:t>
      </w:r>
    </w:p>
    <w:p w14:paraId="7DA477E7">
      <w:pPr>
        <w:numPr>
          <w:ilvl w:val="0"/>
          <w:numId w:val="5"/>
        </w:numPr>
        <w:spacing w:line="360" w:lineRule="exact"/>
        <w:ind w:left="425" w:firstLine="420" w:firstLineChars="200"/>
        <w:rPr>
          <w:rFonts w:hint="eastAsia" w:ascii="宋体" w:hAnsi="宋体" w:cs="宋体"/>
          <w:bCs/>
          <w:szCs w:val="21"/>
        </w:rPr>
      </w:pPr>
      <w:r>
        <w:rPr>
          <w:rFonts w:hint="eastAsia" w:ascii="宋体" w:hAnsi="宋体" w:cs="宋体"/>
          <w:bCs/>
          <w:szCs w:val="21"/>
        </w:rPr>
        <w:t>三层过滤——依次过滤事实描述不足50字的缺席判决、诉讼请求为空的不完整记录、以及缺乏对抗基础的案件；</w:t>
      </w:r>
    </w:p>
    <w:p w14:paraId="2998E57C">
      <w:pPr>
        <w:numPr>
          <w:ilvl w:val="0"/>
          <w:numId w:val="5"/>
        </w:numPr>
        <w:spacing w:line="360" w:lineRule="exact"/>
        <w:ind w:left="425" w:firstLine="420" w:firstLineChars="200"/>
        <w:rPr>
          <w:rFonts w:hint="eastAsia" w:ascii="宋体" w:hAnsi="宋体" w:cs="宋体"/>
          <w:bCs/>
          <w:szCs w:val="21"/>
        </w:rPr>
      </w:pPr>
      <w:r>
        <w:rPr>
          <w:rFonts w:hint="eastAsia" w:ascii="宋体" w:hAnsi="宋体" w:cs="宋体"/>
          <w:bCs/>
          <w:szCs w:val="21"/>
        </w:rPr>
        <w:t>分层采样——从20种目标案由中按比例采样，最终选取1000条（29种案由），按3:1:1划分为训练/验证/测试集；</w:t>
      </w:r>
    </w:p>
    <w:p w14:paraId="69A89698">
      <w:pPr>
        <w:numPr>
          <w:ilvl w:val="0"/>
          <w:numId w:val="5"/>
        </w:numPr>
        <w:spacing w:line="360" w:lineRule="exact"/>
        <w:ind w:left="425" w:firstLine="420" w:firstLineChars="200"/>
        <w:rPr>
          <w:rFonts w:hint="eastAsia" w:ascii="宋体" w:hAnsi="宋体" w:cs="宋体"/>
          <w:bCs/>
          <w:szCs w:val="21"/>
        </w:rPr>
      </w:pPr>
      <w:r>
        <w:rPr>
          <w:rFonts w:hint="eastAsia" w:ascii="宋体" w:hAnsi="宋体" w:cs="宋体"/>
          <w:bCs/>
          <w:szCs w:val="21"/>
        </w:rPr>
        <w:t>三场景重构——CD场景通过规则引擎和正则表达式提取诉讼主张与涉案金额，结合案由生成证据清单模板；DD场景通过规则引擎针对每项诉讼请求生成逐条反驳（包括事实否认、法律适用争议和证据质疑三类反驳模板），模拟对抗逻辑结构，确保答辩与起诉的逻辑对齐；CI场景基于案由映射适用法条（覆盖13类案由40余条法条），生成裁判理由和判决主文；</w:t>
      </w:r>
    </w:p>
    <w:p w14:paraId="03A6292D">
      <w:pPr>
        <w:numPr>
          <w:ilvl w:val="0"/>
          <w:numId w:val="5"/>
        </w:numPr>
        <w:spacing w:line="360" w:lineRule="exact"/>
        <w:ind w:left="425" w:firstLine="420" w:firstLineChars="200"/>
        <w:rPr>
          <w:rFonts w:hint="eastAsia" w:ascii="宋体" w:hAnsi="宋体" w:cs="宋体"/>
          <w:bCs/>
          <w:szCs w:val="21"/>
        </w:rPr>
      </w:pPr>
      <w:r>
        <w:rPr>
          <w:rFonts w:hint="eastAsia" w:ascii="宋体" w:hAnsi="宋体" w:cs="宋体"/>
          <w:bCs/>
          <w:szCs w:val="21"/>
        </w:rPr>
        <w:t>对齐校验——验证CD每项诉请在DD中有对应答辩回应，CI判决主文覆盖全部诉请。需要说明的是，DD场景的答辩为合成对抗（synthetic adversarial）而非真实被告的自然语言答辩；其对抗充分性通过答辩覆盖率（DD答辩是否涵盖CD全部诉请，目标100%）和反驳多样性（每项诉请的反驳是否覆盖事实/法律/证据三个维度）两项指标验证。</w:t>
      </w:r>
    </w:p>
    <w:p w14:paraId="188662AA">
      <w:pPr>
        <w:wordWrap w:val="0"/>
        <w:spacing w:line="360" w:lineRule="auto"/>
        <w:ind w:right="-57"/>
        <w:outlineLvl w:val="1"/>
        <w:rPr>
          <w:rFonts w:eastAsia="楷体_GB2312"/>
          <w:sz w:val="24"/>
          <w:szCs w:val="24"/>
        </w:rPr>
      </w:pPr>
      <w:bookmarkStart w:id="9" w:name="preliminary"/>
      <w:bookmarkEnd w:id="9"/>
      <w:r>
        <w:rPr>
          <w:rFonts w:eastAsia="黑体"/>
          <w:b/>
          <w:sz w:val="28"/>
          <w:szCs w:val="28"/>
        </w:rPr>
        <w:br w:type="page"/>
      </w:r>
      <w:r>
        <w:rPr>
          <w:rFonts w:eastAsia="黑体"/>
          <w:b/>
          <w:sz w:val="28"/>
          <w:szCs w:val="28"/>
        </w:rPr>
        <w:t>（三）</w:t>
      </w:r>
      <w:r>
        <w:rPr>
          <w:rFonts w:hint="eastAsia" w:eastAsia="黑体"/>
          <w:b/>
          <w:sz w:val="28"/>
          <w:szCs w:val="28"/>
        </w:rPr>
        <w:t>研究内容</w:t>
      </w:r>
    </w:p>
    <w:p w14:paraId="7683D9E3">
      <w:pPr>
        <w:numPr>
          <w:ilvl w:val="0"/>
          <w:numId w:val="6"/>
        </w:numPr>
        <w:spacing w:line="360" w:lineRule="exact"/>
        <w:ind w:right="71" w:rightChars="34"/>
        <w:rPr>
          <w:rFonts w:hint="eastAsia" w:ascii="宋体" w:hAnsi="宋体"/>
          <w:szCs w:val="21"/>
        </w:rPr>
      </w:pPr>
      <w:bookmarkStart w:id="10" w:name="researchcontentBENKE"/>
      <w:bookmarkEnd w:id="10"/>
      <w:r>
        <w:rPr>
          <w:rFonts w:hint="eastAsia" w:ascii="宋体" w:hAnsi="宋体"/>
          <w:szCs w:val="21"/>
        </w:rPr>
        <w:t>研究目标与核心问题</w:t>
      </w:r>
    </w:p>
    <w:p w14:paraId="3B4ADA44">
      <w:pPr>
        <w:spacing w:line="360" w:lineRule="exact"/>
        <w:ind w:left="425" w:firstLine="420" w:firstLineChars="200"/>
        <w:rPr>
          <w:rFonts w:hint="eastAsia" w:ascii="宋体" w:hAnsi="宋体"/>
          <w:szCs w:val="21"/>
        </w:rPr>
      </w:pPr>
      <w:r>
        <w:rPr>
          <w:rFonts w:hint="eastAsia" w:ascii="宋体" w:hAnsi="宋体"/>
          <w:szCs w:val="21"/>
        </w:rPr>
        <w:t>本研究的总体目标是构建一个以扩展式博弈为理论核心、多智能体协同为实现手段的民事诉讼模拟法庭平台，通过系统性对照实验验证序贯博弈建模在法律AI策略预测中的有效性。</w:t>
      </w:r>
    </w:p>
    <w:p w14:paraId="41A445D5">
      <w:pPr>
        <w:spacing w:line="360" w:lineRule="exact"/>
        <w:ind w:left="425" w:firstLine="420" w:firstLineChars="200"/>
        <w:rPr>
          <w:rFonts w:hint="eastAsia" w:ascii="宋体" w:hAnsi="宋体"/>
          <w:szCs w:val="21"/>
        </w:rPr>
      </w:pPr>
      <w:r>
        <w:rPr>
          <w:rFonts w:hint="eastAsia" w:ascii="宋体" w:hAnsi="宋体"/>
          <w:szCs w:val="21"/>
        </w:rPr>
        <w:t>其核心问题是，在多智能体模拟法庭系统中，将民事诉讼的起诉–答辩过程建模为扩展式博弈并用子博弈精炼纳什均衡（SPNE）求解，相比传统正规形式纳什均衡（NE），能否提供更准确的策略预测？</w:t>
      </w:r>
    </w:p>
    <w:p w14:paraId="5617E221">
      <w:pPr>
        <w:spacing w:line="360" w:lineRule="exact"/>
        <w:ind w:left="425" w:firstLine="420" w:firstLineChars="200"/>
        <w:rPr>
          <w:rFonts w:hint="eastAsia" w:ascii="宋体" w:hAnsi="宋体"/>
          <w:szCs w:val="21"/>
        </w:rPr>
      </w:pPr>
      <w:r>
        <w:rPr>
          <w:rFonts w:hint="eastAsia" w:ascii="宋体" w:hAnsi="宋体"/>
          <w:szCs w:val="21"/>
        </w:rPr>
        <w:t>本研究将从两个层面回答此问题。在个体层面（微观验证），对单案件比较SPNE与NE的策略预测差异，以博弈锦标赛的实际收敛策略为实证参照，检验序贯建模是否提供更高的预测精度——即SPNE是否比NE更准确地预测了LLM智能体在对抗中的实际策略选择。在群体层面（稳定性验证），通过复制者动态方程检验SPNE均衡在群体中是否构成演化稳定策略（ESS），即序贯均衡是否不仅是个体最优的，而且在群体环境中对策略入侵具有鲁棒性。若SPNE均衡同时满足ESS条件，则意味着序贯建模给出的策略预测具有理论上最强的稳定性保障。</w:t>
      </w:r>
    </w:p>
    <w:p w14:paraId="6D4AFF73">
      <w:pPr>
        <w:spacing w:line="360" w:lineRule="exact"/>
        <w:ind w:left="425" w:firstLine="420" w:firstLineChars="200"/>
        <w:rPr>
          <w:rFonts w:hint="eastAsia" w:ascii="宋体" w:hAnsi="宋体"/>
          <w:szCs w:val="21"/>
        </w:rPr>
      </w:pPr>
      <w:r>
        <w:rPr>
          <w:rFonts w:hint="eastAsia" w:ascii="宋体" w:hAnsi="宋体"/>
          <w:szCs w:val="21"/>
        </w:rPr>
        <w:t>需要明确的是，本研究中"群体层面的演化动态"由复制者动态方程显式驱动，是基于经验收益矩阵的确定性数学模拟，旨在检验SPNE均衡是否具有ESS性质，而非声称LLM智能体在自由交互中自发涌现演化行为。</w:t>
      </w:r>
    </w:p>
    <w:p w14:paraId="7136DB75">
      <w:pPr>
        <w:numPr>
          <w:ilvl w:val="0"/>
          <w:numId w:val="6"/>
        </w:numPr>
        <w:spacing w:line="360" w:lineRule="exact"/>
        <w:ind w:right="71" w:rightChars="34"/>
        <w:rPr>
          <w:rFonts w:hint="eastAsia" w:ascii="宋体" w:hAnsi="宋体"/>
          <w:szCs w:val="21"/>
        </w:rPr>
      </w:pPr>
      <w:r>
        <w:rPr>
          <w:rFonts w:hint="eastAsia" w:ascii="宋体" w:hAnsi="宋体"/>
          <w:szCs w:val="21"/>
        </w:rPr>
        <w:t>研究方法与技术路线</w:t>
      </w:r>
    </w:p>
    <w:p w14:paraId="608DFAEF">
      <w:pPr>
        <w:spacing w:line="360" w:lineRule="exact"/>
        <w:ind w:left="425" w:firstLine="420" w:firstLineChars="200"/>
        <w:rPr>
          <w:rFonts w:hint="eastAsia" w:ascii="宋体" w:hAnsi="宋体"/>
          <w:szCs w:val="21"/>
        </w:rPr>
      </w:pPr>
      <w:r>
        <w:rPr>
          <w:rFonts w:hint="eastAsia" w:ascii="宋体" w:hAnsi="宋体"/>
          <w:szCs w:val="21"/>
        </w:rPr>
        <w:t>本研究采用"三步串行"技术路线，每步的输出构成下一步的输入，确保研究逻辑层层递进。</w:t>
      </w:r>
    </w:p>
    <w:p w14:paraId="41E07E29">
      <w:pPr>
        <w:spacing w:line="360" w:lineRule="exact"/>
        <w:ind w:left="425" w:firstLine="420" w:firstLineChars="200"/>
        <w:rPr>
          <w:rFonts w:hint="eastAsia" w:ascii="宋体" w:hAnsi="宋体"/>
          <w:szCs w:val="21"/>
        </w:rPr>
      </w:pPr>
      <w:r>
        <w:rPr>
          <w:rFonts w:hint="eastAsia" w:ascii="宋体" w:hAnsi="宋体"/>
          <w:szCs w:val="21"/>
        </w:rPr>
        <w:t>步骤一（收益矩阵构建）：在LegalFlow的CD→DD→CI管道上，对5×5 TKI策略组合运行全流程模拟，通过双路校验机制量化终端收益，构建经验收益矩阵——这是后续所有博弈分析的数据基础。</w:t>
      </w:r>
    </w:p>
    <w:p w14:paraId="5C54D4D7">
      <w:pPr>
        <w:spacing w:line="360" w:lineRule="exact"/>
        <w:ind w:left="425" w:firstLine="420" w:firstLineChars="200"/>
        <w:rPr>
          <w:rFonts w:hint="eastAsia" w:ascii="宋体" w:hAnsi="宋体"/>
          <w:szCs w:val="21"/>
        </w:rPr>
      </w:pPr>
      <w:r>
        <w:rPr>
          <w:rFonts w:hint="eastAsia" w:ascii="宋体" w:hAnsi="宋体"/>
          <w:szCs w:val="21"/>
        </w:rPr>
        <w:t>步骤二（SPNE vs NE对照实验——核心）：将CD→DD过程建模为扩展式博弈树，用反向归纳法求解SPNE；同时在正规形式下求解NE；运行博弈锦标赛获取LLM智能体的实际收敛策略；按案由分组比较三者（SPNE预测、NE预测、实际收敛）的一致性。</w:t>
      </w:r>
    </w:p>
    <w:p w14:paraId="3D76362A">
      <w:pPr>
        <w:spacing w:line="360" w:lineRule="exact"/>
        <w:ind w:left="425" w:firstLine="420" w:firstLineChars="200"/>
        <w:rPr>
          <w:rFonts w:hint="eastAsia" w:ascii="宋体" w:hAnsi="宋体"/>
          <w:szCs w:val="21"/>
        </w:rPr>
      </w:pPr>
      <w:r>
        <w:rPr>
          <w:rFonts w:hint="eastAsia" w:ascii="宋体" w:hAnsi="宋体"/>
          <w:szCs w:val="21"/>
        </w:rPr>
        <w:t>步骤三（ESS稳定性验证——补充）：用步骤一的收益矩阵作为演化适应度矩阵，通过复制者动态方程模拟策略种群演化，检验步骤二中SPNE均衡是否构成ESS，为核心结论提供群体层面的稳定性保障。</w:t>
      </w:r>
    </w:p>
    <w:p w14:paraId="7B08BEF9">
      <w:pPr>
        <w:spacing w:line="240" w:lineRule="auto"/>
        <w:ind w:right="71" w:rightChars="34" w:firstLine="420" w:firstLineChars="200"/>
        <w:rPr>
          <w:rFonts w:hint="eastAsia" w:ascii="宋体" w:hAnsi="宋体"/>
          <w:szCs w:val="21"/>
        </w:rPr>
      </w:pPr>
      <w:r>
        <w:rPr>
          <w:rFonts w:ascii="宋体" w:hAnsi="宋体"/>
          <w:szCs w:val="21"/>
        </w:rPr>
        <w:drawing>
          <wp:inline distT="0" distB="0" distL="114300" distR="114300">
            <wp:extent cx="5906135" cy="2658110"/>
            <wp:effectExtent l="0" t="0" r="0" b="0"/>
            <wp:docPr id="11" name="图片 10" descr="图2_技术路线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图2_技术路线总览"/>
                    <pic:cNvPicPr>
                      <a:picLocks noChangeAspect="1"/>
                    </pic:cNvPicPr>
                  </pic:nvPicPr>
                  <pic:blipFill>
                    <a:blip r:embed="rId18"/>
                    <a:srcRect r="513" b="11159"/>
                    <a:stretch>
                      <a:fillRect/>
                    </a:stretch>
                  </pic:blipFill>
                  <pic:spPr>
                    <a:xfrm>
                      <a:off x="0" y="0"/>
                      <a:ext cx="5906135" cy="2658110"/>
                    </a:xfrm>
                    <a:prstGeom prst="rect">
                      <a:avLst/>
                    </a:prstGeom>
                    <a:noFill/>
                    <a:ln>
                      <a:noFill/>
                    </a:ln>
                  </pic:spPr>
                </pic:pic>
              </a:graphicData>
            </a:graphic>
          </wp:inline>
        </w:drawing>
      </w:r>
    </w:p>
    <w:p w14:paraId="19934EDF">
      <w:pPr>
        <w:spacing w:line="240" w:lineRule="auto"/>
        <w:ind w:right="71" w:rightChars="34" w:firstLine="371" w:firstLineChars="177"/>
        <w:jc w:val="center"/>
        <w:rPr>
          <w:rFonts w:hint="eastAsia" w:ascii="宋体" w:hAnsi="宋体"/>
          <w:szCs w:val="21"/>
        </w:rPr>
      </w:pPr>
      <w:r>
        <w:rPr>
          <w:rFonts w:hint="eastAsia" w:ascii="宋体" w:hAnsi="宋体"/>
          <w:szCs w:val="21"/>
        </w:rPr>
        <w:t>图3 技术路线总览</w:t>
      </w:r>
    </w:p>
    <w:p w14:paraId="43457097">
      <w:pPr>
        <w:spacing w:line="360" w:lineRule="exact"/>
        <w:ind w:left="425" w:firstLine="420" w:firstLineChars="200"/>
        <w:rPr>
          <w:rFonts w:hint="eastAsia" w:ascii="宋体" w:hAnsi="宋体"/>
          <w:szCs w:val="21"/>
        </w:rPr>
      </w:pPr>
      <w:r>
        <w:rPr>
          <w:rFonts w:hint="eastAsia" w:ascii="宋体" w:hAnsi="宋体"/>
          <w:szCs w:val="21"/>
        </w:rPr>
        <w:t>三步串行：步骤一构建5×5经验收益矩阵（数据基础），步骤二将CD→DD建模为扩展式博弈并对照SPNE与NE的策略预测精度（核心实验），步骤三通过复制者动态方程检验SPNE均衡的演化稳定性（补充验证）。</w:t>
      </w:r>
    </w:p>
    <w:p w14:paraId="59FD37CE">
      <w:pPr>
        <w:numPr>
          <w:ilvl w:val="0"/>
          <w:numId w:val="6"/>
        </w:numPr>
        <w:wordWrap w:val="0"/>
        <w:spacing w:line="360" w:lineRule="exact"/>
        <w:ind w:right="-57"/>
        <w:outlineLvl w:val="1"/>
        <w:rPr>
          <w:rFonts w:hint="eastAsia" w:ascii="宋体" w:hAnsi="宋体" w:cs="宋体"/>
          <w:bCs/>
          <w:szCs w:val="21"/>
        </w:rPr>
      </w:pPr>
      <w:r>
        <w:rPr>
          <w:rFonts w:hint="eastAsia" w:ascii="宋体" w:hAnsi="宋体" w:cs="宋体"/>
          <w:bCs/>
          <w:szCs w:val="21"/>
        </w:rPr>
        <w:t>关键技术与数学形式化</w:t>
      </w:r>
    </w:p>
    <w:p w14:paraId="6252C9B4">
      <w:pPr>
        <w:wordWrap w:val="0"/>
        <w:spacing w:line="360" w:lineRule="exact"/>
        <w:ind w:right="-57"/>
        <w:outlineLvl w:val="1"/>
        <w:rPr>
          <w:rFonts w:hint="eastAsia" w:ascii="宋体" w:hAnsi="宋体" w:cs="宋体"/>
          <w:bCs/>
          <w:szCs w:val="21"/>
        </w:rPr>
      </w:pPr>
      <w:r>
        <w:rPr>
          <w:rFonts w:hint="eastAsia" w:ascii="宋体" w:hAnsi="宋体" w:cs="宋体"/>
          <w:bCs/>
          <w:szCs w:val="21"/>
        </w:rPr>
        <w:t>3.1 扩展式博弈与子博弈精炼均衡</w:t>
      </w:r>
    </w:p>
    <w:p w14:paraId="1D10DF80">
      <w:pPr>
        <w:spacing w:line="360" w:lineRule="exact"/>
        <w:ind w:left="425" w:firstLine="420" w:firstLineChars="200"/>
        <w:outlineLvl w:val="1"/>
        <w:rPr>
          <w:rFonts w:hint="eastAsia" w:ascii="宋体" w:hAnsi="宋体" w:cs="宋体"/>
          <w:bCs/>
          <w:szCs w:val="21"/>
        </w:rPr>
      </w:pPr>
      <w:r>
        <w:rPr>
          <w:rFonts w:hint="eastAsia" w:ascii="宋体" w:hAnsi="宋体" w:cs="宋体"/>
          <w:bCs/>
          <w:szCs w:val="21"/>
        </w:rPr>
        <w:t>本研究的核心方法是将民事诉讼的起诉–答辩过程建模为扩展式博弈并求解SPNE，验证序贯建模相比静态建模的策略预测优势。</w:t>
      </w:r>
    </w:p>
    <w:p w14:paraId="2B5AF490">
      <w:pPr>
        <w:spacing w:line="360" w:lineRule="exact"/>
        <w:ind w:left="425" w:firstLine="420" w:firstLineChars="200"/>
        <w:outlineLvl w:val="1"/>
        <w:rPr>
          <w:rFonts w:hint="eastAsia" w:ascii="宋体" w:hAnsi="宋体" w:cs="宋体"/>
          <w:bCs/>
          <w:szCs w:val="21"/>
        </w:rPr>
      </w:pPr>
      <w:r>
        <w:rPr>
          <w:rFonts w:hint="eastAsia" w:ascii="宋体" w:hAnsi="宋体" w:cs="宋体"/>
          <w:bCs/>
          <w:szCs w:val="21"/>
        </w:rPr>
        <w:t>将CD→DD管道建模为两阶段序贯决策的扩展式博弈</w:t>
      </w:r>
      <m:oMath>
        <m:r>
          <m:rPr>
            <m:sty m:val="p"/>
          </m:rPr>
          <w:rPr>
            <w:rFonts w:ascii="Cambria Math" w:hAnsi="Cambria Math"/>
          </w:rPr>
          <m:t>Γ</m:t>
        </m:r>
        <m:r>
          <m:rPr/>
          <w:rPr>
            <w:rFonts w:ascii="Cambria Math" w:hAnsi="Cambria Math"/>
          </w:rPr>
          <m:t>=(N,H,P,u)</m:t>
        </m:r>
      </m:oMath>
      <w:r>
        <w:rPr>
          <w:rFonts w:hint="eastAsia" w:ascii="宋体" w:hAnsi="宋体" w:cs="宋体"/>
          <w:bCs/>
          <w:szCs w:val="21"/>
        </w:rPr>
        <w:t>，</w:t>
      </w:r>
      <w:r>
        <w:rPr>
          <w:rFonts w:ascii="宋体" w:hAnsi="宋体"/>
        </w:rPr>
        <w:t>其中</w:t>
      </w:r>
      <m:oMath>
        <m:r>
          <m:rPr/>
          <w:rPr>
            <w:rFonts w:ascii="Cambria Math" w:hAnsi="Cambria Math" w:eastAsia="瀹嬩綋"/>
          </w:rPr>
          <m:t>N={P,D}</m:t>
        </m:r>
      </m:oMath>
      <w:r>
        <w:rPr>
          <w:rFonts w:ascii="宋体" w:hAnsi="宋体"/>
        </w:rPr>
        <w:t xml:space="preserve"> 为参与人集合，H 为博弈历史集合，</w:t>
      </w:r>
      <m:oMath>
        <m:r>
          <m:rPr/>
          <w:rPr>
            <w:rFonts w:ascii="Cambria Math" w:hAnsi="Cambria Math" w:eastAsia="瀹嬩綋"/>
          </w:rPr>
          <m:t>P</m:t>
        </m:r>
      </m:oMath>
      <w:r>
        <w:rPr>
          <w:rFonts w:ascii="宋体" w:hAnsi="宋体"/>
        </w:rPr>
        <w:t>为行动人函数，u 为终端收益函数。</w:t>
      </w:r>
      <w:r>
        <w:rPr>
          <w:rFonts w:hint="eastAsia" w:ascii="宋体" w:hAnsi="宋体" w:cs="宋体"/>
          <w:bCs/>
          <w:szCs w:val="21"/>
        </w:rPr>
        <w:t>本研究采用完美信息假设作为一阶近似——即被告在答辩阶段可观察原告的起诉策略类型。此假设在模拟法庭场景中合理（起诉状在答辩前已送达被告），但在真实诉讼中原告的完整证据策略可能存在私有信息，后续研究可扩展至贝叶斯博弈框架。博弈树结构如下：</w:t>
      </w:r>
    </w:p>
    <w:p w14:paraId="5B650197">
      <w:pPr>
        <w:spacing w:line="360" w:lineRule="exact"/>
        <w:ind w:left="425" w:firstLine="420" w:firstLineChars="200"/>
        <w:outlineLvl w:val="1"/>
        <w:rPr>
          <w:rFonts w:hint="eastAsia" w:ascii="宋体" w:hAnsi="宋体" w:cs="宋体"/>
          <w:bCs/>
          <w:szCs w:val="21"/>
        </w:rPr>
      </w:pPr>
      <w:r>
        <w:rPr>
          <w:rFonts w:hint="eastAsia" w:ascii="宋体" w:hAnsi="宋体" w:cs="宋体"/>
          <w:bCs/>
          <w:szCs w:val="21"/>
        </w:rPr>
        <w:t>第1阶段（CD）：原告选择起诉策略</w:t>
      </w:r>
      <m:oMath>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P</m:t>
            </m:r>
            <m:ctrlPr>
              <w:rPr>
                <w:rFonts w:ascii="Cambria Math" w:hAnsi="Cambria Math"/>
              </w:rPr>
            </m:ctrlPr>
          </m:sub>
          <m:sup>
            <m:r>
              <m:rPr/>
              <w:rPr>
                <w:rFonts w:ascii="Cambria Math" w:hAnsi="Cambria Math"/>
              </w:rPr>
              <m:t>CD</m:t>
            </m:r>
            <m:ctrlPr>
              <w:rPr>
                <w:rFonts w:ascii="Cambria Math" w:hAnsi="Cambria Math"/>
              </w:rPr>
            </m:ctrlPr>
          </m:sup>
        </m:sSubSup>
        <m:r>
          <m:rPr/>
          <w:rPr>
            <w:rFonts w:ascii="Cambria Math" w:hAnsi="Cambria Math"/>
          </w:rPr>
          <m:t>∈S</m:t>
        </m:r>
      </m:oMath>
    </w:p>
    <w:p w14:paraId="43DF6F56">
      <w:pPr>
        <w:spacing w:line="360" w:lineRule="exact"/>
        <w:ind w:left="425" w:firstLine="420" w:firstLineChars="200"/>
        <w:outlineLvl w:val="1"/>
        <w:rPr>
          <w:rFonts w:ascii="宋体" w:hAnsi="宋体" w:cs="宋体"/>
          <w:bCs/>
          <w:szCs w:val="21"/>
        </w:rPr>
      </w:pPr>
      <w:r>
        <w:rPr>
          <w:rFonts w:hint="eastAsia" w:ascii="宋体" w:hAnsi="宋体" w:cs="宋体"/>
          <w:bCs/>
          <w:szCs w:val="21"/>
        </w:rPr>
        <w:t>第2阶段（DD）：被告观察起诉状后选择答辩策略</w:t>
      </w:r>
      <m:oMath>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D</m:t>
            </m:r>
            <m:ctrlPr>
              <w:rPr>
                <w:rFonts w:ascii="Cambria Math" w:hAnsi="Cambria Math"/>
              </w:rPr>
            </m:ctrlPr>
          </m:sub>
          <m:sup>
            <m:r>
              <m:rPr/>
              <w:rPr>
                <w:rFonts w:ascii="Cambria Math" w:hAnsi="Cambria Math"/>
              </w:rPr>
              <m:t>DD</m:t>
            </m:r>
            <m:ctrlPr>
              <w:rPr>
                <w:rFonts w:ascii="Cambria Math" w:hAnsi="Cambria Math"/>
              </w:rPr>
            </m:ctrlPr>
          </m:sup>
        </m:sSubSup>
        <m:r>
          <m:rPr/>
          <w:rPr>
            <w:rFonts w:ascii="Cambria Math" w:hAnsi="Cambria Math"/>
          </w:rPr>
          <m:t>∈S</m:t>
        </m:r>
      </m:oMath>
    </w:p>
    <w:p w14:paraId="6132A659">
      <w:pPr>
        <w:spacing w:line="360" w:lineRule="exact"/>
        <w:ind w:left="425" w:firstLine="420" w:firstLineChars="200"/>
        <w:outlineLvl w:val="1"/>
        <w:rPr>
          <w:rFonts w:ascii="宋体" w:hAnsi="宋体" w:cs="宋体"/>
          <w:bCs/>
          <w:szCs w:val="21"/>
        </w:rPr>
      </w:pPr>
      <w:r>
        <w:rPr>
          <w:rFonts w:hint="eastAsia" w:ascii="宋体" w:hAnsi="宋体" w:cs="宋体"/>
          <w:bCs/>
          <w:szCs w:val="21"/>
        </w:rPr>
        <w:t>终端收益：CI阶段作为收益实现机制，法官基于双方策略组合裁判产生终端收益</w:t>
      </w:r>
      <m:oMath>
        <m:r>
          <m:rPr/>
          <w:rPr>
            <w:rFonts w:ascii="Cambria Math" w:hAnsi="Cambria Math"/>
          </w:rPr>
          <m:t>u(</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P</m:t>
            </m:r>
            <m:ctrlPr>
              <w:rPr>
                <w:rFonts w:ascii="Cambria Math" w:hAnsi="Cambria Math"/>
              </w:rPr>
            </m:ctrlPr>
          </m:sub>
          <m:sup>
            <m:r>
              <m:rPr/>
              <w:rPr>
                <w:rFonts w:ascii="Cambria Math" w:hAnsi="Cambria Math"/>
              </w:rPr>
              <m:t>CD</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D</m:t>
            </m:r>
            <m:ctrlPr>
              <w:rPr>
                <w:rFonts w:ascii="Cambria Math" w:hAnsi="Cambria Math"/>
              </w:rPr>
            </m:ctrlPr>
          </m:sub>
          <m:sup>
            <m:r>
              <m:rPr/>
              <w:rPr>
                <w:rFonts w:ascii="Cambria Math" w:hAnsi="Cambria Math"/>
              </w:rPr>
              <m:t>DD</m:t>
            </m:r>
            <m:ctrlPr>
              <w:rPr>
                <w:rFonts w:ascii="Cambria Math" w:hAnsi="Cambria Math"/>
              </w:rPr>
            </m:ctrlPr>
          </m:sup>
        </m:sSubSup>
        <m:r>
          <m:rPr/>
          <w:rPr>
            <w:rFonts w:ascii="Cambria Math" w:hAnsi="Cambria Math"/>
          </w:rPr>
          <m:t>)</m:t>
        </m:r>
      </m:oMath>
    </w:p>
    <w:p w14:paraId="06F3A3E7">
      <w:pPr>
        <w:spacing w:line="360" w:lineRule="exact"/>
        <w:ind w:left="425" w:firstLine="420" w:firstLineChars="200"/>
        <w:outlineLvl w:val="1"/>
        <w:rPr>
          <w:rFonts w:ascii="宋体" w:hAnsi="宋体" w:cs="宋体"/>
          <w:bCs/>
          <w:szCs w:val="21"/>
        </w:rPr>
      </w:pPr>
      <w:r>
        <w:rPr>
          <w:rFonts w:hint="eastAsia" w:ascii="宋体" w:hAnsi="宋体" w:cs="宋体"/>
          <w:bCs/>
          <w:szCs w:val="21"/>
        </w:rPr>
        <w:t>子博弈精炼纳什均衡通过反向归纳法求解：</w:t>
      </w:r>
    </w:p>
    <w:p w14:paraId="3B72EBE7">
      <w:pPr>
        <w:spacing w:line="360" w:lineRule="exact"/>
        <w:ind w:left="425" w:firstLine="420" w:firstLineChars="200"/>
        <w:outlineLvl w:val="1"/>
        <w:rPr>
          <w:rFonts w:ascii="宋体" w:hAnsi="宋体" w:cs="宋体"/>
          <w:bCs/>
          <w:szCs w:val="21"/>
        </w:rPr>
      </w:pPr>
      <m:oMathPara>
        <m:oMath>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D</m:t>
              </m:r>
              <m:ctrlPr>
                <w:rPr>
                  <w:rFonts w:ascii="Cambria Math" w:hAnsi="Cambria Math"/>
                </w:rPr>
              </m:ctrlPr>
            </m:sub>
            <m:sup>
              <m:r>
                <m:rPr/>
                <w:rPr>
                  <w:rFonts w:ascii="Cambria Math" w:hAnsi="Cambria Math"/>
                </w:rPr>
                <m:t>DD∗</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P</m:t>
              </m:r>
              <m:ctrlPr>
                <w:rPr>
                  <w:rFonts w:ascii="Cambria Math" w:hAnsi="Cambria Math"/>
                </w:rPr>
              </m:ctrlPr>
            </m:sub>
            <m:sup>
              <m:r>
                <m:rPr/>
                <w:rPr>
                  <w:rFonts w:ascii="Cambria Math" w:hAnsi="Cambria Math"/>
                </w:rPr>
                <m:t>CD</m:t>
              </m:r>
              <m:ctrlPr>
                <w:rPr>
                  <w:rFonts w:ascii="Cambria Math" w:hAnsi="Cambria Math"/>
                </w:rPr>
              </m:ctrlPr>
            </m:sup>
          </m:sSubSup>
          <m:r>
            <m:rPr/>
            <w:rPr>
              <w:rFonts w:ascii="Cambria Math" w:hAnsi="Cambria Math"/>
            </w:rPr>
            <m:t>)=</m:t>
          </m:r>
          <m:func>
            <m:funcPr>
              <m:ctrlPr>
                <w:rPr>
                  <w:rFonts w:ascii="Cambria Math" w:hAnsi="Cambria Math"/>
                </w:rPr>
              </m:ctrlPr>
            </m:funcPr>
            <m:fName>
              <m:r>
                <m:rPr/>
                <w:rPr>
                  <w:rFonts w:ascii="Cambria Math" w:hAnsi="Cambria Math"/>
                </w:rPr>
                <m:t>arg</m:t>
              </m:r>
              <m:ctrlPr>
                <w:rPr>
                  <w:rFonts w:ascii="Cambria Math" w:hAnsi="Cambria Math"/>
                </w:rPr>
              </m:ctrlP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rPr>
                      </m:ctrlPr>
                    </m:e>
                    <m:lim>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lim>
                  </m:limLow>
                  <m:ctrlPr>
                    <w:rPr>
                      <w:rFonts w:ascii="Cambria Math" w:hAnsi="Cambria Math"/>
                    </w:rPr>
                  </m:ctrlPr>
                </m:fName>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e>
              </m:func>
              <m:ctrlPr>
                <w:rPr>
                  <w:rFonts w:ascii="Cambria Math" w:hAnsi="Cambria Math"/>
                </w:rPr>
              </m:ctrlPr>
            </m:e>
          </m:func>
          <m:r>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P</m:t>
              </m:r>
              <m:ctrlPr>
                <w:rPr>
                  <w:rFonts w:ascii="Cambria Math" w:hAnsi="Cambria Math"/>
                </w:rPr>
              </m:ctrlPr>
            </m:sub>
            <m:sup>
              <m:r>
                <m:rPr/>
                <w:rPr>
                  <w:rFonts w:ascii="Cambria Math" w:hAnsi="Cambria Math"/>
                </w:rPr>
                <m:t>CD</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r>
            <m:rPr>
              <m:sty m:val="p"/>
            </m:rPr>
            <w:rPr>
              <w:rFonts w:ascii="Cambria Math" w:hAnsi="Cambria Math"/>
            </w:rPr>
            <m:t xml:space="preserve"> </m:t>
          </m:r>
          <m:r>
            <m:rPr>
              <m:sty m:val="p"/>
            </m:rPr>
            <w:rPr>
              <w:rFonts w:hint="default" w:ascii="Cambria Math" w:hAnsi="Cambria Math"/>
              <w:lang w:val="en-US" w:eastAsia="zh-CN"/>
            </w:rPr>
            <m:t>(1)</m:t>
          </m:r>
          <m:r>
            <m:rPr>
              <m:sty m:val="p"/>
            </m:rPr>
            <w:rPr>
              <w:rFonts w:ascii="Cambria Math" w:hAnsi="Cambria Math"/>
            </w:rPr>
            <m:t xml:space="preserve"> </m:t>
          </m:r>
        </m:oMath>
      </m:oMathPara>
      <w:r>
        <w:rPr>
          <w:rFonts w:ascii="Cambria Math" w:hAnsi="Cambria Math"/>
          <w:b w:val="0"/>
          <w:i w:val="0"/>
        </w:rPr>
        <w:br w:type="textWrapping"/>
      </w:r>
    </w:p>
    <w:p w14:paraId="707CA4C9">
      <w:pPr>
        <w:spacing w:line="360" w:lineRule="exact"/>
        <w:ind w:left="425" w:firstLine="420" w:firstLineChars="200"/>
        <w:outlineLvl w:val="1"/>
        <w:rPr>
          <w:rFonts w:hint="eastAsia" w:ascii="宋体" w:hAnsi="宋体" w:cs="宋体"/>
          <w:bCs/>
          <w:szCs w:val="21"/>
        </w:rPr>
      </w:pPr>
      <m:oMathPara>
        <m:oMath>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P</m:t>
              </m:r>
              <m:ctrlPr>
                <w:rPr>
                  <w:rFonts w:ascii="Cambria Math" w:hAnsi="Cambria Math"/>
                </w:rPr>
              </m:ctrlPr>
            </m:sub>
            <m:sup>
              <m:r>
                <m:rPr/>
                <w:rPr>
                  <w:rFonts w:ascii="Cambria Math" w:hAnsi="Cambria Math"/>
                </w:rPr>
                <m:t>CD∗</m:t>
              </m:r>
              <m:ctrlPr>
                <w:rPr>
                  <w:rFonts w:ascii="Cambria Math" w:hAnsi="Cambria Math"/>
                </w:rPr>
              </m:ctrlPr>
            </m:sup>
          </m:sSubSup>
          <m:r>
            <m:rPr/>
            <w:rPr>
              <w:rFonts w:ascii="Cambria Math" w:hAnsi="Cambria Math"/>
            </w:rPr>
            <m:t>=arg</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rPr>
                  </m:ctrlPr>
                </m:e>
                <m:lim>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lim>
              </m:limLow>
              <m:ctrlPr>
                <w:rPr>
                  <w:rFonts w:ascii="Cambria Math" w:hAnsi="Cambria Math"/>
                </w:rPr>
              </m:ctrlPr>
            </m:fName>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e>
          </m:func>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D</m:t>
              </m:r>
              <m:ctrlPr>
                <w:rPr>
                  <w:rFonts w:ascii="Cambria Math" w:hAnsi="Cambria Math"/>
                </w:rPr>
              </m:ctrlPr>
            </m:sub>
            <m:sup>
              <m:r>
                <m:rPr/>
                <w:rPr>
                  <w:rFonts w:ascii="Cambria Math" w:hAnsi="Cambria Math"/>
                </w:rPr>
                <m:t>DD∗</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r>
            <m:rPr>
              <m:sty m:val="p"/>
            </m:rPr>
            <w:rPr>
              <w:rFonts w:ascii="Cambria Math" w:hAnsi="Cambria Math"/>
            </w:rPr>
            <m:t xml:space="preserve">  </m:t>
          </m:r>
          <m:r>
            <m:rPr>
              <m:sty m:val="p"/>
            </m:rPr>
            <w:rPr>
              <w:rFonts w:hint="default" w:ascii="Cambria Math" w:hAnsi="Cambria Math"/>
              <w:lang w:val="en-US" w:eastAsia="zh-CN"/>
            </w:rPr>
            <m:t>(2)</m:t>
          </m:r>
          <m:r>
            <m:rPr>
              <m:sty m:val="p"/>
            </m:rPr>
            <w:rPr>
              <w:rFonts w:ascii="Cambria Math" w:hAnsi="Cambria Math"/>
            </w:rPr>
            <m:t xml:space="preserve">  </m:t>
          </m:r>
        </m:oMath>
      </m:oMathPara>
      <w:r>
        <w:rPr>
          <w:rFonts w:ascii="Cambria Math" w:hAnsi="Cambria Math"/>
          <w:b w:val="0"/>
          <w:i w:val="0"/>
        </w:rPr>
        <w:br w:type="textWrapping"/>
      </w:r>
    </w:p>
    <w:p w14:paraId="78CA9BEA">
      <w:pPr>
        <w:spacing w:line="360" w:lineRule="exact"/>
        <w:ind w:left="425" w:firstLine="420" w:firstLineChars="200"/>
        <w:outlineLvl w:val="1"/>
        <w:rPr>
          <w:rFonts w:hint="eastAsia" w:ascii="宋体" w:hAnsi="宋体" w:cs="宋体"/>
          <w:bCs/>
          <w:szCs w:val="21"/>
        </w:rPr>
      </w:pPr>
      <w:r>
        <w:rPr>
          <w:rFonts w:hint="eastAsia" w:ascii="宋体" w:hAnsi="宋体" w:cs="宋体"/>
          <w:bCs/>
          <w:szCs w:val="21"/>
        </w:rPr>
        <w:t>例如，在一起民间借贷纠纷中，原告选择“竞争型”策略主张全额本息赔偿。在静态NE分析中，被告的最优响应可能同为“竞争型”——全面否认债务。但在SPNE分析中，被告观察到原告的强硬姿态和充分的借据证据后，通过反向归纳发现"妥协型"策略（承认本金、仅争议利息计算方式）的预期收益更高——因为全面否认在充分证据面前缺乏可信度，法官裁判支持原告的概率极高。这种"原告策略改变被告最优响应"的序贯效应，正是SPNE所捕捉而静态NE所遗漏的。</w:t>
      </w:r>
    </w:p>
    <w:p w14:paraId="0FCC6B9A">
      <w:pPr>
        <w:spacing w:after="120" w:afterLines="50" w:line="360" w:lineRule="exact"/>
        <w:ind w:left="425" w:firstLine="420" w:firstLineChars="200"/>
        <w:outlineLvl w:val="1"/>
        <w:rPr>
          <w:rFonts w:hint="eastAsia" w:ascii="宋体" w:hAnsi="宋体" w:cs="宋体"/>
          <w:bCs/>
          <w:szCs w:val="21"/>
        </w:rPr>
      </w:pPr>
      <w:r>
        <w:rPr>
          <w:rFonts w:hint="eastAsia" w:ascii="宋体" w:hAnsi="宋体" w:cs="宋体"/>
          <w:bCs/>
          <w:szCs w:val="21"/>
        </w:rPr>
        <w:t>与正规形式NE的关键区别在于：SPNE通过反向归纳排除了不可信威胁，给出更精确的序贯策略预测。博弈树结构如图4所示。</w:t>
      </w:r>
    </w:p>
    <w:p w14:paraId="3048B5B5">
      <w:pPr>
        <w:wordWrap w:val="0"/>
        <w:spacing w:line="360" w:lineRule="auto"/>
        <w:ind w:right="-57"/>
        <w:outlineLvl w:val="1"/>
        <w:rPr>
          <w:rFonts w:hint="eastAsia" w:ascii="宋体" w:hAnsi="宋体" w:cs="宋体"/>
          <w:bCs/>
          <w:szCs w:val="21"/>
        </w:rPr>
      </w:pPr>
      <w:r>
        <w:rPr>
          <w:rFonts w:ascii="宋体" w:hAnsi="宋体" w:cs="宋体"/>
          <w:bCs/>
          <w:szCs w:val="21"/>
        </w:rPr>
        <w:drawing>
          <wp:inline distT="0" distB="0" distL="114300" distR="114300">
            <wp:extent cx="5869305" cy="2806700"/>
            <wp:effectExtent l="0" t="0" r="0" b="0"/>
            <wp:docPr id="12" name="图片 18" descr="图3_扩展式博弈树与SP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 descr="图3_扩展式博弈树与SPNE"/>
                    <pic:cNvPicPr>
                      <a:picLocks noChangeAspect="1"/>
                    </pic:cNvPicPr>
                  </pic:nvPicPr>
                  <pic:blipFill>
                    <a:blip r:embed="rId19"/>
                    <a:srcRect r="1187" b="7468"/>
                    <a:stretch>
                      <a:fillRect/>
                    </a:stretch>
                  </pic:blipFill>
                  <pic:spPr>
                    <a:xfrm>
                      <a:off x="0" y="0"/>
                      <a:ext cx="5869305" cy="2806700"/>
                    </a:xfrm>
                    <a:prstGeom prst="rect">
                      <a:avLst/>
                    </a:prstGeom>
                    <a:noFill/>
                    <a:ln>
                      <a:noFill/>
                    </a:ln>
                  </pic:spPr>
                </pic:pic>
              </a:graphicData>
            </a:graphic>
          </wp:inline>
        </w:drawing>
      </w:r>
    </w:p>
    <w:p w14:paraId="706FB485">
      <w:pPr>
        <w:wordWrap w:val="0"/>
        <w:spacing w:line="360" w:lineRule="auto"/>
        <w:ind w:right="-57"/>
        <w:jc w:val="center"/>
        <w:outlineLvl w:val="1"/>
        <w:rPr>
          <w:rFonts w:hint="eastAsia" w:ascii="宋体" w:hAnsi="宋体" w:cs="宋体"/>
          <w:bCs/>
          <w:szCs w:val="21"/>
        </w:rPr>
      </w:pPr>
      <w:r>
        <w:rPr>
          <w:rFonts w:hint="eastAsia" w:ascii="宋体" w:hAnsi="宋体" w:cs="宋体"/>
          <w:bCs/>
          <w:szCs w:val="21"/>
        </w:rPr>
        <w:t>图4 CD→DD→CI扩展式博弈树与SPNE均衡路径（红色粗线）</w:t>
      </w:r>
    </w:p>
    <w:p w14:paraId="086D555F">
      <w:pPr>
        <w:keepNext w:val="0"/>
        <w:keepLines w:val="0"/>
        <w:pageBreakBefore w:val="0"/>
        <w:widowControl w:val="0"/>
        <w:kinsoku/>
        <w:wordWrap w:val="0"/>
        <w:overflowPunct/>
        <w:topLinePunct w:val="0"/>
        <w:autoSpaceDE/>
        <w:autoSpaceDN/>
        <w:bidi w:val="0"/>
        <w:adjustRightInd w:val="0"/>
        <w:snapToGrid/>
        <w:spacing w:line="360" w:lineRule="exact"/>
        <w:ind w:left="425" w:right="0" w:firstLine="420" w:firstLineChars="200"/>
        <w:textAlignment w:val="baseline"/>
        <w:outlineLvl w:val="1"/>
        <w:rPr>
          <w:rFonts w:hint="eastAsia" w:ascii="宋体" w:hAnsi="宋体" w:cs="宋体"/>
          <w:bCs/>
          <w:szCs w:val="21"/>
        </w:rPr>
      </w:pPr>
      <w:r>
        <w:rPr>
          <w:rFonts w:hint="eastAsia" w:ascii="宋体" w:hAnsi="宋体" w:cs="宋体"/>
          <w:bCs/>
          <w:szCs w:val="21"/>
        </w:rPr>
        <w:t>原告在CD阶段选择起诉策略，被告在DD阶段观察后选择答辩策略，CI阶段作为收益实现机制。通过反向归纳法（公式(1)(2)），被告在每个子博弈中选择最优响应，原告预期被告响应后选择全局最优策略。</w:t>
      </w:r>
    </w:p>
    <w:p w14:paraId="6570C526">
      <w:pPr>
        <w:wordWrap w:val="0"/>
        <w:spacing w:line="360" w:lineRule="exact"/>
        <w:ind w:right="-57"/>
        <w:outlineLvl w:val="1"/>
        <w:rPr>
          <w:rFonts w:hint="eastAsia" w:ascii="宋体" w:hAnsi="宋体" w:cs="宋体"/>
          <w:bCs/>
          <w:szCs w:val="21"/>
        </w:rPr>
      </w:pPr>
      <w:r>
        <w:rPr>
          <w:rFonts w:hint="eastAsia" w:ascii="宋体" w:hAnsi="宋体" w:cs="宋体"/>
          <w:bCs/>
          <w:szCs w:val="21"/>
        </w:rPr>
        <w:t>3.2 收益矩阵构建与双路校验</w:t>
      </w:r>
    </w:p>
    <w:p w14:paraId="32482004">
      <w:pPr>
        <w:keepNext w:val="0"/>
        <w:keepLines w:val="0"/>
        <w:pageBreakBefore w:val="0"/>
        <w:widowControl w:val="0"/>
        <w:kinsoku/>
        <w:wordWrap w:val="0"/>
        <w:overflowPunct/>
        <w:topLinePunct w:val="0"/>
        <w:autoSpaceDE/>
        <w:autoSpaceDN/>
        <w:bidi w:val="0"/>
        <w:adjustRightInd w:val="0"/>
        <w:snapToGrid/>
        <w:spacing w:line="360" w:lineRule="exact"/>
        <w:ind w:left="425" w:right="0" w:firstLine="420" w:firstLineChars="200"/>
        <w:textAlignment w:val="baseline"/>
        <w:outlineLvl w:val="1"/>
        <w:rPr>
          <w:rFonts w:hint="eastAsia" w:ascii="宋体" w:hAnsi="宋体" w:cs="宋体"/>
          <w:bCs/>
          <w:szCs w:val="21"/>
        </w:rPr>
      </w:pPr>
      <w:r>
        <w:rPr>
          <w:rFonts w:hint="eastAsia" w:ascii="宋体" w:hAnsi="宋体" w:cs="宋体"/>
          <w:bCs/>
          <w:szCs w:val="21"/>
        </w:rPr>
        <w:t>作为博弈分析的数据基础，系统维护一张5×5经验收益矩阵，该矩阵同时服务于步骤二（构建博弈树终端收益和正规形式博弈求解）和步骤三（作为演化适应度矩阵）。</w:t>
      </w:r>
    </w:p>
    <w:p w14:paraId="140111CC">
      <w:pPr>
        <w:keepNext w:val="0"/>
        <w:keepLines w:val="0"/>
        <w:pageBreakBefore w:val="0"/>
        <w:widowControl w:val="0"/>
        <w:kinsoku/>
        <w:wordWrap w:val="0"/>
        <w:overflowPunct/>
        <w:topLinePunct w:val="0"/>
        <w:autoSpaceDE/>
        <w:autoSpaceDN/>
        <w:bidi w:val="0"/>
        <w:adjustRightInd w:val="0"/>
        <w:snapToGrid/>
        <w:spacing w:line="360" w:lineRule="exact"/>
        <w:ind w:left="425" w:right="0" w:firstLine="420" w:firstLineChars="200"/>
        <w:textAlignment w:val="baseline"/>
        <w:outlineLvl w:val="1"/>
        <w:rPr>
          <w:rFonts w:hint="eastAsia" w:ascii="宋体" w:hAnsi="宋体" w:cs="宋体"/>
          <w:bCs/>
          <w:szCs w:val="21"/>
        </w:rPr>
      </w:pPr>
      <w:r>
        <w:rPr>
          <w:rFonts w:hint="eastAsia" w:ascii="宋体" w:hAnsi="宋体" w:cs="宋体"/>
          <w:bCs/>
          <w:szCs w:val="21"/>
        </w:rPr>
        <w:t>将民事诉讼建模为双人正规形式博弈，其中参与人</w:t>
      </w:r>
      <m:oMath>
        <m:r>
          <m:rPr/>
          <w:rPr>
            <w:rFonts w:ascii="Cambria Math" w:hAnsi="Cambria Math" w:eastAsia="瀹嬩綋"/>
          </w:rPr>
          <m:t>N=P,D</m:t>
        </m:r>
      </m:oMath>
      <w:r>
        <w:rPr>
          <w:rFonts w:hint="eastAsia" w:ascii="宋体" w:hAnsi="宋体" w:cs="宋体"/>
          <w:bCs/>
          <w:szCs w:val="21"/>
        </w:rPr>
        <w:t>（原告、被告），策略集</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={Competing,</m:t>
        </m:r>
        <m:r>
          <m:rPr>
            <m:sty m:val="p"/>
          </m:rPr>
          <w:rPr>
            <w:rFonts w:ascii="Cambria Math" w:hAnsi="Cambria Math"/>
          </w:rPr>
          <m:t xml:space="preserve"> </m:t>
        </m:r>
        <m:r>
          <m:rPr/>
          <w:rPr>
            <w:rFonts w:ascii="Cambria Math" w:hAnsi="Cambria Math"/>
          </w:rPr>
          <m:t>Collaborating,</m:t>
        </m:r>
        <m:r>
          <m:rPr>
            <m:sty m:val="p"/>
          </m:rPr>
          <w:rPr>
            <w:rFonts w:ascii="Cambria Math" w:hAnsi="Cambria Math"/>
          </w:rPr>
          <m:t xml:space="preserve"> </m:t>
        </m:r>
        <m:r>
          <m:rPr/>
          <w:rPr>
            <w:rFonts w:ascii="Cambria Math" w:hAnsi="Cambria Math"/>
          </w:rPr>
          <m:t>Compromising,</m:t>
        </m:r>
        <m:r>
          <m:rPr>
            <m:sty m:val="p"/>
          </m:rPr>
          <w:rPr>
            <w:rFonts w:ascii="Cambria Math" w:hAnsi="Cambria Math"/>
          </w:rPr>
          <m:t xml:space="preserve"> </m:t>
        </m:r>
        <m:r>
          <m:rPr/>
          <w:rPr>
            <w:rFonts w:ascii="Cambria Math" w:hAnsi="Cambria Math"/>
          </w:rPr>
          <m:t>Avoiding,</m:t>
        </m:r>
        <m:r>
          <m:rPr>
            <m:sty m:val="p"/>
          </m:rPr>
          <w:rPr>
            <w:rFonts w:ascii="Cambria Math" w:hAnsi="Cambria Math"/>
          </w:rPr>
          <m:t xml:space="preserve"> </m:t>
        </m:r>
        <m:r>
          <m:rPr/>
          <w:rPr>
            <w:rFonts w:ascii="Cambria Math" w:hAnsi="Cambria Math"/>
          </w:rPr>
          <m:t>Accommodating}</m:t>
        </m:r>
      </m:oMath>
      <w:r>
        <w:rPr>
          <w:rFonts w:hint="eastAsia" w:ascii="宋体" w:hAnsi="宋体" w:cs="宋体"/>
          <w:bCs/>
          <w:szCs w:val="21"/>
        </w:rPr>
        <w:t>对应TKI五策略。</w:t>
      </w:r>
    </w:p>
    <w:p w14:paraId="08147882">
      <w:pPr>
        <w:keepNext w:val="0"/>
        <w:keepLines w:val="0"/>
        <w:pageBreakBefore w:val="0"/>
        <w:widowControl w:val="0"/>
        <w:kinsoku/>
        <w:wordWrap w:val="0"/>
        <w:overflowPunct/>
        <w:topLinePunct w:val="0"/>
        <w:autoSpaceDE/>
        <w:autoSpaceDN/>
        <w:bidi w:val="0"/>
        <w:adjustRightInd w:val="0"/>
        <w:snapToGrid/>
        <w:spacing w:line="360" w:lineRule="exact"/>
        <w:ind w:left="425" w:right="-57" w:firstLine="420" w:firstLineChars="200"/>
        <w:textAlignment w:val="baseline"/>
        <w:outlineLvl w:val="1"/>
        <w:rPr>
          <w:rFonts w:hint="eastAsia" w:ascii="宋体" w:hAnsi="宋体" w:cs="宋体"/>
          <w:bCs/>
          <w:szCs w:val="21"/>
        </w:rPr>
      </w:pPr>
      <w:r>
        <w:rPr>
          <w:rFonts w:hint="eastAsia" w:ascii="宋体" w:hAnsi="宋体" w:cs="宋体"/>
          <w:bCs/>
          <w:szCs w:val="21"/>
        </w:rPr>
        <w:t>收益函数定义为：</w:t>
      </w:r>
    </w:p>
    <w:p w14:paraId="145FCBF3">
      <w:pPr>
        <w:keepNext w:val="0"/>
        <w:keepLines w:val="0"/>
        <w:pageBreakBefore w:val="0"/>
        <w:widowControl w:val="0"/>
        <w:kinsoku/>
        <w:overflowPunct/>
        <w:topLinePunct w:val="0"/>
        <w:autoSpaceDE/>
        <w:autoSpaceDN/>
        <w:bidi w:val="0"/>
        <w:adjustRightInd w:val="0"/>
        <w:snapToGrid/>
        <w:spacing w:after="60" w:line="360" w:lineRule="exact"/>
        <w:ind w:left="425" w:firstLine="420" w:firstLineChars="200"/>
        <w:textAlignment w:val="baseline"/>
        <w:rPr>
          <w:rFonts w:hint="eastAsia" w:ascii="宋体" w:hAnsi="宋体" w:cs="宋体"/>
          <w:bCs/>
          <w:szCs w:val="21"/>
        </w:rPr>
      </w:pPr>
      <m:oMathPara>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)=0.5⋅</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+0.25⋅</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+0.25⋅</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P</m:t>
              </m:r>
              <m:ctrlPr>
                <w:rPr>
                  <w:rFonts w:ascii="Cambria Math" w:hAnsi="Cambria Math"/>
                </w:rPr>
              </m:ctrlPr>
            </m:sub>
          </m:sSub>
          <m:r>
            <m:rPr>
              <m:sty m:val="p"/>
            </m:rPr>
            <w:rPr>
              <w:rFonts w:hint="default" w:ascii="Cambria Math" w:hAnsi="Cambria Math"/>
              <w:lang w:val="en-US" w:eastAsia="zh-CN"/>
            </w:rPr>
            <m:t>(3)</m:t>
          </m:r>
          <m:r>
            <m:rPr>
              <m:sty m:val="p"/>
            </m:rPr>
            <w:rPr>
              <w:rFonts w:ascii="Cambria Math" w:hAnsi="Cambria Math"/>
            </w:rPr>
            <m:t xml:space="preserve">    </m:t>
          </m:r>
        </m:oMath>
      </m:oMathPara>
      <w:r>
        <w:rPr>
          <w:rFonts w:ascii="Cambria Math" w:hAnsi="Cambria Math"/>
          <w:b w:val="0"/>
          <w:i w:val="0"/>
        </w:rPr>
        <w:br w:type="textWrapping"/>
      </w:r>
    </w:p>
    <w:p w14:paraId="3A1FF003">
      <w:pPr>
        <w:keepNext w:val="0"/>
        <w:keepLines w:val="0"/>
        <w:pageBreakBefore w:val="0"/>
        <w:widowControl w:val="0"/>
        <w:kinsoku/>
        <w:overflowPunct/>
        <w:topLinePunct w:val="0"/>
        <w:autoSpaceDE/>
        <w:autoSpaceDN/>
        <w:bidi w:val="0"/>
        <w:adjustRightInd w:val="0"/>
        <w:snapToGrid/>
        <w:spacing w:after="60" w:line="360" w:lineRule="exact"/>
        <w:ind w:left="425" w:firstLine="420" w:firstLineChars="200"/>
        <w:textAlignment w:val="baseline"/>
        <w:rPr>
          <w:rFonts w:hint="eastAsia" w:ascii="宋体" w:hAnsi="宋体" w:cs="宋体"/>
          <w:bCs/>
          <w:szCs w:val="21"/>
        </w:rPr>
      </w:pPr>
      <w:r>
        <w:rPr>
          <w:rFonts w:hint="eastAsia" w:ascii="宋体" w:hAnsi="宋体" w:cs="宋体"/>
          <w:bCs/>
          <w:szCs w:val="21"/>
        </w:rPr>
        <w:t>其中</w:t>
      </w:r>
      <m:oMath>
        <m:r>
          <m:rPr/>
          <w:rPr>
            <w:rFonts w:ascii="Cambria Math" w:hAnsi="Cambria Math" w:eastAsia="瀹嬩綋"/>
          </w:rPr>
          <m:t>WinRate</m:t>
        </m:r>
      </m:oMath>
      <w:r>
        <w:rPr>
          <w:rFonts w:hint="eastAsia" w:ascii="宋体" w:hAnsi="宋体" w:cs="宋体"/>
          <w:bCs/>
          <w:szCs w:val="21"/>
        </w:rPr>
        <w:t>为原告胜率，</w:t>
      </w:r>
      <m:oMath>
        <m:r>
          <m:rPr/>
          <w:rPr>
            <w:rFonts w:ascii="Cambria Math" w:hAnsi="Cambria Math" w:eastAsia="瀹嬩綋"/>
          </w:rPr>
          <m:t>ArgQuality</m:t>
        </m:r>
      </m:oMath>
      <w:r>
        <w:rPr>
          <w:rFonts w:hint="eastAsia" w:ascii="宋体" w:hAnsi="宋体" w:cs="宋体"/>
          <w:bCs/>
          <w:szCs w:val="21"/>
        </w:rPr>
        <w:t>为原告论证质量，</w:t>
      </w:r>
      <m:oMath>
        <m:r>
          <m:rPr/>
          <w:rPr>
            <w:rFonts w:ascii="Cambria Math" w:hAnsi="Cambria Math" w:eastAsia="瀹嬩綋"/>
          </w:rPr>
          <m:t>EvidenceStrength</m:t>
        </m:r>
      </m:oMath>
      <w:r>
        <w:rPr>
          <w:rFonts w:hint="eastAsia" w:ascii="宋体" w:hAnsi="宋体" w:cs="宋体"/>
          <w:bCs/>
          <w:szCs w:val="21"/>
        </w:rPr>
        <w:t>为原告证据强度。为避免“LLM评分循环自证”的方法论缺陷，本系统采用LLM评分与规则指标双路校验机制：</w:t>
      </w:r>
    </w:p>
    <w:p w14:paraId="7647688C">
      <w:pPr>
        <w:keepNext w:val="0"/>
        <w:keepLines w:val="0"/>
        <w:pageBreakBefore w:val="0"/>
        <w:widowControl w:val="0"/>
        <w:numPr>
          <w:ilvl w:val="0"/>
          <w:numId w:val="7"/>
        </w:numPr>
        <w:kinsoku/>
        <w:overflowPunct/>
        <w:topLinePunct w:val="0"/>
        <w:autoSpaceDE/>
        <w:autoSpaceDN/>
        <w:bidi w:val="0"/>
        <w:adjustRightInd w:val="0"/>
        <w:snapToGrid/>
        <w:spacing w:after="60" w:line="360" w:lineRule="exact"/>
        <w:ind w:left="425" w:firstLine="420" w:firstLineChars="200"/>
        <w:textAlignment w:val="baseline"/>
        <w:rPr>
          <w:rFonts w:hint="eastAsia" w:ascii="宋体" w:hAnsi="宋体" w:cs="宋体"/>
          <w:bCs/>
          <w:szCs w:val="21"/>
        </w:rPr>
      </w:pPr>
      <w:r>
        <w:rPr>
          <w:rFonts w:hint="eastAsia" w:ascii="宋体" w:hAnsi="宋体" w:cs="宋体"/>
          <w:bCs/>
          <w:szCs w:val="21"/>
        </w:rPr>
        <w:t>原告胜率以ground truth诉请支持率为基准——即基于原始裁判文书中法院对各项诉讼请求的实际支持/驳回记录计算，定义为</w:t>
      </w:r>
      <m:oMath>
        <m:sSub>
          <m:sSubPr>
            <m:ctrlPr>
              <w:rPr>
                <w:rFonts w:ascii="Cambria Math" w:hAnsi="Cambria Math"/>
              </w:rPr>
            </m:ctrlPr>
          </m:sSubPr>
          <m:e>
            <m:r>
              <m:rPr/>
              <w:rPr>
                <w:rFonts w:ascii="Cambria Math" w:hAnsi="Cambria Math"/>
              </w:rPr>
              <m:t>WinRate</m:t>
            </m:r>
            <m:ctrlPr>
              <w:rPr>
                <w:rFonts w:ascii="Cambria Math" w:hAnsi="Cambria Math"/>
              </w:rPr>
            </m:ctrlPr>
          </m:e>
          <m:sub>
            <m:r>
              <m:rPr/>
              <w:rPr>
                <w:rFonts w:ascii="Cambria Math" w:hAnsi="Cambria Math"/>
              </w:rPr>
              <m:t>gt</m:t>
            </m:r>
            <m:ctrlPr>
              <w:rPr>
                <w:rFonts w:ascii="Cambria Math" w:hAnsi="Cambria Math"/>
              </w:rPr>
            </m:ctrlPr>
          </m:sub>
        </m:sSub>
      </m:oMath>
      <w:r>
        <w:rPr>
          <w:rFonts w:hint="eastAsia" w:ascii="宋体" w:hAnsi="宋体" w:cs="宋体"/>
          <w:bCs/>
          <w:szCs w:val="21"/>
        </w:rPr>
        <w:t>，LLM评分</w:t>
      </w:r>
      <m:oMath>
        <m:sSub>
          <m:sSubPr>
            <m:ctrlPr>
              <w:rPr>
                <w:rFonts w:ascii="Cambria Math" w:hAnsi="Cambria Math"/>
              </w:rPr>
            </m:ctrlPr>
          </m:sSubPr>
          <m:e>
            <m:r>
              <m:rPr/>
              <w:rPr>
                <w:rFonts w:ascii="Cambria Math" w:hAnsi="Cambria Math"/>
              </w:rPr>
              <m:t>WinRate</m:t>
            </m:r>
            <m:ctrlPr>
              <w:rPr>
                <w:rFonts w:ascii="Cambria Math" w:hAnsi="Cambria Math"/>
              </w:rPr>
            </m:ctrlPr>
          </m:e>
          <m:sub>
            <m:r>
              <m:rPr/>
              <w:rPr>
                <w:rFonts w:ascii="Cambria Math" w:hAnsi="Cambria Math"/>
              </w:rPr>
              <m:t>llm</m:t>
            </m:r>
            <m:ctrlPr>
              <w:rPr>
                <w:rFonts w:ascii="Cambria Math" w:hAnsi="Cambria Math"/>
              </w:rPr>
            </m:ctrlPr>
          </m:sub>
        </m:sSub>
      </m:oMath>
      <w:r>
        <w:rPr>
          <w:rFonts w:hint="eastAsia" w:ascii="宋体" w:hAnsi="宋体" w:cs="宋体"/>
          <w:bCs/>
          <w:szCs w:val="21"/>
        </w:rPr>
        <w:t>仅作为辅助参考，最终取加权融合</w:t>
      </w:r>
      <m:oMath>
        <m:r>
          <m:rPr/>
          <w:rPr>
            <w:rFonts w:ascii="Cambria Math" w:hAnsi="Cambria Math"/>
          </w:rPr>
          <m:t>WinRate=α⋅</m:t>
        </m:r>
        <m:sSub>
          <m:sSubPr>
            <m:ctrlPr>
              <w:rPr>
                <w:rFonts w:ascii="Cambria Math" w:hAnsi="Cambria Math"/>
              </w:rPr>
            </m:ctrlPr>
          </m:sSubPr>
          <m:e>
            <m:r>
              <m:rPr/>
              <w:rPr>
                <w:rFonts w:ascii="Cambria Math" w:hAnsi="Cambria Math"/>
              </w:rPr>
              <m:t>WinRate</m:t>
            </m:r>
            <m:ctrlPr>
              <w:rPr>
                <w:rFonts w:ascii="Cambria Math" w:hAnsi="Cambria Math"/>
              </w:rPr>
            </m:ctrlPr>
          </m:e>
          <m:sub>
            <m:r>
              <m:rPr/>
              <w:rPr>
                <w:rFonts w:ascii="Cambria Math" w:hAnsi="Cambria Math"/>
              </w:rPr>
              <m:t>gt</m:t>
            </m:r>
            <m:ctrlPr>
              <w:rPr>
                <w:rFonts w:ascii="Cambria Math" w:hAnsi="Cambria Math"/>
              </w:rPr>
            </m:ctrlPr>
          </m:sub>
        </m:sSub>
        <m:r>
          <m:rPr/>
          <w:rPr>
            <w:rFonts w:ascii="Cambria Math" w:hAnsi="Cambria Math"/>
          </w:rPr>
          <m:t>+(1−α)⋅</m:t>
        </m:r>
        <m:sSub>
          <m:sSubPr>
            <m:ctrlPr>
              <w:rPr>
                <w:rFonts w:ascii="Cambria Math" w:hAnsi="Cambria Math"/>
              </w:rPr>
            </m:ctrlPr>
          </m:sSubPr>
          <m:e>
            <m:r>
              <m:rPr/>
              <w:rPr>
                <w:rFonts w:ascii="Cambria Math" w:hAnsi="Cambria Math"/>
              </w:rPr>
              <m:t>WinRate</m:t>
            </m:r>
            <m:ctrlPr>
              <w:rPr>
                <w:rFonts w:ascii="Cambria Math" w:hAnsi="Cambria Math"/>
              </w:rPr>
            </m:ctrlPr>
          </m:e>
          <m:sub>
            <m:r>
              <m:rPr/>
              <w:rPr>
                <w:rFonts w:ascii="Cambria Math" w:hAnsi="Cambria Math"/>
              </w:rPr>
              <m:t>llm</m:t>
            </m:r>
            <m:ctrlPr>
              <w:rPr>
                <w:rFonts w:ascii="Cambria Math" w:hAnsi="Cambria Math"/>
              </w:rPr>
            </m:ctrlPr>
          </m:sub>
        </m:sSub>
      </m:oMath>
      <w:r>
        <w:rPr>
          <w:rFonts w:hint="eastAsia" w:ascii="宋体" w:hAnsi="宋体" w:cs="宋体"/>
          <w:bCs/>
          <w:szCs w:val="21"/>
        </w:rPr>
        <w:t>；</w:t>
      </w:r>
    </w:p>
    <w:p w14:paraId="2C82AB50">
      <w:pPr>
        <w:keepNext w:val="0"/>
        <w:keepLines w:val="0"/>
        <w:pageBreakBefore w:val="0"/>
        <w:widowControl w:val="0"/>
        <w:numPr>
          <w:ilvl w:val="0"/>
          <w:numId w:val="7"/>
        </w:numPr>
        <w:kinsoku/>
        <w:overflowPunct/>
        <w:topLinePunct w:val="0"/>
        <w:autoSpaceDE/>
        <w:autoSpaceDN/>
        <w:bidi w:val="0"/>
        <w:adjustRightInd w:val="0"/>
        <w:snapToGrid/>
        <w:spacing w:after="60" w:line="360" w:lineRule="exact"/>
        <w:ind w:left="425" w:firstLine="420" w:firstLineChars="200"/>
        <w:textAlignment w:val="baseline"/>
        <w:rPr>
          <w:rFonts w:hint="eastAsia" w:ascii="宋体" w:hAnsi="宋体" w:cs="宋体"/>
          <w:bCs/>
          <w:szCs w:val="21"/>
        </w:rPr>
      </w:pPr>
      <w:r>
        <w:rPr>
          <w:rFonts w:hint="eastAsia" w:ascii="宋体" w:hAnsi="宋体" w:cs="宋体"/>
          <w:bCs/>
          <w:szCs w:val="21"/>
        </w:rPr>
        <w:t>论证质量（</w:t>
      </w:r>
      <m:oMath>
        <m:r>
          <m:rPr/>
          <w:rPr>
            <w:rFonts w:ascii="Cambria Math" w:hAnsi="Cambria Math" w:eastAsia="瀹嬩綋"/>
          </w:rPr>
          <m:t>ArgQuality</m:t>
        </m:r>
      </m:oMath>
      <w:r>
        <w:rPr>
          <w:rFonts w:hint="eastAsia" w:ascii="宋体" w:hAnsi="宋体" w:cs="宋体"/>
          <w:bCs/>
          <w:szCs w:val="21"/>
        </w:rPr>
        <w:t>）通过规则指标校验，包括法条引用准确率（引用法条是否存在于法条数据库）、推理链完整性（是否覆盖构成要件的所有要素）；</w:t>
      </w:r>
    </w:p>
    <w:p w14:paraId="2BF2D7A2">
      <w:pPr>
        <w:keepNext w:val="0"/>
        <w:keepLines w:val="0"/>
        <w:pageBreakBefore w:val="0"/>
        <w:widowControl w:val="0"/>
        <w:numPr>
          <w:ilvl w:val="0"/>
          <w:numId w:val="7"/>
        </w:numPr>
        <w:kinsoku/>
        <w:overflowPunct/>
        <w:topLinePunct w:val="0"/>
        <w:autoSpaceDE/>
        <w:autoSpaceDN/>
        <w:bidi w:val="0"/>
        <w:adjustRightInd w:val="0"/>
        <w:snapToGrid/>
        <w:spacing w:after="60" w:line="360" w:lineRule="exact"/>
        <w:ind w:left="425" w:firstLine="420" w:firstLineChars="200"/>
        <w:textAlignment w:val="baseline"/>
        <w:rPr>
          <w:rFonts w:hint="eastAsia" w:ascii="宋体" w:hAnsi="宋体" w:cs="宋体"/>
          <w:bCs/>
          <w:szCs w:val="21"/>
        </w:rPr>
      </w:pPr>
      <w:r>
        <w:rPr>
          <w:rFonts w:hint="eastAsia" w:ascii="宋体" w:hAnsi="宋体" w:cs="宋体"/>
          <w:bCs/>
          <w:szCs w:val="21"/>
        </w:rPr>
        <w:t>证据强度（</w:t>
      </w:r>
      <m:oMath>
        <m:r>
          <m:rPr/>
          <w:rPr>
            <w:rFonts w:ascii="Cambria Math" w:hAnsi="Cambria Math" w:eastAsia="瀹嬩綋"/>
          </w:rPr>
          <m:t>EvidenceStrength</m:t>
        </m:r>
      </m:oMath>
      <w:r>
        <w:rPr>
          <w:rFonts w:hint="eastAsia" w:ascii="宋体" w:hAnsi="宋体" w:cs="宋体"/>
          <w:bCs/>
          <w:szCs w:val="21"/>
        </w:rPr>
        <w:t>）以证据清单中各项证据与事实陈述的文本覆盖率（BM25得分）作为规则基准。当LLM评分与规则指标偏差超过阈值时触发人工复核。权重(0.5, 0.25, 0.25)参考诉讼实务中"胜负结果"对当事人效用的主导地位设定，后续将通过灵敏度分析验证权重选择的鲁棒性并根据实验情况适度调整权重。先验收益基于Agent Mediation经验数据中的成功率、满意度、共识度和非诉转化率加权构建。</w:t>
      </w:r>
    </w:p>
    <w:p w14:paraId="1E4724D7">
      <w:pPr>
        <w:keepNext w:val="0"/>
        <w:keepLines w:val="0"/>
        <w:pageBreakBefore w:val="0"/>
        <w:widowControl w:val="0"/>
        <w:kinsoku/>
        <w:wordWrap w:val="0"/>
        <w:overflowPunct/>
        <w:topLinePunct w:val="0"/>
        <w:autoSpaceDE/>
        <w:autoSpaceDN/>
        <w:bidi w:val="0"/>
        <w:adjustRightInd w:val="0"/>
        <w:snapToGrid/>
        <w:spacing w:line="360" w:lineRule="exact"/>
        <w:ind w:left="425" w:right="-57" w:firstLine="420" w:firstLineChars="200"/>
        <w:textAlignment w:val="baseline"/>
        <w:outlineLvl w:val="1"/>
        <w:rPr>
          <w:rFonts w:hint="eastAsia" w:ascii="宋体" w:hAnsi="宋体" w:cs="宋体"/>
          <w:bCs/>
          <w:szCs w:val="21"/>
        </w:rPr>
      </w:pPr>
      <w:r>
        <w:rPr>
          <w:rFonts w:hint="eastAsia" w:ascii="宋体" w:hAnsi="宋体" w:cs="宋体"/>
          <w:bCs/>
          <w:szCs w:val="21"/>
        </w:rPr>
        <w:t>纯策略纳什均衡</w:t>
      </w:r>
      <m:oMath>
        <m:r>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P</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D</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oMath>
      <w:r>
        <w:rPr>
          <w:rFonts w:hint="eastAsia" w:ascii="宋体" w:hAnsi="宋体" w:cs="宋体"/>
          <w:bCs/>
          <w:szCs w:val="21"/>
        </w:rPr>
        <w:t>满足双方均无单方面偏离激励。系统同时通过支撑枚举法求解混合策略均衡，在5×5博弈规模下计算开销可忽略。收益矩阵如图5所示。</w:t>
      </w:r>
    </w:p>
    <w:p w14:paraId="2A5D0E6B">
      <w:pPr>
        <w:wordWrap w:val="0"/>
        <w:spacing w:line="360" w:lineRule="auto"/>
        <w:ind w:right="-57"/>
        <w:outlineLvl w:val="1"/>
        <w:rPr>
          <w:rFonts w:hint="eastAsia" w:ascii="宋体" w:hAnsi="宋体" w:cs="宋体"/>
          <w:bCs/>
          <w:szCs w:val="21"/>
        </w:rPr>
      </w:pPr>
      <w:r>
        <w:rPr>
          <w:rFonts w:ascii="宋体" w:hAnsi="宋体" w:cs="宋体"/>
          <w:bCs/>
          <w:szCs w:val="21"/>
        </w:rPr>
        <w:drawing>
          <wp:inline distT="0" distB="0" distL="114300" distR="114300">
            <wp:extent cx="4423410" cy="3453130"/>
            <wp:effectExtent l="0" t="0" r="8890" b="1270"/>
            <wp:docPr id="13" name="图片 31" descr="图4_收益矩阵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1" descr="图4_收益矩阵热力图"/>
                    <pic:cNvPicPr>
                      <a:picLocks noChangeAspect="1"/>
                    </pic:cNvPicPr>
                  </pic:nvPicPr>
                  <pic:blipFill>
                    <a:blip r:embed="rId20"/>
                    <a:srcRect r="-761" b="13509"/>
                    <a:stretch>
                      <a:fillRect/>
                    </a:stretch>
                  </pic:blipFill>
                  <pic:spPr>
                    <a:xfrm>
                      <a:off x="0" y="0"/>
                      <a:ext cx="4423410" cy="3453130"/>
                    </a:xfrm>
                    <a:prstGeom prst="rect">
                      <a:avLst/>
                    </a:prstGeom>
                    <a:noFill/>
                    <a:ln>
                      <a:noFill/>
                    </a:ln>
                  </pic:spPr>
                </pic:pic>
              </a:graphicData>
            </a:graphic>
          </wp:inline>
        </w:drawing>
      </w:r>
    </w:p>
    <w:p w14:paraId="4EFEEF32">
      <w:pPr>
        <w:wordWrap w:val="0"/>
        <w:spacing w:line="360" w:lineRule="auto"/>
        <w:ind w:right="-57"/>
        <w:jc w:val="center"/>
        <w:outlineLvl w:val="1"/>
        <w:rPr>
          <w:rFonts w:hint="eastAsia" w:ascii="宋体" w:hAnsi="宋体" w:cs="宋体"/>
          <w:bCs/>
          <w:szCs w:val="21"/>
        </w:rPr>
      </w:pPr>
      <w:r>
        <w:rPr>
          <w:rFonts w:hint="eastAsia" w:ascii="宋体" w:hAnsi="宋体" w:cs="宋体"/>
          <w:bCs/>
          <w:szCs w:val="21"/>
        </w:rPr>
        <w:t>图5 5×5 TKI策略收益矩阵热力图（原告视角）</w:t>
      </w:r>
    </w:p>
    <w:p w14:paraId="252B2037">
      <w:pPr>
        <w:keepNext w:val="0"/>
        <w:keepLines w:val="0"/>
        <w:pageBreakBefore w:val="0"/>
        <w:widowControl w:val="0"/>
        <w:kinsoku/>
        <w:wordWrap w:val="0"/>
        <w:overflowPunct/>
        <w:topLinePunct w:val="0"/>
        <w:autoSpaceDE/>
        <w:autoSpaceDN/>
        <w:bidi w:val="0"/>
        <w:adjustRightInd w:val="0"/>
        <w:snapToGrid/>
        <w:spacing w:line="360" w:lineRule="exact"/>
        <w:ind w:left="425" w:right="0" w:firstLine="420" w:firstLineChars="200"/>
        <w:textAlignment w:val="baseline"/>
        <w:outlineLvl w:val="1"/>
        <w:rPr>
          <w:rFonts w:hint="eastAsia" w:ascii="宋体" w:hAnsi="宋体" w:cs="宋体"/>
          <w:bCs/>
          <w:szCs w:val="21"/>
        </w:rPr>
      </w:pPr>
      <w:r>
        <w:rPr>
          <w:rFonts w:hint="eastAsia" w:ascii="宋体" w:hAnsi="宋体" w:cs="宋体"/>
          <w:bCs/>
          <w:szCs w:val="21"/>
        </w:rPr>
        <w:t>颜色从蓝（低收益）到红（高收益），★标记纯策略纳什均衡点(Collaborating, Collaborating)。该矩阵同时服务于SPNE博弈树终端收益和演化适应度计算。</w:t>
      </w:r>
    </w:p>
    <w:p w14:paraId="027FA9AA">
      <w:pPr>
        <w:keepNext w:val="0"/>
        <w:keepLines w:val="0"/>
        <w:pageBreakBefore w:val="0"/>
        <w:widowControl w:val="0"/>
        <w:kinsoku/>
        <w:wordWrap w:val="0"/>
        <w:overflowPunct/>
        <w:topLinePunct w:val="0"/>
        <w:autoSpaceDE/>
        <w:autoSpaceDN/>
        <w:bidi w:val="0"/>
        <w:adjustRightInd w:val="0"/>
        <w:snapToGrid/>
        <w:spacing w:line="360" w:lineRule="exact"/>
        <w:ind w:left="425" w:right="0" w:firstLine="420" w:firstLineChars="200"/>
        <w:textAlignment w:val="baseline"/>
        <w:outlineLvl w:val="1"/>
        <w:rPr>
          <w:rFonts w:hint="eastAsia" w:ascii="宋体" w:hAnsi="宋体" w:cs="宋体"/>
          <w:bCs/>
          <w:szCs w:val="21"/>
        </w:rPr>
      </w:pPr>
      <w:r>
        <w:rPr>
          <w:rFonts w:hint="eastAsia" w:ascii="宋体" w:hAnsi="宋体" w:cs="宋体"/>
          <w:bCs/>
          <w:szCs w:val="21"/>
        </w:rPr>
        <w:t>策略进化通过三种方法实现：LLM反思式进化（智能体基于历史对局结果反思并调整策略）、最佳响应进化（选择对对手当前策略的数学最优响应）和虚拟博弈进化（基于对手历史策略频率的经验最优响应）。博弈锦标赛在每轮运行完整CD→DD→CI管道后更新收益矩阵，双方策略独立进化，直至收敛（近W=3轮均处于均衡状态）。</w:t>
      </w:r>
    </w:p>
    <w:p w14:paraId="769C7D67">
      <w:pPr>
        <w:wordWrap w:val="0"/>
        <w:spacing w:line="360" w:lineRule="exact"/>
        <w:ind w:right="-57"/>
        <w:outlineLvl w:val="1"/>
        <w:rPr>
          <w:rFonts w:hint="eastAsia" w:ascii="宋体" w:hAnsi="宋体" w:cs="宋体"/>
          <w:bCs/>
          <w:szCs w:val="21"/>
        </w:rPr>
      </w:pPr>
      <w:r>
        <w:rPr>
          <w:rFonts w:hint="eastAsia" w:ascii="宋体" w:hAnsi="宋体" w:cs="宋体"/>
          <w:bCs/>
          <w:szCs w:val="21"/>
        </w:rPr>
        <w:t>3.3 演化稳定性验证工具</w:t>
      </w:r>
    </w:p>
    <w:p w14:paraId="6C83BD6C">
      <w:pPr>
        <w:keepNext w:val="0"/>
        <w:keepLines w:val="0"/>
        <w:pageBreakBefore w:val="0"/>
        <w:widowControl w:val="0"/>
        <w:kinsoku/>
        <w:wordWrap w:val="0"/>
        <w:overflowPunct/>
        <w:topLinePunct w:val="0"/>
        <w:autoSpaceDE/>
        <w:autoSpaceDN/>
        <w:bidi w:val="0"/>
        <w:adjustRightInd w:val="0"/>
        <w:snapToGrid/>
        <w:spacing w:line="360" w:lineRule="exact"/>
        <w:ind w:left="425" w:leftChars="0" w:right="-57" w:firstLine="420" w:firstLineChars="200"/>
        <w:textAlignment w:val="baseline"/>
        <w:outlineLvl w:val="1"/>
        <w:rPr>
          <w:rFonts w:hint="eastAsia" w:ascii="宋体" w:hAnsi="宋体" w:cs="宋体"/>
          <w:bCs/>
          <w:szCs w:val="21"/>
        </w:rPr>
      </w:pPr>
      <w:r>
        <w:rPr>
          <w:rFonts w:hint="eastAsia" w:ascii="宋体" w:hAnsi="宋体" w:cs="宋体"/>
          <w:bCs/>
          <w:szCs w:val="21"/>
        </w:rPr>
        <w:t>本节提供对核心实验结论的群体层面稳定性检验工具。若步骤二中SPNE给出了不同于NE的策略预测，步骤三需进一步追问：该序贯均衡在群体层面是否稳定？</w:t>
      </w:r>
    </w:p>
    <w:p w14:paraId="1506C376">
      <w:pPr>
        <w:keepNext w:val="0"/>
        <w:keepLines w:val="0"/>
        <w:pageBreakBefore w:val="0"/>
        <w:widowControl w:val="0"/>
        <w:kinsoku/>
        <w:overflowPunct/>
        <w:topLinePunct w:val="0"/>
        <w:autoSpaceDE/>
        <w:autoSpaceDN/>
        <w:bidi w:val="0"/>
        <w:adjustRightInd w:val="0"/>
        <w:snapToGrid/>
        <w:spacing w:after="60" w:line="360" w:lineRule="exact"/>
        <w:ind w:left="425" w:leftChars="0" w:firstLine="420" w:firstLineChars="200"/>
        <w:textAlignment w:val="baseline"/>
        <w:rPr>
          <w:rFonts w:hint="eastAsia" w:ascii="宋体" w:hAnsi="宋体" w:cs="宋体"/>
          <w:bCs/>
          <w:szCs w:val="21"/>
        </w:rPr>
      </w:pPr>
      <w:r>
        <w:rPr>
          <w:rFonts w:hint="eastAsia" w:ascii="宋体" w:hAnsi="宋体" w:cs="宋体"/>
          <w:bCs/>
          <w:szCs w:val="21"/>
        </w:rPr>
        <w:t>具体而言，将大量案件中当事人的策略选择建模为演化博弈系统。设种群中采用策略</w:t>
      </w:r>
      <w:r>
        <w:rPr>
          <w:rFonts w:hAnsi="Cambria Math"/>
        </w:rPr>
        <w:drawing>
          <wp:inline distT="0" distB="0" distL="114300" distR="114300">
            <wp:extent cx="95885" cy="196850"/>
            <wp:effectExtent l="0" t="0" r="0" b="0"/>
            <wp:docPr id="27" name="图片 32"/>
            <wp:cNvGraphicFramePr/>
            <a:graphic xmlns:a="http://schemas.openxmlformats.org/drawingml/2006/main">
              <a:graphicData uri="http://schemas.openxmlformats.org/drawingml/2006/picture">
                <pic:pic xmlns:pic="http://schemas.openxmlformats.org/drawingml/2006/picture">
                  <pic:nvPicPr>
                    <pic:cNvPr id="27" name="图片 32"/>
                    <pic:cNvPicPr/>
                  </pic:nvPicPr>
                  <pic:blipFill>
                    <a:blip r:embed="rId21"/>
                    <a:stretch>
                      <a:fillRect/>
                    </a:stretch>
                  </pic:blipFill>
                  <pic:spPr>
                    <a:xfrm>
                      <a:off x="0" y="0"/>
                      <a:ext cx="95885" cy="196850"/>
                    </a:xfrm>
                    <a:prstGeom prst="rect">
                      <a:avLst/>
                    </a:prstGeom>
                    <a:noFill/>
                    <a:ln>
                      <a:noFill/>
                    </a:ln>
                  </pic:spPr>
                </pic:pic>
              </a:graphicData>
            </a:graphic>
          </wp:inline>
        </w:drawing>
      </w:r>
      <w:r>
        <w:rPr>
          <w:rFonts w:hint="eastAsia" w:ascii="宋体" w:hAnsi="宋体" w:cs="宋体"/>
          <w:bCs/>
          <w:szCs w:val="21"/>
        </w:rPr>
        <w:t>的比例为</w:t>
      </w:r>
      <w:r>
        <w:rPr>
          <w:rFonts w:ascii="宋体" w:hAnsi="宋体" w:cs="宋体"/>
          <w:bCs/>
          <w:szCs w:val="21"/>
        </w:rPr>
        <w:drawing>
          <wp:inline distT="0" distB="0" distL="114300" distR="114300">
            <wp:extent cx="106045" cy="196850"/>
            <wp:effectExtent l="0" t="0" r="0" b="0"/>
            <wp:docPr id="28" name="图片 33"/>
            <wp:cNvGraphicFramePr/>
            <a:graphic xmlns:a="http://schemas.openxmlformats.org/drawingml/2006/main">
              <a:graphicData uri="http://schemas.openxmlformats.org/drawingml/2006/picture">
                <pic:pic xmlns:pic="http://schemas.openxmlformats.org/drawingml/2006/picture">
                  <pic:nvPicPr>
                    <pic:cNvPr id="28" name="图片 33"/>
                    <pic:cNvPicPr/>
                  </pic:nvPicPr>
                  <pic:blipFill>
                    <a:blip r:embed="rId22"/>
                    <a:stretch>
                      <a:fillRect/>
                    </a:stretch>
                  </pic:blipFill>
                  <pic:spPr>
                    <a:xfrm>
                      <a:off x="0" y="0"/>
                      <a:ext cx="106045" cy="196850"/>
                    </a:xfrm>
                    <a:prstGeom prst="rect">
                      <a:avLst/>
                    </a:prstGeom>
                    <a:noFill/>
                    <a:ln>
                      <a:noFill/>
                    </a:ln>
                  </pic:spPr>
                </pic:pic>
              </a:graphicData>
            </a:graphic>
          </wp:inline>
        </w:drawing>
      </w:r>
      <w:r>
        <w:rPr>
          <w:rFonts w:hint="eastAsia" w:ascii="宋体" w:hAnsi="宋体" w:cs="宋体"/>
          <w:bCs/>
          <w:szCs w:val="21"/>
        </w:rPr>
        <w:t>，策略的期望适应度为：</w:t>
      </w:r>
      <w:r>
        <w:rPr>
          <w:rFonts w:hint="eastAsia" w:ascii="宋体" w:hAnsi="宋体" w:cs="宋体"/>
          <w:bCs/>
          <w:szCs w:val="21"/>
        </w:rPr>
        <w:br w:type="textWrapping"/>
      </w:r>
      <m:oMathPara>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nary>
            <m:naryPr>
              <m:chr m:val="∑"/>
              <m:limLoc m:val="undOvr"/>
              <m:supHide m:val="1"/>
              <m:ctrlPr>
                <w:rPr>
                  <w:rFonts w:ascii="Cambria Math" w:hAnsi="Cambria Math"/>
                  <w:i/>
                </w:rPr>
              </m:ctrlPr>
            </m:naryPr>
            <m:sub>
              <m:r>
                <m:rPr/>
                <w:rPr>
                  <w:rFonts w:ascii="Cambria Math" w:hAnsi="Cambria Math"/>
                </w:rPr>
                <m:t>j</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r>
            <m:rPr/>
            <w:rPr>
              <w:rFonts w:ascii="Cambria Math" w:hAnsi="Cambria Math"/>
            </w:rPr>
            <m:t>⋅u(</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r>
            <m:rPr/>
            <w:rPr>
              <w:rFonts w:hint="default" w:ascii="Cambria Math" w:hAnsi="Cambria Math"/>
              <w:lang w:val="en-US" w:eastAsia="zh-CN"/>
            </w:rPr>
            <m:t xml:space="preserve"> (4)</m:t>
          </m:r>
        </m:oMath>
      </m:oMathPara>
      <w:r>
        <w:rPr>
          <w:rFonts w:ascii="Cambria Math" w:hAnsi="Cambria Math"/>
          <w:i/>
        </w:rPr>
        <w:br w:type="textWrapping"/>
      </w:r>
    </w:p>
    <w:p w14:paraId="3F8536A5">
      <w:pPr>
        <w:keepNext w:val="0"/>
        <w:keepLines w:val="0"/>
        <w:pageBreakBefore w:val="0"/>
        <w:widowControl w:val="0"/>
        <w:kinsoku/>
        <w:overflowPunct/>
        <w:topLinePunct w:val="0"/>
        <w:autoSpaceDE/>
        <w:autoSpaceDN/>
        <w:bidi w:val="0"/>
        <w:adjustRightInd w:val="0"/>
        <w:snapToGrid/>
        <w:spacing w:after="60" w:line="360" w:lineRule="exact"/>
        <w:ind w:left="425" w:leftChars="0" w:firstLine="420" w:firstLineChars="200"/>
        <w:textAlignment w:val="baseline"/>
        <w:rPr>
          <w:rFonts w:hint="eastAsia" w:ascii="宋体" w:hAnsi="宋体" w:cs="宋体"/>
          <w:bCs/>
          <w:szCs w:val="21"/>
        </w:rPr>
      </w:pPr>
      <w:r>
        <w:rPr>
          <w:rFonts w:hint="eastAsia" w:ascii="宋体" w:hAnsi="宋体" w:cs="宋体"/>
          <w:bCs/>
          <w:szCs w:val="21"/>
        </w:rPr>
        <w:t>种群平均适应度为：</w:t>
      </w:r>
      <w:r>
        <w:rPr>
          <w:rFonts w:hint="eastAsia" w:ascii="宋体" w:hAnsi="宋体" w:cs="宋体"/>
          <w:bCs/>
          <w:szCs w:val="21"/>
        </w:rPr>
        <w:br w:type="textWrapping"/>
      </w:r>
      <m:oMathPara>
        <m:oMath>
          <m:acc>
            <m:accPr>
              <m:chr m:val="̄"/>
              <m:ctrlPr>
                <w:rPr>
                  <w:rFonts w:ascii="Cambria Math" w:hAnsi="Cambria Math"/>
                </w:rPr>
              </m:ctrlPr>
            </m:accPr>
            <m:e>
              <m:r>
                <m:rPr/>
                <w:rPr>
                  <w:rFonts w:ascii="Cambria Math" w:hAnsi="Cambria Math"/>
                </w:rPr>
                <m:t>f</m:t>
              </m:r>
              <m:ctrlPr>
                <w:rPr>
                  <w:rFonts w:ascii="Cambria Math" w:hAnsi="Cambria Math"/>
                </w:rPr>
              </m:ctrlPr>
            </m:e>
          </m:acc>
          <m:r>
            <m:rPr/>
            <w:rPr>
              <w:rFonts w:ascii="Cambria Math" w:hAnsi="Cambria Math"/>
            </w:rPr>
            <m:t>=</m:t>
          </m:r>
          <m:nary>
            <m:naryPr>
              <m:chr m:val="∑"/>
              <m:limLoc m:val="undOvr"/>
              <m:supHide m:val="1"/>
              <m:ctrlPr>
                <w:rPr>
                  <w:rFonts w:ascii="Cambria Math" w:hAnsi="Cambria Math"/>
                  <w:i/>
                </w:rPr>
              </m:ctrlPr>
            </m:naryPr>
            <m:sub>
              <m:r>
                <m:rPr/>
                <w:rPr>
                  <w:rFonts w:ascii="Cambria Math" w:hAnsi="Cambria Math"/>
                </w:rPr>
                <m:t>i</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oMath>
      </m:oMathPara>
    </w:p>
    <w:p w14:paraId="748E3B4B">
      <w:pPr>
        <w:keepNext w:val="0"/>
        <w:keepLines w:val="0"/>
        <w:pageBreakBefore w:val="0"/>
        <w:widowControl w:val="0"/>
        <w:kinsoku/>
        <w:wordWrap w:val="0"/>
        <w:overflowPunct/>
        <w:topLinePunct w:val="0"/>
        <w:autoSpaceDE/>
        <w:autoSpaceDN/>
        <w:bidi w:val="0"/>
        <w:adjustRightInd w:val="0"/>
        <w:snapToGrid/>
        <w:spacing w:line="360" w:lineRule="exact"/>
        <w:ind w:left="425" w:leftChars="0" w:right="-57" w:firstLine="420" w:firstLineChars="200"/>
        <w:textAlignment w:val="baseline"/>
        <w:outlineLvl w:val="1"/>
        <w:rPr>
          <w:rFonts w:hint="eastAsia" w:ascii="宋体" w:hAnsi="宋体" w:cs="宋体"/>
          <w:bCs/>
          <w:szCs w:val="21"/>
        </w:rPr>
      </w:pPr>
      <w:r>
        <w:rPr>
          <w:rFonts w:hint="eastAsia" w:ascii="宋体" w:hAnsi="宋体" w:cs="宋体"/>
          <w:bCs/>
          <w:szCs w:val="21"/>
        </w:rPr>
        <w:t>策略比例的演化遵循复制者动态方程：</w:t>
      </w:r>
      <w:r>
        <w:rPr>
          <w:rFonts w:hint="eastAsia" w:ascii="宋体" w:hAnsi="宋体" w:cs="宋体"/>
          <w:bCs/>
          <w:szCs w:val="21"/>
        </w:rPr>
        <w:br w:type="textWrapping"/>
      </w:r>
      <m:oMathPara>
        <m:oMath>
          <m:acc>
            <m:accPr>
              <m:chr m:val="̇"/>
              <m:ctrlPr>
                <w:rPr>
                  <w:rFonts w:ascii="Cambria Math" w:hAnsi="Cambria Math"/>
                  <w:b w:val="0"/>
                  <w:i/>
                  <w:sz w:val="21"/>
                </w:rPr>
              </m:ctrlPr>
            </m:accPr>
            <m:e>
              <m:sSub>
                <m:sSubPr>
                  <m:ctrlPr>
                    <w:rPr>
                      <w:rFonts w:ascii="Cambria Math" w:hAnsi="Cambria Math"/>
                      <w:b w:val="0"/>
                      <w:i/>
                      <w:sz w:val="21"/>
                    </w:rPr>
                  </m:ctrlPr>
                </m:sSubPr>
                <m:e>
                  <m:r>
                    <m:rPr>
                      <m:nor/>
                    </m:rPr>
                    <w:rPr>
                      <w:rFonts w:ascii="Times New Roman" w:hAnsi="Times New Roman"/>
                      <w:b w:val="0"/>
                      <w:i/>
                      <w:sz w:val="21"/>
                    </w:rPr>
                    <m:t>x</m:t>
                  </m:r>
                  <m:ctrlPr>
                    <w:rPr>
                      <w:rFonts w:ascii="Cambria Math" w:hAnsi="Cambria Math"/>
                      <w:b w:val="0"/>
                      <w:i/>
                      <w:sz w:val="21"/>
                    </w:rPr>
                  </m:ctrlPr>
                </m:e>
                <m:sub>
                  <m:r>
                    <m:rPr>
                      <m:nor/>
                    </m:rPr>
                    <w:rPr>
                      <w:rFonts w:ascii="Times New Roman" w:hAnsi="Times New Roman"/>
                      <w:b w:val="0"/>
                      <w:i/>
                      <w:sz w:val="21"/>
                    </w:rPr>
                    <m:t>i</m:t>
                  </m:r>
                  <m:ctrlPr>
                    <w:rPr>
                      <w:rFonts w:ascii="Cambria Math" w:hAnsi="Cambria Math"/>
                      <w:b w:val="0"/>
                      <w:i/>
                      <w:sz w:val="21"/>
                    </w:rPr>
                  </m:ctrlPr>
                </m:sub>
              </m:sSub>
              <m:ctrlPr>
                <w:rPr>
                  <w:rFonts w:ascii="Cambria Math" w:hAnsi="Cambria Math"/>
                  <w:b w:val="0"/>
                  <w:i/>
                  <w:sz w:val="21"/>
                </w:rPr>
              </m:ctrlPr>
            </m:e>
          </m:acc>
          <m:r>
            <m:rPr>
              <m:nor/>
            </m:rPr>
            <w:rPr>
              <w:rFonts w:ascii="Times New Roman" w:hAnsi="Times New Roman"/>
              <w:b w:val="0"/>
              <w:i/>
              <w:sz w:val="21"/>
            </w:rPr>
            <m:t>=</m:t>
          </m:r>
          <m:sSub>
            <m:sSubPr>
              <m:ctrlPr>
                <w:rPr>
                  <w:rFonts w:ascii="Cambria Math" w:hAnsi="Cambria Math"/>
                  <w:b w:val="0"/>
                  <w:i/>
                  <w:sz w:val="21"/>
                </w:rPr>
              </m:ctrlPr>
            </m:sSubPr>
            <m:e>
              <m:r>
                <m:rPr>
                  <m:nor/>
                </m:rPr>
                <w:rPr>
                  <w:rFonts w:ascii="Times New Roman" w:hAnsi="Times New Roman"/>
                  <w:b w:val="0"/>
                  <w:i/>
                  <w:sz w:val="21"/>
                </w:rPr>
                <m:t>x</m:t>
              </m:r>
              <m:ctrlPr>
                <w:rPr>
                  <w:rFonts w:ascii="Cambria Math" w:hAnsi="Cambria Math"/>
                  <w:b w:val="0"/>
                  <w:i/>
                  <w:sz w:val="21"/>
                </w:rPr>
              </m:ctrlPr>
            </m:e>
            <m:sub>
              <m:r>
                <m:rPr>
                  <m:nor/>
                </m:rPr>
                <w:rPr>
                  <w:rFonts w:ascii="Times New Roman" w:hAnsi="Times New Roman"/>
                  <w:b w:val="0"/>
                  <w:i/>
                  <w:sz w:val="21"/>
                </w:rPr>
                <m:t>i</m:t>
              </m:r>
              <m:ctrlPr>
                <w:rPr>
                  <w:rFonts w:ascii="Cambria Math" w:hAnsi="Cambria Math"/>
                  <w:b w:val="0"/>
                  <w:i/>
                  <w:sz w:val="21"/>
                </w:rPr>
              </m:ctrlPr>
            </m:sub>
          </m:sSub>
          <m:d>
            <m:dPr>
              <m:ctrlPr>
                <w:rPr>
                  <w:rFonts w:ascii="Cambria Math" w:hAnsi="Cambria Math"/>
                  <w:b w:val="0"/>
                  <w:i/>
                  <w:sz w:val="21"/>
                </w:rPr>
              </m:ctrlPr>
            </m:dPr>
            <m:e>
              <m:sSub>
                <m:sSubPr>
                  <m:ctrlPr>
                    <w:rPr>
                      <w:rFonts w:ascii="Cambria Math" w:hAnsi="Cambria Math"/>
                      <w:b w:val="0"/>
                      <w:i/>
                      <w:sz w:val="21"/>
                    </w:rPr>
                  </m:ctrlPr>
                </m:sSubPr>
                <m:e>
                  <m:r>
                    <m:rPr>
                      <m:nor/>
                    </m:rPr>
                    <w:rPr>
                      <w:rFonts w:ascii="Times New Roman" w:hAnsi="Times New Roman"/>
                      <w:b w:val="0"/>
                      <w:i/>
                      <w:sz w:val="21"/>
                    </w:rPr>
                    <m:t>f</m:t>
                  </m:r>
                  <m:ctrlPr>
                    <w:rPr>
                      <w:rFonts w:ascii="Cambria Math" w:hAnsi="Cambria Math"/>
                      <w:b w:val="0"/>
                      <w:i/>
                      <w:sz w:val="21"/>
                    </w:rPr>
                  </m:ctrlPr>
                </m:e>
                <m:sub>
                  <m:r>
                    <m:rPr>
                      <m:nor/>
                    </m:rPr>
                    <w:rPr>
                      <w:rFonts w:ascii="Times New Roman" w:hAnsi="Times New Roman"/>
                      <w:b w:val="0"/>
                      <w:i/>
                      <w:sz w:val="21"/>
                    </w:rPr>
                    <m:t>i</m:t>
                  </m:r>
                  <m:ctrlPr>
                    <w:rPr>
                      <w:rFonts w:ascii="Cambria Math" w:hAnsi="Cambria Math"/>
                      <w:b w:val="0"/>
                      <w:i/>
                      <w:sz w:val="21"/>
                    </w:rPr>
                  </m:ctrlPr>
                </m:sub>
              </m:sSub>
              <m:r>
                <m:rPr>
                  <m:nor/>
                </m:rPr>
                <w:rPr>
                  <w:rFonts w:ascii="Times New Roman" w:hAnsi="Times New Roman"/>
                  <w:b w:val="0"/>
                  <w:i/>
                  <w:sz w:val="21"/>
                </w:rPr>
                <m:t>-</m:t>
              </m:r>
              <m:acc>
                <m:accPr>
                  <m:chr m:val="̄"/>
                  <m:ctrlPr>
                    <w:rPr>
                      <w:rFonts w:ascii="Cambria Math" w:hAnsi="Cambria Math"/>
                      <w:b w:val="0"/>
                      <w:i/>
                      <w:sz w:val="21"/>
                    </w:rPr>
                  </m:ctrlPr>
                </m:accPr>
                <m:e>
                  <m:r>
                    <m:rPr>
                      <m:nor/>
                    </m:rPr>
                    <w:rPr>
                      <w:rFonts w:ascii="Times New Roman" w:hAnsi="Times New Roman"/>
                      <w:b w:val="0"/>
                      <w:i/>
                      <w:sz w:val="21"/>
                    </w:rPr>
                    <m:t>f</m:t>
                  </m:r>
                  <m:ctrlPr>
                    <w:rPr>
                      <w:rFonts w:ascii="Cambria Math" w:hAnsi="Cambria Math"/>
                      <w:b w:val="0"/>
                      <w:i/>
                      <w:sz w:val="21"/>
                    </w:rPr>
                  </m:ctrlPr>
                </m:e>
              </m:acc>
              <m:ctrlPr>
                <w:rPr>
                  <w:rFonts w:ascii="Cambria Math" w:hAnsi="Cambria Math"/>
                  <w:b w:val="0"/>
                  <w:i/>
                  <w:sz w:val="21"/>
                </w:rPr>
              </m:ctrlPr>
            </m:e>
          </m:d>
          <m:r>
            <m:rPr/>
            <w:rPr>
              <w:rFonts w:hint="default" w:ascii="Cambria Math" w:hAnsi="Cambria Math"/>
              <w:sz w:val="21"/>
              <w:lang w:val="en-US" w:eastAsia="zh-CN"/>
            </w:rPr>
            <m:t xml:space="preserve"> (5)</m:t>
          </m:r>
        </m:oMath>
      </m:oMathPara>
      <w:r>
        <w:rPr>
          <w:rFonts w:ascii="Cambria Math" w:hAnsi="Cambria Math"/>
          <w:b/>
          <w:i w:val="0"/>
          <w:sz w:val="21"/>
        </w:rPr>
        <w:br w:type="textWrapping"/>
      </w:r>
    </w:p>
    <w:p w14:paraId="0F85A6E8">
      <w:pPr>
        <w:keepNext w:val="0"/>
        <w:keepLines w:val="0"/>
        <w:pageBreakBefore w:val="0"/>
        <w:widowControl w:val="0"/>
        <w:kinsoku/>
        <w:wordWrap w:val="0"/>
        <w:overflowPunct/>
        <w:topLinePunct w:val="0"/>
        <w:autoSpaceDE/>
        <w:autoSpaceDN/>
        <w:bidi w:val="0"/>
        <w:adjustRightInd w:val="0"/>
        <w:snapToGrid/>
        <w:spacing w:line="360" w:lineRule="exact"/>
        <w:ind w:left="425" w:leftChars="0" w:right="-57" w:firstLine="420" w:firstLineChars="200"/>
        <w:textAlignment w:val="baseline"/>
        <w:outlineLvl w:val="1"/>
        <w:rPr>
          <w:rFonts w:hint="eastAsia" w:ascii="宋体" w:hAnsi="宋体" w:cs="宋体"/>
          <w:bCs/>
          <w:szCs w:val="21"/>
        </w:rPr>
      </w:pPr>
      <w:r>
        <w:rPr>
          <w:rFonts w:hint="eastAsia" w:ascii="宋体" w:hAnsi="宋体" w:cs="宋体"/>
          <w:bCs/>
          <w:szCs w:val="21"/>
        </w:rPr>
        <w:t>策略</w:t>
      </w:r>
      <m:oMath>
        <m:sSup>
          <m:sSupPr>
            <m:ctrlPr>
              <w:rPr>
                <w:rFonts w:ascii="Cambria Math" w:hAnsi="Cambria Math"/>
              </w:rPr>
            </m:ctrlPr>
          </m:sSupPr>
          <m:e>
            <m:r>
              <m:rPr>
                <m:nor/>
              </m:rPr>
              <w:rPr>
                <w:i/>
              </w:rPr>
              <m:t>s</m:t>
            </m:r>
            <m:ctrlPr>
              <w:rPr>
                <w:rFonts w:ascii="Cambria Math" w:hAnsi="Cambria Math"/>
              </w:rPr>
            </m:ctrlPr>
          </m:e>
          <m:sup>
            <m:r>
              <m:rPr>
                <m:nor/>
                <m:sty m:val="p"/>
              </m:rPr>
              <m:t>*</m:t>
            </m:r>
            <m:ctrlPr>
              <w:rPr>
                <w:rFonts w:ascii="Cambria Math" w:hAnsi="Cambria Math"/>
              </w:rPr>
            </m:ctrlPr>
          </m:sup>
        </m:sSup>
      </m:oMath>
      <w:r>
        <w:rPr>
          <w:rFonts w:hint="eastAsia" w:ascii="宋体" w:hAnsi="宋体" w:cs="宋体"/>
          <w:bCs/>
          <w:szCs w:val="21"/>
        </w:rPr>
        <w:t>是演化稳定策略（ESS）当且仅当对任意突变策略</w:t>
      </w:r>
      <m:oMath>
        <m:r>
          <m:rPr/>
          <w:rPr>
            <w:rFonts w:ascii="DejaVu Math TeX Gyre" w:hAnsi="DejaVu Math TeX Gyre" w:eastAsia="瀹嬩綋"/>
          </w:rPr>
          <m:t>s'</m:t>
        </m:r>
      </m:oMath>
      <w:r>
        <w:rPr>
          <w:rFonts w:hint="eastAsia" w:ascii="宋体" w:hAnsi="宋体" w:cs="宋体"/>
          <w:bCs/>
          <w:szCs w:val="21"/>
        </w:rPr>
        <w:t>：</w:t>
      </w:r>
    </w:p>
    <w:p w14:paraId="1560D319">
      <w:pPr>
        <w:keepNext w:val="0"/>
        <w:keepLines w:val="0"/>
        <w:pageBreakBefore w:val="0"/>
        <w:widowControl w:val="0"/>
        <w:kinsoku/>
        <w:wordWrap w:val="0"/>
        <w:overflowPunct/>
        <w:topLinePunct w:val="0"/>
        <w:autoSpaceDE/>
        <w:autoSpaceDN/>
        <w:bidi w:val="0"/>
        <w:adjustRightInd w:val="0"/>
        <w:snapToGrid/>
        <w:spacing w:line="360" w:lineRule="exact"/>
        <w:ind w:left="425" w:leftChars="0" w:right="-57" w:firstLine="420" w:firstLineChars="200"/>
        <w:textAlignment w:val="baseline"/>
        <w:outlineLvl w:val="1"/>
        <w:rPr>
          <w:rFonts w:ascii="DejaVu Math TeX Gyre" w:hAnsi="DejaVu Math TeX Gyre" w:eastAsia="瀹嬩綋"/>
          <w:i/>
        </w:rPr>
      </w:pPr>
      <w:r>
        <w:rPr>
          <w:rFonts w:hint="eastAsia" w:ascii="宋体" w:hAnsi="宋体" w:cs="宋体"/>
          <w:iCs/>
        </w:rPr>
        <w:t>（i）</w:t>
      </w:r>
      <m:oMath>
        <m:r>
          <m:rPr>
            <m:nor/>
          </m:rPr>
          <w:rPr>
            <w:i/>
          </w:rPr>
          <m:t>u</m:t>
        </m:r>
        <m:r>
          <m:rPr>
            <m:nor/>
            <m:sty m:val="p"/>
          </m:rPr>
          <m:t>(</m:t>
        </m:r>
        <m:sSup>
          <m:sSupPr>
            <m:ctrlPr>
              <w:rPr>
                <w:rFonts w:ascii="Cambria Math" w:hAnsi="Cambria Math"/>
              </w:rPr>
            </m:ctrlPr>
          </m:sSupPr>
          <m:e>
            <m:r>
              <m:rPr>
                <m:nor/>
              </m:rPr>
              <w:rPr>
                <w:i/>
              </w:rPr>
              <m:t>s</m:t>
            </m:r>
            <m:ctrlPr>
              <w:rPr>
                <w:rFonts w:ascii="Cambria Math" w:hAnsi="Cambria Math"/>
              </w:rPr>
            </m:ctrlPr>
          </m:e>
          <m:sup>
            <m:r>
              <m:rPr>
                <m:nor/>
                <m:sty m:val="p"/>
              </m:rPr>
              <m:t>*</m:t>
            </m:r>
            <m:ctrlPr>
              <w:rPr>
                <w:rFonts w:ascii="Cambria Math" w:hAnsi="Cambria Math"/>
              </w:rPr>
            </m:ctrlPr>
          </m:sup>
        </m:sSup>
        <m:r>
          <m:rPr>
            <m:nor/>
            <m:sty m:val="p"/>
          </m:rPr>
          <m:t>,</m:t>
        </m:r>
        <m:sSup>
          <m:sSupPr>
            <m:ctrlPr>
              <w:rPr>
                <w:rFonts w:ascii="Cambria Math" w:hAnsi="Cambria Math"/>
              </w:rPr>
            </m:ctrlPr>
          </m:sSupPr>
          <m:e>
            <m:r>
              <m:rPr>
                <m:nor/>
              </m:rPr>
              <w:rPr>
                <w:i/>
              </w:rPr>
              <m:t>s</m:t>
            </m:r>
            <m:ctrlPr>
              <w:rPr>
                <w:rFonts w:ascii="Cambria Math" w:hAnsi="Cambria Math"/>
              </w:rPr>
            </m:ctrlPr>
          </m:e>
          <m:sup>
            <m:r>
              <m:rPr>
                <m:nor/>
                <m:sty m:val="p"/>
              </m:rPr>
              <m:t>*</m:t>
            </m:r>
            <m:ctrlPr>
              <w:rPr>
                <w:rFonts w:ascii="Cambria Math" w:hAnsi="Cambria Math"/>
              </w:rPr>
            </m:ctrlPr>
          </m:sup>
        </m:sSup>
        <m:r>
          <m:rPr>
            <m:nor/>
            <m:sty m:val="p"/>
          </m:rPr>
          <m:t>)≥</m:t>
        </m:r>
        <m:r>
          <m:rPr>
            <m:nor/>
          </m:rPr>
          <w:rPr>
            <w:i/>
          </w:rPr>
          <m:t>u</m:t>
        </m:r>
        <m:r>
          <m:rPr>
            <m:nor/>
            <m:sty m:val="p"/>
          </m:rPr>
          <m:t>(</m:t>
        </m:r>
        <m:r>
          <m:rPr>
            <m:nor/>
          </m:rPr>
          <w:rPr>
            <w:i/>
          </w:rPr>
          <m:t>s</m:t>
        </m:r>
        <m:r>
          <m:rPr>
            <m:nor/>
            <m:sty m:val="p"/>
          </m:rPr>
          <m:t>',</m:t>
        </m:r>
        <m:sSup>
          <m:sSupPr>
            <m:ctrlPr>
              <w:rPr>
                <w:rFonts w:ascii="Cambria Math" w:hAnsi="Cambria Math"/>
              </w:rPr>
            </m:ctrlPr>
          </m:sSupPr>
          <m:e>
            <m:r>
              <m:rPr>
                <m:nor/>
              </m:rPr>
              <w:rPr>
                <w:i/>
              </w:rPr>
              <m:t>s</m:t>
            </m:r>
            <m:ctrlPr>
              <w:rPr>
                <w:rFonts w:ascii="Cambria Math" w:hAnsi="Cambria Math"/>
              </w:rPr>
            </m:ctrlPr>
          </m:e>
          <m:sup>
            <m:r>
              <m:rPr>
                <m:nor/>
                <m:sty m:val="p"/>
              </m:rPr>
              <m:t>*</m:t>
            </m:r>
            <m:ctrlPr>
              <w:rPr>
                <w:rFonts w:ascii="Cambria Math" w:hAnsi="Cambria Math"/>
              </w:rPr>
            </m:ctrlPr>
          </m:sup>
        </m:sSup>
        <m:r>
          <m:rPr>
            <m:nor/>
            <m:sty m:val="p"/>
          </m:rPr>
          <m:t>)</m:t>
        </m:r>
      </m:oMath>
      <w:r>
        <w:rPr>
          <w:rFonts w:hint="eastAsia" w:ascii="宋体" w:hAnsi="宋体" w:cs="宋体"/>
          <w:bCs/>
          <w:szCs w:val="21"/>
        </w:rPr>
        <w:t>；</w:t>
      </w:r>
    </w:p>
    <w:p w14:paraId="3E8F1E21">
      <w:pPr>
        <w:keepNext w:val="0"/>
        <w:keepLines w:val="0"/>
        <w:pageBreakBefore w:val="0"/>
        <w:widowControl w:val="0"/>
        <w:kinsoku/>
        <w:wordWrap w:val="0"/>
        <w:overflowPunct/>
        <w:topLinePunct w:val="0"/>
        <w:autoSpaceDE/>
        <w:autoSpaceDN/>
        <w:bidi w:val="0"/>
        <w:adjustRightInd w:val="0"/>
        <w:snapToGrid/>
        <w:spacing w:line="360" w:lineRule="exact"/>
        <w:ind w:left="425" w:leftChars="0" w:right="-57" w:firstLine="420" w:firstLineChars="200"/>
        <w:textAlignment w:val="baseline"/>
        <w:outlineLvl w:val="1"/>
      </w:pPr>
      <w:r>
        <w:rPr>
          <w:rFonts w:hint="eastAsia" w:ascii="宋体" w:hAnsi="宋体" w:cs="宋体"/>
          <w:bCs/>
          <w:szCs w:val="21"/>
        </w:rPr>
        <w:t>（ii）若等号成立，则</w:t>
      </w:r>
      <m:oMath>
        <m:r>
          <m:rPr>
            <m:nor/>
          </m:rPr>
          <w:rPr>
            <w:rFonts w:eastAsia="瀹嬩綋"/>
            <w:i/>
          </w:rPr>
          <m:t>u</m:t>
        </m:r>
        <m:r>
          <m:rPr>
            <m:nor/>
            <m:sty m:val="p"/>
          </m:rPr>
          <w:rPr>
            <w:rFonts w:eastAsia="瀹嬩綋"/>
          </w:rPr>
          <m:t>(</m:t>
        </m:r>
        <m:sSup>
          <m:sSupPr>
            <m:ctrlPr>
              <w:rPr>
                <w:rFonts w:ascii="Cambria Math" w:hAnsi="Cambria Math" w:eastAsia="瀹嬩綋"/>
              </w:rPr>
            </m:ctrlPr>
          </m:sSupPr>
          <m:e>
            <m:r>
              <m:rPr>
                <m:nor/>
              </m:rPr>
              <w:rPr>
                <w:rFonts w:eastAsia="瀹嬩綋"/>
                <w:i/>
              </w:rPr>
              <m:t>s</m:t>
            </m:r>
            <m:ctrlPr>
              <w:rPr>
                <w:rFonts w:ascii="Cambria Math" w:hAnsi="Cambria Math" w:eastAsia="瀹嬩綋"/>
              </w:rPr>
            </m:ctrlPr>
          </m:e>
          <m:sup>
            <m:r>
              <m:rPr>
                <m:nor/>
                <m:sty m:val="p"/>
              </m:rPr>
              <w:rPr>
                <w:rFonts w:eastAsia="瀹嬩綋"/>
              </w:rPr>
              <m:t>*</m:t>
            </m:r>
            <m:ctrlPr>
              <w:rPr>
                <w:rFonts w:ascii="Cambria Math" w:hAnsi="Cambria Math" w:eastAsia="瀹嬩綋"/>
              </w:rPr>
            </m:ctrlPr>
          </m:sup>
        </m:sSup>
        <m:r>
          <m:rPr>
            <m:nor/>
            <m:sty m:val="p"/>
          </m:rPr>
          <w:rPr>
            <w:rFonts w:eastAsia="瀹嬩綋"/>
          </w:rPr>
          <m:t>,</m:t>
        </m:r>
        <m:r>
          <m:rPr>
            <m:nor/>
          </m:rPr>
          <w:rPr>
            <w:rFonts w:eastAsia="瀹嬩綋"/>
            <w:i/>
          </w:rPr>
          <m:t>s</m:t>
        </m:r>
        <m:r>
          <m:rPr>
            <m:nor/>
            <m:sty m:val="p"/>
          </m:rPr>
          <w:rPr>
            <w:rFonts w:eastAsia="瀹嬩綋"/>
          </w:rPr>
          <m:t>')&gt;</m:t>
        </m:r>
        <m:r>
          <m:rPr>
            <m:nor/>
          </m:rPr>
          <w:rPr>
            <w:rFonts w:eastAsia="瀹嬩綋"/>
            <w:i/>
          </w:rPr>
          <m:t>u</m:t>
        </m:r>
        <m:r>
          <m:rPr>
            <m:nor/>
            <m:sty m:val="p"/>
          </m:rPr>
          <w:rPr>
            <w:rFonts w:eastAsia="瀹嬩綋"/>
          </w:rPr>
          <m:t>(</m:t>
        </m:r>
        <m:r>
          <m:rPr>
            <m:nor/>
          </m:rPr>
          <w:rPr>
            <w:rFonts w:eastAsia="瀹嬩綋"/>
            <w:i/>
          </w:rPr>
          <m:t>s</m:t>
        </m:r>
        <m:r>
          <m:rPr>
            <m:nor/>
            <m:sty m:val="p"/>
          </m:rPr>
          <w:rPr>
            <w:rFonts w:eastAsia="瀹嬩綋"/>
          </w:rPr>
          <m:t>',</m:t>
        </m:r>
        <m:r>
          <m:rPr>
            <m:nor/>
          </m:rPr>
          <w:rPr>
            <w:rFonts w:eastAsia="瀹嬩綋"/>
            <w:i/>
          </w:rPr>
          <m:t>s</m:t>
        </m:r>
        <m:r>
          <m:rPr>
            <m:nor/>
            <m:sty m:val="p"/>
          </m:rPr>
          <w:rPr>
            <w:rFonts w:eastAsia="瀹嬩綋"/>
          </w:rPr>
          <m:t>')</m:t>
        </m:r>
      </m:oMath>
      <w:r>
        <w:rPr>
          <w:rFonts w:hint="eastAsia"/>
        </w:rPr>
        <w:t>.</w:t>
      </w:r>
    </w:p>
    <w:p w14:paraId="1383ACBC">
      <w:pPr>
        <w:keepNext w:val="0"/>
        <w:keepLines w:val="0"/>
        <w:pageBreakBefore w:val="0"/>
        <w:widowControl w:val="0"/>
        <w:kinsoku/>
        <w:wordWrap w:val="0"/>
        <w:overflowPunct/>
        <w:topLinePunct w:val="0"/>
        <w:autoSpaceDE/>
        <w:autoSpaceDN/>
        <w:bidi w:val="0"/>
        <w:adjustRightInd w:val="0"/>
        <w:snapToGrid/>
        <w:spacing w:line="360" w:lineRule="exact"/>
        <w:ind w:left="425" w:leftChars="0" w:right="-57" w:firstLine="420" w:firstLineChars="200"/>
        <w:textAlignment w:val="baseline"/>
        <w:outlineLvl w:val="1"/>
        <w:rPr>
          <w:rFonts w:hint="eastAsia" w:ascii="宋体" w:hAnsi="宋体" w:cs="宋体"/>
          <w:bCs/>
          <w:szCs w:val="21"/>
        </w:rPr>
      </w:pPr>
      <w:r>
        <w:rPr>
          <w:rFonts w:hint="eastAsia" w:ascii="宋体" w:hAnsi="宋体" w:cs="宋体"/>
          <w:bCs/>
          <w:szCs w:val="21"/>
        </w:rPr>
        <w:t>ESS的存在性保证了均衡在群体环境中对微小扰动的鲁棒性。</w:t>
      </w:r>
    </w:p>
    <w:p w14:paraId="3D866C7B">
      <w:pPr>
        <w:keepNext w:val="0"/>
        <w:keepLines w:val="0"/>
        <w:pageBreakBefore w:val="0"/>
        <w:widowControl w:val="0"/>
        <w:kinsoku/>
        <w:wordWrap w:val="0"/>
        <w:overflowPunct/>
        <w:topLinePunct w:val="0"/>
        <w:autoSpaceDE/>
        <w:autoSpaceDN/>
        <w:bidi w:val="0"/>
        <w:adjustRightInd w:val="0"/>
        <w:snapToGrid/>
        <w:spacing w:line="360" w:lineRule="exact"/>
        <w:ind w:left="425" w:leftChars="0" w:right="-57" w:firstLine="420" w:firstLineChars="200"/>
        <w:textAlignment w:val="baseline"/>
        <w:outlineLvl w:val="1"/>
        <w:rPr>
          <w:rFonts w:hint="eastAsia" w:ascii="宋体" w:hAnsi="宋体" w:cs="宋体"/>
          <w:bCs/>
          <w:szCs w:val="21"/>
        </w:rPr>
      </w:pPr>
      <w:r>
        <w:rPr>
          <w:rFonts w:hint="eastAsia" w:ascii="宋体" w:hAnsi="宋体" w:cs="宋体"/>
          <w:bCs/>
          <w:szCs w:val="21"/>
        </w:rPr>
        <w:t>若步骤二的核心实验发现SPNE均衡点与步骤三的ESS不动点一致，则表明序贯均衡不仅在个体理性层面最优，而且在群体演化层面具有鲁棒性——这将为SPNE在法律AI中的应用提供从微观到宏观的双层理论支撑。需明确的是，本研究中的“演化动态”由复制者动态方程驱动，是基于经验收益矩阵的确定性数学模拟，而非LLM智能体在无约束交互中自发涌现的行为。</w:t>
      </w:r>
    </w:p>
    <w:p w14:paraId="68FC8FC2">
      <w:pPr>
        <w:keepNext w:val="0"/>
        <w:keepLines w:val="0"/>
        <w:pageBreakBefore w:val="0"/>
        <w:widowControl w:val="0"/>
        <w:kinsoku/>
        <w:wordWrap w:val="0"/>
        <w:overflowPunct/>
        <w:topLinePunct w:val="0"/>
        <w:autoSpaceDE/>
        <w:autoSpaceDN/>
        <w:bidi w:val="0"/>
        <w:adjustRightInd w:val="0"/>
        <w:snapToGrid/>
        <w:spacing w:line="360" w:lineRule="exact"/>
        <w:ind w:left="425" w:leftChars="0" w:right="-57" w:firstLine="420" w:firstLineChars="200"/>
        <w:textAlignment w:val="baseline"/>
        <w:outlineLvl w:val="1"/>
        <w:rPr>
          <w:rFonts w:hint="eastAsia" w:ascii="宋体" w:hAnsi="宋体" w:cs="宋体"/>
          <w:bCs/>
          <w:szCs w:val="21"/>
        </w:rPr>
      </w:pPr>
      <w:r>
        <w:rPr>
          <w:rFonts w:hint="eastAsia" w:ascii="宋体" w:hAnsi="宋体" w:cs="宋体"/>
          <w:bCs/>
          <w:szCs w:val="21"/>
        </w:rPr>
        <w:t>上述三步框架形成方法论闭环：步骤一的收益矩阵同时服务于步骤二（构建博弈树终端收益）和步骤三（演化适应度矩阵），步骤二的SPNE均衡结论由步骤三在群体层面进行稳定性检验。</w:t>
      </w:r>
    </w:p>
    <w:p w14:paraId="3C2406F4">
      <w:pPr>
        <w:numPr>
          <w:ilvl w:val="0"/>
          <w:numId w:val="6"/>
        </w:numPr>
        <w:wordWrap w:val="0"/>
        <w:spacing w:line="360" w:lineRule="exact"/>
        <w:ind w:right="-57"/>
        <w:outlineLvl w:val="1"/>
        <w:rPr>
          <w:rFonts w:hint="eastAsia" w:ascii="宋体" w:hAnsi="宋体" w:cs="宋体"/>
          <w:bCs/>
          <w:szCs w:val="21"/>
        </w:rPr>
      </w:pPr>
      <w:r>
        <w:rPr>
          <w:rFonts w:hint="eastAsia" w:ascii="宋体" w:hAnsi="宋体" w:cs="宋体"/>
          <w:bCs/>
          <w:szCs w:val="21"/>
        </w:rPr>
        <w:t>实验方案</w:t>
      </w:r>
    </w:p>
    <w:p w14:paraId="4D2B93AF">
      <w:pPr>
        <w:keepNext w:val="0"/>
        <w:keepLines w:val="0"/>
        <w:pageBreakBefore w:val="0"/>
        <w:widowControl w:val="0"/>
        <w:kinsoku/>
        <w:wordWrap w:val="0"/>
        <w:overflowPunct/>
        <w:topLinePunct w:val="0"/>
        <w:autoSpaceDE/>
        <w:autoSpaceDN/>
        <w:bidi w:val="0"/>
        <w:adjustRightInd w:val="0"/>
        <w:snapToGrid/>
        <w:spacing w:line="360" w:lineRule="exact"/>
        <w:ind w:left="158" w:leftChars="75" w:right="0" w:firstLine="420" w:firstLineChars="200"/>
        <w:textAlignment w:val="baseline"/>
        <w:outlineLvl w:val="1"/>
        <w:rPr>
          <w:rFonts w:hint="eastAsia" w:ascii="宋体" w:hAnsi="宋体" w:cs="宋体"/>
          <w:bCs/>
          <w:szCs w:val="21"/>
        </w:rPr>
      </w:pPr>
      <w:r>
        <w:rPr>
          <w:rFonts w:hint="eastAsia" w:ascii="宋体" w:hAnsi="宋体" w:cs="宋体"/>
          <w:bCs/>
          <w:szCs w:val="21"/>
        </w:rPr>
        <w:t>本研究围绕核心科学问题设计两步实验，在1000条测试案件（覆盖民间借贷、交通事故、劳动争议三类案由，选取依据为它们在事实争议与法律适用复杂性上具有梯度差异）上系统验证。</w:t>
      </w:r>
    </w:p>
    <w:p w14:paraId="1BCD80A3">
      <w:pPr>
        <w:keepNext w:val="0"/>
        <w:keepLines w:val="0"/>
        <w:pageBreakBefore w:val="0"/>
        <w:widowControl w:val="0"/>
        <w:kinsoku/>
        <w:wordWrap w:val="0"/>
        <w:overflowPunct/>
        <w:topLinePunct w:val="0"/>
        <w:autoSpaceDE/>
        <w:autoSpaceDN/>
        <w:bidi w:val="0"/>
        <w:adjustRightInd w:val="0"/>
        <w:snapToGrid/>
        <w:spacing w:line="360" w:lineRule="exact"/>
        <w:ind w:left="158" w:leftChars="75" w:right="0" w:firstLine="420" w:firstLineChars="200"/>
        <w:textAlignment w:val="baseline"/>
        <w:outlineLvl w:val="1"/>
        <w:rPr>
          <w:rFonts w:hint="eastAsia" w:ascii="宋体" w:hAnsi="宋体" w:cs="宋体"/>
          <w:bCs/>
          <w:szCs w:val="21"/>
        </w:rPr>
      </w:pPr>
      <w:r>
        <w:rPr>
          <w:rFonts w:hint="eastAsia" w:ascii="宋体" w:hAnsi="宋体" w:cs="宋体"/>
          <w:bCs/>
          <w:szCs w:val="21"/>
        </w:rPr>
        <w:t>（1）步骤一实验：SPNE vs NE对照实验（核心实验）</w:t>
      </w:r>
    </w:p>
    <w:p w14:paraId="35CC9B72">
      <w:pPr>
        <w:wordWrap w:val="0"/>
        <w:spacing w:line="360" w:lineRule="auto"/>
        <w:ind w:right="-57"/>
        <w:outlineLvl w:val="1"/>
        <w:rPr>
          <w:rFonts w:hint="eastAsia" w:ascii="宋体" w:hAnsi="宋体" w:cs="宋体"/>
          <w:bCs/>
          <w:szCs w:val="21"/>
        </w:rPr>
      </w:pPr>
      <w:r>
        <w:rPr>
          <w:rFonts w:ascii="宋体" w:hAnsi="宋体" w:cs="宋体"/>
          <w:bCs/>
          <w:szCs w:val="21"/>
        </w:rPr>
        <w:drawing>
          <wp:inline distT="0" distB="0" distL="114300" distR="114300">
            <wp:extent cx="5895975" cy="1706245"/>
            <wp:effectExtent l="0" t="0" r="0" b="0"/>
            <wp:docPr id="14" name="图片 41" descr="图5_预期实验结果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1" descr="图5_预期实验结果示意"/>
                    <pic:cNvPicPr>
                      <a:picLocks noChangeAspect="1"/>
                    </pic:cNvPicPr>
                  </pic:nvPicPr>
                  <pic:blipFill>
                    <a:blip r:embed="rId23"/>
                    <a:srcRect r="664" b="8829"/>
                    <a:stretch>
                      <a:fillRect/>
                    </a:stretch>
                  </pic:blipFill>
                  <pic:spPr>
                    <a:xfrm>
                      <a:off x="0" y="0"/>
                      <a:ext cx="5895975" cy="1706245"/>
                    </a:xfrm>
                    <a:prstGeom prst="rect">
                      <a:avLst/>
                    </a:prstGeom>
                    <a:noFill/>
                    <a:ln>
                      <a:noFill/>
                    </a:ln>
                  </pic:spPr>
                </pic:pic>
              </a:graphicData>
            </a:graphic>
          </wp:inline>
        </w:drawing>
      </w:r>
    </w:p>
    <w:p w14:paraId="05744108">
      <w:pPr>
        <w:wordWrap w:val="0"/>
        <w:spacing w:line="360" w:lineRule="auto"/>
        <w:ind w:right="-57"/>
        <w:jc w:val="center"/>
        <w:outlineLvl w:val="1"/>
        <w:rPr>
          <w:rFonts w:hint="eastAsia" w:ascii="宋体" w:hAnsi="宋体" w:cs="宋体"/>
          <w:bCs/>
          <w:szCs w:val="21"/>
        </w:rPr>
      </w:pPr>
      <w:r>
        <w:rPr>
          <w:rFonts w:hint="eastAsia" w:ascii="宋体" w:hAnsi="宋体" w:cs="宋体"/>
          <w:bCs/>
          <w:szCs w:val="21"/>
        </w:rPr>
        <w:t>图6 预期实验结果示意</w:t>
      </w:r>
    </w:p>
    <w:p w14:paraId="7DEE20C4">
      <w:pPr>
        <w:keepNext w:val="0"/>
        <w:keepLines w:val="0"/>
        <w:pageBreakBefore w:val="0"/>
        <w:widowControl w:val="0"/>
        <w:numPr>
          <w:ilvl w:val="0"/>
          <w:numId w:val="8"/>
        </w:numPr>
        <w:kinsoku/>
        <w:wordWrap w:val="0"/>
        <w:overflowPunct/>
        <w:topLinePunct w:val="0"/>
        <w:autoSpaceDE/>
        <w:autoSpaceDN/>
        <w:bidi w:val="0"/>
        <w:adjustRightInd w:val="0"/>
        <w:snapToGrid/>
        <w:spacing w:line="360" w:lineRule="exact"/>
        <w:ind w:left="425" w:right="0" w:firstLine="420" w:firstLineChars="200"/>
        <w:textAlignment w:val="baseline"/>
        <w:outlineLvl w:val="1"/>
        <w:rPr>
          <w:rFonts w:hint="eastAsia" w:ascii="宋体" w:hAnsi="宋体" w:cs="宋体"/>
          <w:bCs/>
          <w:szCs w:val="21"/>
        </w:rPr>
      </w:pPr>
      <w:r>
        <w:rPr>
          <w:rFonts w:hint="eastAsia" w:ascii="宋体" w:hAnsi="宋体" w:cs="宋体"/>
          <w:bCs/>
          <w:szCs w:val="21"/>
        </w:rPr>
        <w:t>SPNE与NE在不同案由类型上的策略对照——SPNE在序贯依赖较强的案由（如民间借贷）上预测精度显著优于NE；</w:t>
      </w:r>
    </w:p>
    <w:p w14:paraId="57EF7080">
      <w:pPr>
        <w:keepNext w:val="0"/>
        <w:keepLines w:val="0"/>
        <w:pageBreakBefore w:val="0"/>
        <w:widowControl w:val="0"/>
        <w:numPr>
          <w:ilvl w:val="0"/>
          <w:numId w:val="8"/>
        </w:numPr>
        <w:kinsoku/>
        <w:wordWrap w:val="0"/>
        <w:overflowPunct/>
        <w:topLinePunct w:val="0"/>
        <w:autoSpaceDE/>
        <w:autoSpaceDN/>
        <w:bidi w:val="0"/>
        <w:adjustRightInd w:val="0"/>
        <w:snapToGrid/>
        <w:spacing w:line="360" w:lineRule="exact"/>
        <w:ind w:left="425" w:right="0" w:firstLine="420" w:firstLineChars="200"/>
        <w:textAlignment w:val="baseline"/>
        <w:outlineLvl w:val="1"/>
        <w:rPr>
          <w:rFonts w:hint="eastAsia" w:ascii="宋体" w:hAnsi="宋体" w:cs="宋体"/>
          <w:bCs/>
          <w:szCs w:val="21"/>
        </w:rPr>
      </w:pPr>
      <w:r>
        <w:rPr>
          <w:rFonts w:hint="eastAsia" w:ascii="宋体" w:hAnsi="宋体" w:cs="宋体"/>
          <w:bCs/>
          <w:szCs w:val="21"/>
        </w:rPr>
        <w:t>复制者动态下五种TKI策略的种群比例演化轨迹——合作型策略收敛为ESS，与SPNE均衡一致。</w:t>
      </w:r>
    </w:p>
    <w:p w14:paraId="17BBB8DE">
      <w:pPr>
        <w:keepNext w:val="0"/>
        <w:keepLines w:val="0"/>
        <w:pageBreakBefore w:val="0"/>
        <w:widowControl w:val="0"/>
        <w:kinsoku/>
        <w:wordWrap w:val="0"/>
        <w:overflowPunct/>
        <w:topLinePunct w:val="0"/>
        <w:autoSpaceDE/>
        <w:autoSpaceDN/>
        <w:bidi w:val="0"/>
        <w:adjustRightInd w:val="0"/>
        <w:snapToGrid/>
        <w:spacing w:line="360" w:lineRule="exact"/>
        <w:ind w:left="425" w:right="0" w:firstLine="420" w:firstLineChars="200"/>
        <w:textAlignment w:val="baseline"/>
        <w:outlineLvl w:val="1"/>
        <w:rPr>
          <w:rFonts w:hint="eastAsia" w:ascii="宋体" w:hAnsi="宋体" w:cs="宋体"/>
          <w:bCs/>
          <w:szCs w:val="21"/>
        </w:rPr>
      </w:pPr>
      <w:r>
        <w:rPr>
          <w:rFonts w:hint="eastAsia" w:ascii="宋体" w:hAnsi="宋体" w:cs="宋体"/>
          <w:bCs/>
          <w:szCs w:val="21"/>
        </w:rPr>
        <w:t>对5×5 TKI策略组合（竞争型、合作型、妥协型、回避型、迁就型）运行CD→DD→CI全流程模拟，获得25个终端收益，构建经验收益矩阵。在此基础上：第一，将CD→DD过程建模为扩展式博弈树，通过反向归纳法（公式(1)(2)）求解SPNE；第二，在正规形式下求解NE；第三，运行博弈锦标赛——每轮运行完整管道后更新收益矩阵，双方策略通过LLM反思、最佳响应和虚拟博弈三种机制独立进化，直至收敛（近W=3轮均处于均衡状态），获取LLM智能体的实际收敛策略。按案由分组比较SPNE预测、NE预测与实际收敛策略的一致性。</w:t>
      </w:r>
    </w:p>
    <w:p w14:paraId="17AFD260">
      <w:pPr>
        <w:keepNext w:val="0"/>
        <w:keepLines w:val="0"/>
        <w:pageBreakBefore w:val="0"/>
        <w:widowControl w:val="0"/>
        <w:kinsoku/>
        <w:wordWrap w:val="0"/>
        <w:overflowPunct/>
        <w:topLinePunct w:val="0"/>
        <w:autoSpaceDE/>
        <w:autoSpaceDN/>
        <w:bidi w:val="0"/>
        <w:adjustRightInd w:val="0"/>
        <w:snapToGrid/>
        <w:spacing w:line="360" w:lineRule="exact"/>
        <w:ind w:left="425" w:right="-57" w:firstLine="420" w:firstLineChars="200"/>
        <w:textAlignment w:val="baseline"/>
        <w:outlineLvl w:val="1"/>
        <w:rPr>
          <w:rFonts w:hint="eastAsia" w:ascii="宋体" w:hAnsi="宋体" w:cs="宋体"/>
          <w:bCs/>
          <w:szCs w:val="21"/>
        </w:rPr>
      </w:pPr>
      <w:r>
        <w:rPr>
          <w:rFonts w:hint="eastAsia" w:ascii="宋体" w:hAnsi="宋体" w:cs="宋体"/>
          <w:bCs/>
          <w:szCs w:val="21"/>
        </w:rPr>
        <w:t>核心评测指标包括两项：</w:t>
      </w:r>
    </w:p>
    <w:p w14:paraId="4F26696B">
      <w:pPr>
        <w:keepNext w:val="0"/>
        <w:keepLines w:val="0"/>
        <w:pageBreakBefore w:val="0"/>
        <w:widowControl w:val="0"/>
        <w:kinsoku/>
        <w:wordWrap w:val="0"/>
        <w:overflowPunct/>
        <w:topLinePunct w:val="0"/>
        <w:autoSpaceDE/>
        <w:autoSpaceDN/>
        <w:bidi w:val="0"/>
        <w:adjustRightInd w:val="0"/>
        <w:snapToGrid/>
        <w:spacing w:line="360" w:lineRule="exact"/>
        <w:ind w:left="425" w:right="-57" w:firstLine="420" w:firstLineChars="200"/>
        <w:textAlignment w:val="baseline"/>
        <w:outlineLvl w:val="1"/>
        <w:rPr>
          <w:rFonts w:hint="eastAsia" w:ascii="宋体" w:hAnsi="宋体" w:cs="宋体"/>
          <w:bCs/>
          <w:szCs w:val="21"/>
        </w:rPr>
      </w:pPr>
      <w:r>
        <w:rPr>
          <w:rFonts w:hint="eastAsia" w:ascii="宋体" w:hAnsi="宋体" w:cs="宋体"/>
          <w:bCs/>
          <w:szCs w:val="21"/>
        </w:rPr>
        <w:t>策略理性度（Strategy Rationality, SR）定义为智能体策略选择与理论最优响应的一致率：</w:t>
      </w:r>
    </w:p>
    <w:p w14:paraId="0FA6FEB9">
      <w:pPr>
        <w:keepNext w:val="0"/>
        <w:keepLines w:val="0"/>
        <w:pageBreakBefore w:val="0"/>
        <w:widowControl w:val="0"/>
        <w:kinsoku/>
        <w:wordWrap w:val="0"/>
        <w:overflowPunct/>
        <w:topLinePunct w:val="0"/>
        <w:autoSpaceDE/>
        <w:autoSpaceDN/>
        <w:bidi w:val="0"/>
        <w:adjustRightInd w:val="0"/>
        <w:snapToGrid/>
        <w:spacing w:line="360" w:lineRule="exact"/>
        <w:ind w:left="425" w:right="-57" w:firstLine="420" w:firstLineChars="200"/>
        <w:textAlignment w:val="baseline"/>
        <w:outlineLvl w:val="1"/>
        <w:rPr>
          <w:rFonts w:hint="eastAsia" w:ascii="宋体" w:hAnsi="宋体" w:cs="宋体"/>
          <w:bCs/>
          <w:szCs w:val="21"/>
        </w:rPr>
      </w:pPr>
    </w:p>
    <w:p w14:paraId="1486B250">
      <w:pPr>
        <w:keepNext w:val="0"/>
        <w:keepLines w:val="0"/>
        <w:pageBreakBefore w:val="0"/>
        <w:widowControl w:val="0"/>
        <w:kinsoku/>
        <w:wordWrap w:val="0"/>
        <w:overflowPunct/>
        <w:topLinePunct w:val="0"/>
        <w:autoSpaceDE/>
        <w:autoSpaceDN/>
        <w:bidi w:val="0"/>
        <w:adjustRightInd w:val="0"/>
        <w:snapToGrid/>
        <w:spacing w:line="360" w:lineRule="exact"/>
        <w:ind w:left="425" w:right="-57" w:firstLine="420" w:firstLineChars="200"/>
        <w:textAlignment w:val="baseline"/>
        <w:outlineLvl w:val="1"/>
      </w:pPr>
      <m:oMathPara>
        <m:oMath>
          <m:r>
            <m:rPr>
              <m:nor/>
            </m:rPr>
            <w:rPr>
              <w:i/>
            </w:rPr>
            <m:t>SR</m:t>
          </m:r>
          <m:r>
            <m:rPr>
              <m:nor/>
              <m:sty m:val="p"/>
            </m:rPr>
            <m:t>=</m:t>
          </m:r>
          <m:f>
            <m:fPr>
              <m:ctrlPr>
                <w:rPr>
                  <w:rFonts w:ascii="Cambria Math" w:hAnsi="Cambria Math"/>
                  <w:i/>
                </w:rPr>
              </m:ctrlPr>
            </m:fPr>
            <m:num>
              <m:r>
                <m:rPr>
                  <m:nor/>
                  <m:sty m:val="p"/>
                </m:rPr>
                <m:t>1</m:t>
              </m:r>
              <m:ctrlPr>
                <w:rPr>
                  <w:rFonts w:ascii="Cambria Math" w:hAnsi="Cambria Math"/>
                </w:rPr>
              </m:ctrlPr>
            </m:num>
            <m:den>
              <m:r>
                <m:rPr>
                  <m:nor/>
                </m:rPr>
                <w:rPr>
                  <w:i/>
                </w:rPr>
                <m:t>T</m:t>
              </m:r>
              <m:ctrlPr>
                <w:rPr>
                  <w:rFonts w:ascii="Cambria Math" w:hAnsi="Cambria Math"/>
                </w:rPr>
              </m:ctrlPr>
            </m:den>
          </m:f>
          <m:nary>
            <m:naryPr>
              <m:chr m:val="∑"/>
              <m:limLoc m:val="undOvr"/>
              <m:ctrlPr>
                <w:rPr>
                  <w:rFonts w:ascii="Cambria Math" w:hAnsi="Cambria Math"/>
                  <w:i/>
                </w:rPr>
              </m:ctrlPr>
            </m:naryPr>
            <m:sub>
              <m:r>
                <m:rPr>
                  <m:nor/>
                </m:rPr>
                <w:rPr>
                  <w:i/>
                </w:rPr>
                <m:t>t</m:t>
              </m:r>
              <m:r>
                <m:rPr>
                  <m:nor/>
                  <m:sty m:val="p"/>
                </m:rPr>
                <m:t>=1</m:t>
              </m:r>
              <m:ctrlPr>
                <w:rPr>
                  <w:rFonts w:ascii="Cambria Math" w:hAnsi="Cambria Math"/>
                </w:rPr>
              </m:ctrlPr>
            </m:sub>
            <m:sup>
              <m:r>
                <m:rPr>
                  <m:nor/>
                </m:rPr>
                <w:rPr>
                  <w:i/>
                </w:rPr>
                <m:t>T</m:t>
              </m:r>
              <m:ctrlPr>
                <w:rPr>
                  <w:rFonts w:ascii="Cambria Math" w:hAnsi="Cambria Math"/>
                </w:rPr>
              </m:ctrlPr>
            </m:sup>
            <m:e>
              <m:r>
                <m:rPr>
                  <m:nor/>
                  <m:sty m:val="p"/>
                </m:rPr>
                <w:rPr>
                  <w:rFonts w:eastAsia="MS Mincho" w:cs="MS Mincho"/>
                </w:rPr>
                <m:t>1</m:t>
              </m:r>
              <m:ctrlPr>
                <w:rPr>
                  <w:rFonts w:ascii="Cambria Math" w:hAnsi="Cambria Math"/>
                </w:rPr>
              </m:ctrlPr>
            </m:e>
          </m:nary>
          <m:r>
            <m:rPr>
              <m:nor/>
              <m:sty m:val="p"/>
            </m:rPr>
            <m:t>[</m:t>
          </m:r>
          <m:sSub>
            <m:sSubPr>
              <m:ctrlPr>
                <w:rPr>
                  <w:rFonts w:ascii="Cambria Math" w:hAnsi="Cambria Math"/>
                </w:rPr>
              </m:ctrlPr>
            </m:sSubPr>
            <m:e>
              <m:r>
                <m:rPr>
                  <m:nor/>
                </m:rPr>
                <w:rPr>
                  <w:i/>
                </w:rPr>
                <m:t>a</m:t>
              </m:r>
              <m:ctrlPr>
                <w:rPr>
                  <w:rFonts w:ascii="Cambria Math" w:hAnsi="Cambria Math"/>
                </w:rPr>
              </m:ctrlPr>
            </m:e>
            <m:sub>
              <m:r>
                <m:rPr>
                  <m:nor/>
                </m:rPr>
                <w:rPr>
                  <w:i/>
                </w:rPr>
                <m:t>t</m:t>
              </m:r>
              <m:ctrlPr>
                <w:rPr>
                  <w:rFonts w:ascii="Cambria Math" w:hAnsi="Cambria Math"/>
                </w:rPr>
              </m:ctrlPr>
            </m:sub>
          </m:sSub>
          <m:r>
            <m:rPr>
              <m:nor/>
              <m:sty m:val="p"/>
            </m:rPr>
            <m:t>=</m:t>
          </m:r>
          <m:r>
            <m:rPr>
              <m:nor/>
            </m:rPr>
            <w:rPr>
              <w:i/>
            </w:rPr>
            <m:t>BR</m:t>
          </m:r>
          <m:r>
            <m:rPr>
              <m:nor/>
              <m:sty m:val="p"/>
            </m:rPr>
            <m:t>(</m:t>
          </m:r>
          <m:sSub>
            <m:sSubPr>
              <m:ctrlPr>
                <w:rPr>
                  <w:rFonts w:ascii="Cambria Math" w:hAnsi="Cambria Math"/>
                </w:rPr>
              </m:ctrlPr>
            </m:sSubPr>
            <m:e>
              <m:r>
                <m:rPr>
                  <m:nor/>
                </m:rPr>
                <w:rPr>
                  <w:i/>
                </w:rPr>
                <m:t>a</m:t>
              </m:r>
              <m:ctrlPr>
                <w:rPr>
                  <w:rFonts w:ascii="Cambria Math" w:hAnsi="Cambria Math"/>
                </w:rPr>
              </m:ctrlPr>
            </m:e>
            <m:sub>
              <m:r>
                <m:rPr>
                  <m:nor/>
                  <m:sty m:val="p"/>
                </m:rPr>
                <m:t>-</m:t>
              </m:r>
              <m:r>
                <m:rPr>
                  <m:nor/>
                </m:rPr>
                <w:rPr>
                  <w:i/>
                </w:rPr>
                <m:t>t</m:t>
              </m:r>
              <m:ctrlPr>
                <w:rPr>
                  <w:rFonts w:ascii="Cambria Math" w:hAnsi="Cambria Math"/>
                </w:rPr>
              </m:ctrlPr>
            </m:sub>
          </m:sSub>
          <m:r>
            <m:rPr>
              <m:nor/>
              <m:sty m:val="p"/>
            </m:rPr>
            <m:t>)]</m:t>
          </m:r>
        </m:oMath>
      </m:oMathPara>
    </w:p>
    <w:p w14:paraId="0E7355E5">
      <w:pPr>
        <w:keepNext w:val="0"/>
        <w:keepLines w:val="0"/>
        <w:pageBreakBefore w:val="0"/>
        <w:widowControl w:val="0"/>
        <w:kinsoku/>
        <w:wordWrap w:val="0"/>
        <w:overflowPunct/>
        <w:topLinePunct w:val="0"/>
        <w:autoSpaceDE/>
        <w:autoSpaceDN/>
        <w:bidi w:val="0"/>
        <w:adjustRightInd w:val="0"/>
        <w:snapToGrid/>
        <w:spacing w:line="360" w:lineRule="exact"/>
        <w:ind w:left="425" w:right="-57" w:firstLine="420" w:firstLineChars="200"/>
        <w:textAlignment w:val="baseline"/>
        <w:outlineLvl w:val="1"/>
      </w:pPr>
    </w:p>
    <w:p w14:paraId="79B2F9D2">
      <w:pPr>
        <w:keepNext w:val="0"/>
        <w:keepLines w:val="0"/>
        <w:pageBreakBefore w:val="0"/>
        <w:widowControl w:val="0"/>
        <w:kinsoku/>
        <w:wordWrap w:val="0"/>
        <w:overflowPunct/>
        <w:topLinePunct w:val="0"/>
        <w:autoSpaceDE/>
        <w:autoSpaceDN/>
        <w:bidi w:val="0"/>
        <w:adjustRightInd w:val="0"/>
        <w:snapToGrid/>
        <w:spacing w:line="360" w:lineRule="exact"/>
        <w:ind w:left="425" w:right="-57" w:firstLine="420" w:firstLineChars="200"/>
        <w:textAlignment w:val="baseline"/>
        <w:outlineLvl w:val="1"/>
        <w:rPr>
          <w:rFonts w:hint="eastAsia" w:ascii="宋体" w:hAnsi="宋体" w:cs="宋体"/>
          <w:bCs/>
          <w:szCs w:val="21"/>
        </w:rPr>
      </w:pPr>
      <w:r>
        <w:rPr>
          <w:rFonts w:hint="eastAsia" w:ascii="宋体" w:hAnsi="宋体" w:cs="宋体"/>
          <w:bCs/>
          <w:szCs w:val="21"/>
        </w:rPr>
        <w:t>均衡趋近率（Equilibrium Convergence Rate, ECR）定义为策略序列在窗口W轮内处于均衡的比例：</w:t>
      </w:r>
    </w:p>
    <w:p w14:paraId="6226E001">
      <w:pPr>
        <w:keepNext w:val="0"/>
        <w:keepLines w:val="0"/>
        <w:pageBreakBefore w:val="0"/>
        <w:widowControl w:val="0"/>
        <w:kinsoku/>
        <w:wordWrap w:val="0"/>
        <w:overflowPunct/>
        <w:topLinePunct w:val="0"/>
        <w:autoSpaceDE/>
        <w:autoSpaceDN/>
        <w:bidi w:val="0"/>
        <w:adjustRightInd w:val="0"/>
        <w:snapToGrid/>
        <w:spacing w:line="360" w:lineRule="exact"/>
        <w:ind w:left="425" w:right="-57" w:firstLine="420" w:firstLineChars="200"/>
        <w:textAlignment w:val="baseline"/>
        <w:outlineLvl w:val="1"/>
        <w:rPr>
          <w:rFonts w:hint="eastAsia" w:ascii="宋体" w:hAnsi="宋体" w:cs="宋体"/>
          <w:bCs/>
          <w:szCs w:val="21"/>
        </w:rPr>
      </w:pPr>
      <m:oMathPara>
        <m:oMath>
          <m:r>
            <m:rPr>
              <m:nor/>
            </m:rPr>
            <w:rPr>
              <w:i/>
            </w:rPr>
            <m:t>ECR</m:t>
          </m:r>
          <m:r>
            <m:rPr>
              <m:nor/>
              <m:sty m:val="p"/>
            </m:rPr>
            <m:t>=</m:t>
          </m:r>
          <m:f>
            <m:fPr>
              <m:ctrlPr>
                <w:rPr>
                  <w:rFonts w:ascii="Cambria Math" w:hAnsi="Cambria Math"/>
                  <w:i/>
                </w:rPr>
              </m:ctrlPr>
            </m:fPr>
            <m:num>
              <m:r>
                <m:rPr>
                  <m:nor/>
                  <m:sty m:val="p"/>
                </m:rPr>
                <m:t>1</m:t>
              </m:r>
              <m:ctrlPr>
                <w:rPr>
                  <w:rFonts w:ascii="Cambria Math" w:hAnsi="Cambria Math"/>
                </w:rPr>
              </m:ctrlPr>
            </m:num>
            <m:den>
              <m:r>
                <m:rPr>
                  <m:nor/>
                </m:rPr>
                <w:rPr>
                  <w:i/>
                </w:rPr>
                <m:t>T</m:t>
              </m:r>
              <m:r>
                <m:rPr>
                  <m:nor/>
                  <m:sty m:val="p"/>
                </m:rPr>
                <m:t>-</m:t>
              </m:r>
              <m:r>
                <m:rPr>
                  <m:nor/>
                </m:rPr>
                <w:rPr>
                  <w:i/>
                </w:rPr>
                <m:t>W</m:t>
              </m:r>
              <m:r>
                <m:rPr>
                  <m:nor/>
                  <m:sty m:val="p"/>
                </m:rPr>
                <m:t>+1</m:t>
              </m:r>
              <m:ctrlPr>
                <w:rPr>
                  <w:rFonts w:ascii="Cambria Math" w:hAnsi="Cambria Math"/>
                </w:rPr>
              </m:ctrlPr>
            </m:den>
          </m:f>
          <m:nary>
            <m:naryPr>
              <m:chr m:val="∑"/>
              <m:limLoc m:val="undOvr"/>
              <m:ctrlPr>
                <w:rPr>
                  <w:rFonts w:ascii="Cambria Math" w:hAnsi="Cambria Math"/>
                  <w:i/>
                </w:rPr>
              </m:ctrlPr>
            </m:naryPr>
            <m:sub>
              <m:r>
                <m:rPr>
                  <m:nor/>
                </m:rPr>
                <w:rPr>
                  <w:i/>
                </w:rPr>
                <m:t>t</m:t>
              </m:r>
              <m:r>
                <m:rPr>
                  <m:nor/>
                  <m:sty m:val="p"/>
                </m:rPr>
                <m:t>=</m:t>
              </m:r>
              <m:r>
                <m:rPr>
                  <m:nor/>
                </m:rPr>
                <w:rPr>
                  <w:i/>
                </w:rPr>
                <m:t>W</m:t>
              </m:r>
              <m:ctrlPr>
                <w:rPr>
                  <w:rFonts w:ascii="Cambria Math" w:hAnsi="Cambria Math"/>
                </w:rPr>
              </m:ctrlPr>
            </m:sub>
            <m:sup>
              <m:r>
                <m:rPr>
                  <m:nor/>
                </m:rPr>
                <w:rPr>
                  <w:i/>
                </w:rPr>
                <m:t>T</m:t>
              </m:r>
              <m:ctrlPr>
                <w:rPr>
                  <w:rFonts w:ascii="Cambria Math" w:hAnsi="Cambria Math"/>
                </w:rPr>
              </m:ctrlPr>
            </m:sup>
            <m:e>
              <m:r>
                <m:rPr>
                  <m:nor/>
                  <m:sty m:val="p"/>
                </m:rPr>
                <w:rPr>
                  <w:rFonts w:eastAsia="MS Mincho" w:cs="MS Mincho"/>
                </w:rPr>
                <m:t>1</m:t>
              </m:r>
              <m:ctrlPr>
                <w:rPr>
                  <w:rFonts w:ascii="Cambria Math" w:hAnsi="Cambria Math"/>
                </w:rPr>
              </m:ctrlPr>
            </m:e>
          </m:nary>
          <m:r>
            <m:rPr>
              <m:nor/>
              <m:sty m:val="p"/>
            </m:rPr>
            <m:t>[window(</m:t>
          </m:r>
          <m:r>
            <m:rPr>
              <m:nor/>
            </m:rPr>
            <w:rPr>
              <w:i/>
            </w:rPr>
            <m:t>t</m:t>
          </m:r>
          <m:r>
            <m:rPr>
              <m:nor/>
              <m:sty m:val="p"/>
            </m:rPr>
            <m:t>, </m:t>
          </m:r>
          <m:r>
            <m:rPr>
              <m:nor/>
            </m:rPr>
            <w:rPr>
              <w:i/>
            </w:rPr>
            <m:t>W</m:t>
          </m:r>
          <m:r>
            <m:rPr>
              <m:nor/>
              <m:sty m:val="p"/>
            </m:rPr>
            <m:t>)⊆EQ], </m:t>
          </m:r>
          <m:r>
            <m:rPr>
              <m:nor/>
            </m:rPr>
            <w:rPr>
              <w:i/>
            </w:rPr>
            <m:t>W</m:t>
          </m:r>
          <m:r>
            <m:rPr>
              <m:nor/>
              <m:sty m:val="p"/>
            </m:rPr>
            <m:t>=3</m:t>
          </m:r>
        </m:oMath>
      </m:oMathPara>
    </w:p>
    <w:p w14:paraId="086C63CD">
      <w:pPr>
        <w:keepNext w:val="0"/>
        <w:keepLines w:val="0"/>
        <w:pageBreakBefore w:val="0"/>
        <w:widowControl w:val="0"/>
        <w:kinsoku/>
        <w:wordWrap w:val="0"/>
        <w:overflowPunct/>
        <w:topLinePunct w:val="0"/>
        <w:autoSpaceDE/>
        <w:autoSpaceDN/>
        <w:bidi w:val="0"/>
        <w:adjustRightInd w:val="0"/>
        <w:snapToGrid/>
        <w:spacing w:line="360" w:lineRule="exact"/>
        <w:ind w:left="425" w:right="-57" w:firstLine="420" w:firstLineChars="200"/>
        <w:textAlignment w:val="baseline"/>
        <w:outlineLvl w:val="1"/>
        <w:rPr>
          <w:rFonts w:hint="eastAsia" w:ascii="宋体" w:hAnsi="宋体" w:cs="宋体"/>
          <w:bCs/>
          <w:szCs w:val="21"/>
        </w:rPr>
      </w:pPr>
    </w:p>
    <w:p w14:paraId="413D765B">
      <w:pPr>
        <w:keepNext w:val="0"/>
        <w:keepLines w:val="0"/>
        <w:pageBreakBefore w:val="0"/>
        <w:widowControl w:val="0"/>
        <w:kinsoku/>
        <w:wordWrap w:val="0"/>
        <w:overflowPunct/>
        <w:topLinePunct w:val="0"/>
        <w:autoSpaceDE/>
        <w:autoSpaceDN/>
        <w:bidi w:val="0"/>
        <w:adjustRightInd w:val="0"/>
        <w:snapToGrid/>
        <w:spacing w:line="360" w:lineRule="exact"/>
        <w:ind w:left="425" w:right="-57" w:firstLine="420" w:firstLineChars="200"/>
        <w:textAlignment w:val="baseline"/>
        <w:outlineLvl w:val="1"/>
        <w:rPr>
          <w:rFonts w:hint="eastAsia" w:ascii="宋体" w:hAnsi="宋体" w:cs="宋体"/>
          <w:bCs/>
          <w:szCs w:val="21"/>
        </w:rPr>
      </w:pPr>
      <w:r>
        <w:rPr>
          <w:rFonts w:hint="eastAsia" w:ascii="宋体" w:hAnsi="宋体" w:cs="宋体"/>
          <w:bCs/>
          <w:szCs w:val="21"/>
        </w:rPr>
        <w:t>两项指标均基于博弈论求解器的理论最优响应计算，为规则性确定指标，不依赖LLM评分，不存在自评循环。</w:t>
      </w:r>
    </w:p>
    <w:p w14:paraId="6DF25474">
      <w:pPr>
        <w:keepNext w:val="0"/>
        <w:keepLines w:val="0"/>
        <w:pageBreakBefore w:val="0"/>
        <w:widowControl w:val="0"/>
        <w:kinsoku/>
        <w:wordWrap w:val="0"/>
        <w:overflowPunct/>
        <w:topLinePunct w:val="0"/>
        <w:autoSpaceDE/>
        <w:autoSpaceDN/>
        <w:bidi w:val="0"/>
        <w:adjustRightInd w:val="0"/>
        <w:snapToGrid/>
        <w:spacing w:line="360" w:lineRule="exact"/>
        <w:ind w:left="425" w:right="-57" w:firstLine="420" w:firstLineChars="200"/>
        <w:textAlignment w:val="baseline"/>
        <w:outlineLvl w:val="1"/>
        <w:rPr>
          <w:rFonts w:hint="eastAsia" w:ascii="宋体" w:hAnsi="宋体" w:cs="宋体"/>
          <w:bCs/>
          <w:szCs w:val="21"/>
        </w:rPr>
      </w:pPr>
      <w:r>
        <w:rPr>
          <w:rFonts w:hint="eastAsia" w:ascii="宋体" w:hAnsi="宋体" w:cs="宋体"/>
          <w:bCs/>
          <w:szCs w:val="21"/>
        </w:rPr>
        <w:t>需说明的情况是，博弈锦标赛的收敛结果并非外部ground truth，而是系统内生的行为数据。本实验的核心目的是检验序贯建模（SPNE）相对于静态建模（NE）是否提供更高的解释力和预测精度——即方法论层面的比较。后续研究将引入真实律师标注的策略偏好数据作为外部校验。</w:t>
      </w:r>
    </w:p>
    <w:p w14:paraId="049EC65A">
      <w:pPr>
        <w:keepNext w:val="0"/>
        <w:keepLines w:val="0"/>
        <w:pageBreakBefore w:val="0"/>
        <w:widowControl w:val="0"/>
        <w:kinsoku/>
        <w:wordWrap w:val="0"/>
        <w:overflowPunct/>
        <w:topLinePunct w:val="0"/>
        <w:autoSpaceDE/>
        <w:autoSpaceDN/>
        <w:bidi w:val="0"/>
        <w:adjustRightInd w:val="0"/>
        <w:snapToGrid/>
        <w:spacing w:line="360" w:lineRule="exact"/>
        <w:ind w:left="425" w:right="-57" w:firstLine="420" w:firstLineChars="200"/>
        <w:textAlignment w:val="baseline"/>
        <w:outlineLvl w:val="1"/>
        <w:rPr>
          <w:rFonts w:hint="eastAsia" w:ascii="宋体" w:hAnsi="宋体" w:cs="宋体"/>
          <w:bCs/>
          <w:szCs w:val="21"/>
        </w:rPr>
      </w:pPr>
      <w:r>
        <w:rPr>
          <w:rFonts w:hint="eastAsia" w:ascii="宋体" w:hAnsi="宋体" w:cs="宋体"/>
          <w:bCs/>
          <w:szCs w:val="21"/>
        </w:rPr>
        <w:t>同时，基于AgentMediation经验数据的预备分析已提供初步线索，5×5策略空间在先验收益矩阵下存在唯一纯策略NE点（合作型, 合作型），竞争策略下基于ground truth诉请支持率的成功率仅11%、合作策略达99%（此处"成功率"以原始裁判文书标注为基准，非LLM自评），表明TKI策略对结果具有显著非线性影响。正式的SPNE求解与NE的系统性对照比较将在100条测试案件的端到端实验中完成。</w:t>
      </w:r>
    </w:p>
    <w:p w14:paraId="5A2C26DD">
      <w:pPr>
        <w:keepNext w:val="0"/>
        <w:keepLines w:val="0"/>
        <w:pageBreakBefore w:val="0"/>
        <w:widowControl w:val="0"/>
        <w:kinsoku/>
        <w:wordWrap w:val="0"/>
        <w:overflowPunct/>
        <w:topLinePunct w:val="0"/>
        <w:autoSpaceDE/>
        <w:autoSpaceDN/>
        <w:bidi w:val="0"/>
        <w:adjustRightInd w:val="0"/>
        <w:snapToGrid/>
        <w:spacing w:line="360" w:lineRule="exact"/>
        <w:ind w:left="425" w:right="-57" w:firstLine="420" w:firstLineChars="200"/>
        <w:textAlignment w:val="baseline"/>
        <w:outlineLvl w:val="1"/>
        <w:rPr>
          <w:rFonts w:hint="eastAsia" w:ascii="宋体" w:hAnsi="宋体" w:cs="宋体"/>
          <w:bCs/>
          <w:szCs w:val="21"/>
        </w:rPr>
      </w:pPr>
      <w:r>
        <w:rPr>
          <w:rFonts w:hint="eastAsia" w:ascii="宋体" w:hAnsi="宋体" w:cs="宋体"/>
          <w:bCs/>
          <w:szCs w:val="21"/>
        </w:rPr>
        <w:t>（2）步骤二实验：ESS稳定性验证（补充验证）</w:t>
      </w:r>
    </w:p>
    <w:p w14:paraId="6ADBC0A7">
      <w:pPr>
        <w:keepNext w:val="0"/>
        <w:keepLines w:val="0"/>
        <w:pageBreakBefore w:val="0"/>
        <w:widowControl w:val="0"/>
        <w:kinsoku/>
        <w:wordWrap w:val="0"/>
        <w:overflowPunct/>
        <w:topLinePunct w:val="0"/>
        <w:autoSpaceDE/>
        <w:autoSpaceDN/>
        <w:bidi w:val="0"/>
        <w:adjustRightInd w:val="0"/>
        <w:snapToGrid/>
        <w:spacing w:line="360" w:lineRule="exact"/>
        <w:ind w:left="425" w:right="-57" w:firstLine="420" w:firstLineChars="200"/>
        <w:textAlignment w:val="baseline"/>
        <w:outlineLvl w:val="1"/>
        <w:rPr>
          <w:rFonts w:hint="eastAsia" w:ascii="宋体" w:hAnsi="宋体" w:cs="宋体"/>
          <w:bCs/>
          <w:szCs w:val="21"/>
        </w:rPr>
      </w:pPr>
      <w:r>
        <w:rPr>
          <w:rFonts w:hint="eastAsia" w:ascii="宋体" w:hAnsi="宋体" w:cs="宋体"/>
          <w:bCs/>
          <w:szCs w:val="21"/>
        </w:rPr>
        <w:t>用步骤一获得的经验收益矩阵作为演化适应度矩阵，基于复制者动态方程（公式(4)(5)）模拟策略种群演化（初始均匀分布，50代）。</w:t>
      </w:r>
    </w:p>
    <w:p w14:paraId="0B7AB4BE">
      <w:pPr>
        <w:keepNext w:val="0"/>
        <w:keepLines w:val="0"/>
        <w:pageBreakBefore w:val="0"/>
        <w:widowControl w:val="0"/>
        <w:kinsoku/>
        <w:wordWrap w:val="0"/>
        <w:overflowPunct/>
        <w:topLinePunct w:val="0"/>
        <w:autoSpaceDE/>
        <w:autoSpaceDN/>
        <w:bidi w:val="0"/>
        <w:adjustRightInd w:val="0"/>
        <w:snapToGrid/>
        <w:spacing w:line="360" w:lineRule="exact"/>
        <w:ind w:left="425" w:right="-57" w:firstLine="420" w:firstLineChars="200"/>
        <w:textAlignment w:val="baseline"/>
        <w:outlineLvl w:val="1"/>
        <w:rPr>
          <w:rFonts w:hint="eastAsia" w:ascii="宋体" w:hAnsi="宋体" w:cs="宋体"/>
          <w:bCs/>
          <w:szCs w:val="21"/>
        </w:rPr>
      </w:pPr>
      <w:r>
        <w:rPr>
          <w:rFonts w:hint="eastAsia" w:ascii="宋体" w:hAnsi="宋体" w:cs="宋体"/>
          <w:bCs/>
          <w:szCs w:val="21"/>
        </w:rPr>
        <w:t>核心验证包括三方面：</w:t>
      </w:r>
    </w:p>
    <w:p w14:paraId="7D748A0D">
      <w:pPr>
        <w:keepNext w:val="0"/>
        <w:keepLines w:val="0"/>
        <w:pageBreakBefore w:val="0"/>
        <w:widowControl w:val="0"/>
        <w:numPr>
          <w:ilvl w:val="0"/>
          <w:numId w:val="9"/>
        </w:numPr>
        <w:kinsoku/>
        <w:wordWrap w:val="0"/>
        <w:overflowPunct/>
        <w:topLinePunct w:val="0"/>
        <w:autoSpaceDE/>
        <w:autoSpaceDN/>
        <w:bidi w:val="0"/>
        <w:adjustRightInd w:val="0"/>
        <w:snapToGrid/>
        <w:spacing w:line="360" w:lineRule="exact"/>
        <w:ind w:left="425" w:right="-57" w:firstLine="420" w:firstLineChars="200"/>
        <w:textAlignment w:val="baseline"/>
        <w:outlineLvl w:val="1"/>
        <w:rPr>
          <w:rFonts w:hint="eastAsia" w:ascii="宋体" w:hAnsi="宋体" w:cs="宋体"/>
          <w:bCs/>
          <w:szCs w:val="21"/>
        </w:rPr>
      </w:pPr>
      <w:r>
        <w:rPr>
          <w:rFonts w:hint="eastAsia" w:ascii="宋体" w:hAnsi="宋体" w:cs="宋体"/>
          <w:bCs/>
          <w:szCs w:val="21"/>
        </w:rPr>
        <w:t>策略种群是否收敛到ESS不动点；</w:t>
      </w:r>
    </w:p>
    <w:p w14:paraId="7AE11B4A">
      <w:pPr>
        <w:keepNext w:val="0"/>
        <w:keepLines w:val="0"/>
        <w:pageBreakBefore w:val="0"/>
        <w:widowControl w:val="0"/>
        <w:numPr>
          <w:ilvl w:val="0"/>
          <w:numId w:val="9"/>
        </w:numPr>
        <w:kinsoku/>
        <w:wordWrap w:val="0"/>
        <w:overflowPunct/>
        <w:topLinePunct w:val="0"/>
        <w:autoSpaceDE/>
        <w:autoSpaceDN/>
        <w:bidi w:val="0"/>
        <w:adjustRightInd w:val="0"/>
        <w:snapToGrid/>
        <w:spacing w:line="360" w:lineRule="exact"/>
        <w:ind w:left="425" w:right="-57" w:firstLine="420" w:firstLineChars="200"/>
        <w:textAlignment w:val="baseline"/>
        <w:outlineLvl w:val="1"/>
        <w:rPr>
          <w:rFonts w:hint="eastAsia" w:ascii="宋体" w:hAnsi="宋体" w:cs="宋体"/>
          <w:bCs/>
          <w:szCs w:val="21"/>
        </w:rPr>
      </w:pPr>
      <w:r>
        <w:rPr>
          <w:rFonts w:hint="eastAsia" w:ascii="宋体" w:hAnsi="宋体" w:cs="宋体"/>
          <w:bCs/>
          <w:szCs w:val="21"/>
        </w:rPr>
        <w:t>该ESS不动点是否与步骤一中SPNE的均衡策略一致——若一致，则表明序贯均衡不仅在个体层面最优，而且在群体层面具有演化稳定性；</w:t>
      </w:r>
    </w:p>
    <w:p w14:paraId="28E0EEC7">
      <w:pPr>
        <w:keepNext w:val="0"/>
        <w:keepLines w:val="0"/>
        <w:pageBreakBefore w:val="0"/>
        <w:widowControl w:val="0"/>
        <w:numPr>
          <w:ilvl w:val="0"/>
          <w:numId w:val="9"/>
        </w:numPr>
        <w:kinsoku/>
        <w:wordWrap w:val="0"/>
        <w:overflowPunct/>
        <w:topLinePunct w:val="0"/>
        <w:autoSpaceDE/>
        <w:autoSpaceDN/>
        <w:bidi w:val="0"/>
        <w:adjustRightInd w:val="0"/>
        <w:snapToGrid/>
        <w:spacing w:line="360" w:lineRule="exact"/>
        <w:ind w:left="425" w:right="-57" w:firstLine="420" w:firstLineChars="200"/>
        <w:textAlignment w:val="baseline"/>
        <w:outlineLvl w:val="1"/>
        <w:rPr>
          <w:rFonts w:hint="eastAsia" w:ascii="宋体" w:hAnsi="宋体" w:cs="宋体"/>
          <w:bCs/>
          <w:szCs w:val="21"/>
        </w:rPr>
      </w:pPr>
      <w:r>
        <w:rPr>
          <w:rFonts w:hint="eastAsia" w:ascii="宋体" w:hAnsi="宋体" w:cs="宋体"/>
          <w:bCs/>
          <w:szCs w:val="21"/>
        </w:rPr>
        <w:t>收敛速度与案由类型的关系——检验不同法律领域的策略演化是否呈现差异化模式。同时计算群体策略多样性指标（Shannon熵）追踪演化过程中的策略分布变化趋势。</w:t>
      </w:r>
    </w:p>
    <w:p w14:paraId="58351CBC">
      <w:pPr>
        <w:keepNext w:val="0"/>
        <w:keepLines w:val="0"/>
        <w:pageBreakBefore w:val="0"/>
        <w:widowControl w:val="0"/>
        <w:kinsoku/>
        <w:wordWrap w:val="0"/>
        <w:overflowPunct/>
        <w:topLinePunct w:val="0"/>
        <w:autoSpaceDE/>
        <w:autoSpaceDN/>
        <w:bidi w:val="0"/>
        <w:adjustRightInd w:val="0"/>
        <w:snapToGrid/>
        <w:spacing w:line="360" w:lineRule="exact"/>
        <w:ind w:left="425" w:right="-57" w:firstLine="420" w:firstLineChars="200"/>
        <w:textAlignment w:val="baseline"/>
        <w:outlineLvl w:val="1"/>
        <w:rPr>
          <w:rFonts w:hint="eastAsia" w:ascii="宋体" w:hAnsi="宋体" w:cs="宋体"/>
          <w:bCs/>
          <w:szCs w:val="21"/>
        </w:rPr>
      </w:pPr>
      <w:r>
        <w:rPr>
          <w:rFonts w:hint="eastAsia" w:ascii="宋体" w:hAnsi="宋体" w:cs="宋体"/>
          <w:bCs/>
          <w:szCs w:val="21"/>
        </w:rPr>
        <w:t>此外，系统默认启用P-RAG渐进式检索增强以保障判决质量，后续可通过消融实验进一步量化其对法条召回率的边际贡献。</w:t>
      </w:r>
    </w:p>
    <w:p w14:paraId="089C4D57">
      <w:pPr>
        <w:keepNext w:val="0"/>
        <w:keepLines w:val="0"/>
        <w:pageBreakBefore w:val="0"/>
        <w:widowControl w:val="0"/>
        <w:kinsoku/>
        <w:wordWrap w:val="0"/>
        <w:overflowPunct/>
        <w:topLinePunct w:val="0"/>
        <w:autoSpaceDE/>
        <w:autoSpaceDN/>
        <w:bidi w:val="0"/>
        <w:adjustRightInd w:val="0"/>
        <w:snapToGrid/>
        <w:spacing w:line="360" w:lineRule="exact"/>
        <w:ind w:left="425" w:right="-57" w:firstLine="420" w:firstLineChars="200"/>
        <w:textAlignment w:val="baseline"/>
        <w:outlineLvl w:val="1"/>
        <w:rPr>
          <w:rFonts w:hint="eastAsia" w:ascii="宋体" w:hAnsi="宋体" w:cs="宋体"/>
          <w:bCs/>
          <w:szCs w:val="21"/>
        </w:rPr>
      </w:pPr>
      <w:r>
        <w:rPr>
          <w:rFonts w:hint="eastAsia" w:ascii="宋体" w:hAnsi="宋体" w:cs="宋体"/>
          <w:bCs/>
          <w:szCs w:val="21"/>
        </w:rPr>
        <w:t>对于收益评估中涉及的主观评测维度（如论证流畅度、说理充分性），采用3.2节所述的双路校验机制——LLM评分仅用于难以规则化的主观维度，关键因变量均设有基于ground truth或确定性规则的独立校验指标，偏差超阈值时触发人工复核。</w:t>
      </w:r>
    </w:p>
    <w:p w14:paraId="6F4FAB70">
      <w:pPr>
        <w:numPr>
          <w:ilvl w:val="0"/>
          <w:numId w:val="6"/>
        </w:numPr>
        <w:wordWrap w:val="0"/>
        <w:spacing w:line="240" w:lineRule="auto"/>
        <w:ind w:right="-57"/>
        <w:outlineLvl w:val="1"/>
        <w:rPr>
          <w:rFonts w:hint="eastAsia" w:ascii="宋体" w:hAnsi="宋体" w:cs="宋体"/>
          <w:bCs/>
          <w:szCs w:val="21"/>
        </w:rPr>
      </w:pPr>
      <w:r>
        <w:rPr>
          <w:rFonts w:hint="eastAsia" w:ascii="宋体" w:hAnsi="宋体" w:cs="宋体"/>
          <w:bCs/>
          <w:szCs w:val="21"/>
        </w:rPr>
        <w:t>创新点总结</w:t>
      </w:r>
    </w:p>
    <w:p w14:paraId="5E70E7AA">
      <w:pPr>
        <w:keepNext w:val="0"/>
        <w:keepLines w:val="0"/>
        <w:pageBreakBefore w:val="0"/>
        <w:widowControl w:val="0"/>
        <w:kinsoku/>
        <w:wordWrap w:val="0"/>
        <w:overflowPunct/>
        <w:topLinePunct w:val="0"/>
        <w:autoSpaceDE/>
        <w:autoSpaceDN/>
        <w:bidi w:val="0"/>
        <w:adjustRightInd w:val="0"/>
        <w:snapToGrid/>
        <w:spacing w:line="360" w:lineRule="auto"/>
        <w:ind w:left="425" w:right="0" w:firstLine="420" w:firstLineChars="200"/>
        <w:textAlignment w:val="baseline"/>
        <w:outlineLvl w:val="1"/>
        <w:rPr>
          <w:rFonts w:hint="eastAsia" w:ascii="宋体" w:hAnsi="宋体" w:cs="宋体"/>
          <w:bCs/>
          <w:szCs w:val="21"/>
        </w:rPr>
      </w:pPr>
      <w:r>
        <w:rPr>
          <w:rFonts w:hint="eastAsia" w:ascii="宋体" w:hAnsi="宋体" w:cs="宋体"/>
          <w:bCs/>
          <w:szCs w:val="21"/>
        </w:rPr>
        <w:t>本研究的核心创新可归纳为以下两个方面，表1从六个维度展示了与现有代表性工作的系统性差异：</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2"/>
        <w:gridCol w:w="2393"/>
        <w:gridCol w:w="2393"/>
        <w:gridCol w:w="2393"/>
      </w:tblGrid>
      <w:tr w14:paraId="5DF34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2C7447E4">
            <w:pPr>
              <w:wordWrap w:val="0"/>
              <w:spacing w:line="360" w:lineRule="auto"/>
              <w:ind w:right="-57"/>
              <w:outlineLvl w:val="1"/>
              <w:rPr>
                <w:rFonts w:hint="eastAsia" w:ascii="宋体" w:hAnsi="宋体" w:cs="宋体"/>
                <w:bCs/>
                <w:szCs w:val="21"/>
              </w:rPr>
            </w:pPr>
            <w:r>
              <w:rPr>
                <w:rFonts w:hint="eastAsia" w:ascii="宋体" w:hAnsi="宋体" w:cs="宋体"/>
                <w:bCs/>
                <w:szCs w:val="21"/>
              </w:rPr>
              <w:t>特性</w:t>
            </w:r>
          </w:p>
        </w:tc>
        <w:tc>
          <w:tcPr>
            <w:tcW w:w="2393" w:type="dxa"/>
          </w:tcPr>
          <w:p w14:paraId="03F6B539">
            <w:pPr>
              <w:wordWrap w:val="0"/>
              <w:spacing w:line="360" w:lineRule="auto"/>
              <w:ind w:right="-57"/>
              <w:outlineLvl w:val="1"/>
              <w:rPr>
                <w:rFonts w:hint="eastAsia" w:ascii="宋体" w:hAnsi="宋体" w:cs="宋体"/>
                <w:bCs/>
                <w:szCs w:val="21"/>
              </w:rPr>
            </w:pPr>
            <w:r>
              <w:rPr>
                <w:rFonts w:hint="eastAsia" w:ascii="宋体" w:hAnsi="宋体" w:cs="宋体"/>
                <w:bCs/>
                <w:szCs w:val="21"/>
              </w:rPr>
              <w:t>Agent Mediation</w:t>
            </w:r>
          </w:p>
        </w:tc>
        <w:tc>
          <w:tcPr>
            <w:tcW w:w="2393" w:type="dxa"/>
          </w:tcPr>
          <w:p w14:paraId="2A92F272">
            <w:pPr>
              <w:wordWrap w:val="0"/>
              <w:spacing w:line="360" w:lineRule="auto"/>
              <w:ind w:right="-57"/>
              <w:outlineLvl w:val="1"/>
              <w:rPr>
                <w:rFonts w:hint="eastAsia" w:ascii="宋体" w:hAnsi="宋体" w:cs="宋体"/>
                <w:bCs/>
                <w:szCs w:val="21"/>
              </w:rPr>
            </w:pPr>
            <w:r>
              <w:rPr>
                <w:rFonts w:hint="eastAsia" w:ascii="宋体" w:hAnsi="宋体" w:cs="宋体"/>
                <w:bCs/>
                <w:szCs w:val="21"/>
              </w:rPr>
              <w:t>J1-ENVS</w:t>
            </w:r>
          </w:p>
        </w:tc>
        <w:tc>
          <w:tcPr>
            <w:tcW w:w="2393" w:type="dxa"/>
          </w:tcPr>
          <w:p w14:paraId="626BD5BB">
            <w:pPr>
              <w:wordWrap w:val="0"/>
              <w:spacing w:line="360" w:lineRule="auto"/>
              <w:ind w:right="-57"/>
              <w:outlineLvl w:val="1"/>
              <w:rPr>
                <w:rFonts w:hint="eastAsia" w:ascii="宋体" w:hAnsi="宋体" w:cs="宋体"/>
                <w:bCs/>
                <w:szCs w:val="21"/>
              </w:rPr>
            </w:pPr>
            <w:r>
              <w:rPr>
                <w:rFonts w:hint="eastAsia" w:ascii="宋体" w:hAnsi="宋体" w:cs="宋体"/>
                <w:bCs/>
                <w:szCs w:val="21"/>
              </w:rPr>
              <w:t>LegalFlow（本研究）</w:t>
            </w:r>
          </w:p>
        </w:tc>
      </w:tr>
      <w:tr w14:paraId="7AD5C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5978AD0C">
            <w:pPr>
              <w:wordWrap w:val="0"/>
              <w:spacing w:line="360" w:lineRule="auto"/>
              <w:ind w:right="-57"/>
              <w:outlineLvl w:val="1"/>
              <w:rPr>
                <w:rFonts w:hint="eastAsia" w:ascii="宋体" w:hAnsi="宋体" w:cs="宋体"/>
                <w:bCs/>
                <w:szCs w:val="21"/>
              </w:rPr>
            </w:pPr>
            <w:r>
              <w:rPr>
                <w:rFonts w:hint="eastAsia" w:ascii="宋体" w:hAnsi="宋体" w:cs="宋体"/>
                <w:bCs/>
                <w:szCs w:val="21"/>
              </w:rPr>
              <w:t>博弈模型</w:t>
            </w:r>
          </w:p>
        </w:tc>
        <w:tc>
          <w:tcPr>
            <w:tcW w:w="2393" w:type="dxa"/>
          </w:tcPr>
          <w:p w14:paraId="05938858">
            <w:pPr>
              <w:wordWrap w:val="0"/>
              <w:spacing w:line="360" w:lineRule="auto"/>
              <w:ind w:right="-57"/>
              <w:outlineLvl w:val="1"/>
              <w:rPr>
                <w:rFonts w:hint="eastAsia" w:ascii="宋体" w:hAnsi="宋体" w:cs="宋体"/>
                <w:bCs/>
                <w:szCs w:val="21"/>
              </w:rPr>
            </w:pPr>
            <w:r>
              <w:rPr>
                <w:rFonts w:hint="eastAsia" w:ascii="宋体" w:hAnsi="宋体" w:cs="宋体"/>
                <w:bCs/>
                <w:szCs w:val="21"/>
              </w:rPr>
              <w:t>正规形式（静态）</w:t>
            </w:r>
          </w:p>
        </w:tc>
        <w:tc>
          <w:tcPr>
            <w:tcW w:w="2393" w:type="dxa"/>
          </w:tcPr>
          <w:p w14:paraId="07E2496D">
            <w:pPr>
              <w:wordWrap w:val="0"/>
              <w:spacing w:line="360" w:lineRule="auto"/>
              <w:ind w:right="-57"/>
              <w:outlineLvl w:val="1"/>
              <w:rPr>
                <w:rFonts w:hint="eastAsia" w:ascii="宋体" w:hAnsi="宋体" w:cs="宋体"/>
                <w:bCs/>
                <w:szCs w:val="21"/>
              </w:rPr>
            </w:pPr>
            <w:r>
              <w:rPr>
                <w:rFonts w:hint="eastAsia" w:ascii="宋体" w:hAnsi="宋体" w:cs="宋体"/>
                <w:bCs/>
                <w:szCs w:val="21"/>
              </w:rPr>
              <w:t>无</w:t>
            </w:r>
          </w:p>
        </w:tc>
        <w:tc>
          <w:tcPr>
            <w:tcW w:w="2393" w:type="dxa"/>
          </w:tcPr>
          <w:p w14:paraId="0F278995">
            <w:pPr>
              <w:wordWrap w:val="0"/>
              <w:spacing w:line="360" w:lineRule="auto"/>
              <w:ind w:right="-57"/>
              <w:outlineLvl w:val="1"/>
              <w:rPr>
                <w:rFonts w:hint="eastAsia" w:ascii="宋体" w:hAnsi="宋体" w:cs="宋体"/>
                <w:bCs/>
                <w:szCs w:val="21"/>
              </w:rPr>
            </w:pPr>
            <w:r>
              <w:rPr>
                <w:rFonts w:hint="eastAsia" w:ascii="宋体" w:hAnsi="宋体" w:cs="宋体"/>
                <w:bCs/>
                <w:szCs w:val="21"/>
              </w:rPr>
              <w:t>扩展式博弈（序贯）</w:t>
            </w:r>
          </w:p>
        </w:tc>
      </w:tr>
      <w:tr w14:paraId="56B40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76734F59">
            <w:pPr>
              <w:wordWrap w:val="0"/>
              <w:spacing w:line="360" w:lineRule="auto"/>
              <w:ind w:right="-57"/>
              <w:outlineLvl w:val="1"/>
              <w:rPr>
                <w:rFonts w:hint="eastAsia" w:ascii="宋体" w:hAnsi="宋体" w:cs="宋体"/>
                <w:bCs/>
                <w:szCs w:val="21"/>
              </w:rPr>
            </w:pPr>
            <w:r>
              <w:rPr>
                <w:rFonts w:hint="eastAsia" w:ascii="宋体" w:hAnsi="宋体" w:cs="宋体"/>
                <w:bCs/>
                <w:szCs w:val="21"/>
              </w:rPr>
              <w:t>均衡概念</w:t>
            </w:r>
          </w:p>
        </w:tc>
        <w:tc>
          <w:tcPr>
            <w:tcW w:w="2393" w:type="dxa"/>
          </w:tcPr>
          <w:p w14:paraId="40B80DE1">
            <w:pPr>
              <w:wordWrap w:val="0"/>
              <w:spacing w:line="360" w:lineRule="auto"/>
              <w:ind w:right="-57"/>
              <w:outlineLvl w:val="1"/>
              <w:rPr>
                <w:rFonts w:hint="eastAsia" w:ascii="宋体" w:hAnsi="宋体" w:cs="宋体"/>
                <w:bCs/>
                <w:szCs w:val="21"/>
              </w:rPr>
            </w:pPr>
            <w:r>
              <w:rPr>
                <w:rFonts w:hint="eastAsia" w:ascii="宋体" w:hAnsi="宋体" w:cs="宋体"/>
                <w:bCs/>
                <w:szCs w:val="21"/>
              </w:rPr>
              <w:t>NE（事后分析）</w:t>
            </w:r>
          </w:p>
        </w:tc>
        <w:tc>
          <w:tcPr>
            <w:tcW w:w="2393" w:type="dxa"/>
          </w:tcPr>
          <w:p w14:paraId="6FF95703">
            <w:pPr>
              <w:wordWrap w:val="0"/>
              <w:spacing w:line="360" w:lineRule="auto"/>
              <w:ind w:right="-57"/>
              <w:outlineLvl w:val="1"/>
              <w:rPr>
                <w:rFonts w:hint="eastAsia" w:ascii="宋体" w:hAnsi="宋体" w:cs="宋体"/>
                <w:bCs/>
                <w:szCs w:val="21"/>
              </w:rPr>
            </w:pPr>
            <w:r>
              <w:rPr>
                <w:rFonts w:hint="eastAsia" w:ascii="宋体" w:hAnsi="宋体" w:cs="宋体"/>
                <w:bCs/>
                <w:szCs w:val="21"/>
              </w:rPr>
              <w:t>无</w:t>
            </w:r>
          </w:p>
        </w:tc>
        <w:tc>
          <w:tcPr>
            <w:tcW w:w="2393" w:type="dxa"/>
          </w:tcPr>
          <w:p w14:paraId="4B8C0BF8">
            <w:pPr>
              <w:wordWrap w:val="0"/>
              <w:spacing w:line="360" w:lineRule="auto"/>
              <w:ind w:right="-57"/>
              <w:outlineLvl w:val="1"/>
              <w:rPr>
                <w:rFonts w:hint="eastAsia" w:ascii="宋体" w:hAnsi="宋体" w:cs="宋体"/>
                <w:bCs/>
                <w:szCs w:val="21"/>
              </w:rPr>
            </w:pPr>
            <w:r>
              <w:rPr>
                <w:rFonts w:hint="eastAsia" w:ascii="宋体" w:hAnsi="宋体" w:cs="宋体"/>
                <w:bCs/>
                <w:szCs w:val="21"/>
              </w:rPr>
              <w:t>SPNE + ESS验证</w:t>
            </w:r>
          </w:p>
        </w:tc>
      </w:tr>
      <w:tr w14:paraId="21911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53C75226">
            <w:pPr>
              <w:wordWrap w:val="0"/>
              <w:spacing w:line="360" w:lineRule="auto"/>
              <w:ind w:right="-57"/>
              <w:outlineLvl w:val="1"/>
              <w:rPr>
                <w:rFonts w:hint="eastAsia" w:ascii="宋体" w:hAnsi="宋体" w:cs="宋体"/>
                <w:bCs/>
                <w:szCs w:val="21"/>
              </w:rPr>
            </w:pPr>
            <w:r>
              <w:rPr>
                <w:rFonts w:hint="eastAsia" w:ascii="宋体" w:hAnsi="宋体" w:cs="宋体"/>
                <w:bCs/>
                <w:szCs w:val="21"/>
              </w:rPr>
              <w:t>策略进化</w:t>
            </w:r>
          </w:p>
        </w:tc>
        <w:tc>
          <w:tcPr>
            <w:tcW w:w="2393" w:type="dxa"/>
          </w:tcPr>
          <w:p w14:paraId="20A764C8">
            <w:pPr>
              <w:wordWrap w:val="0"/>
              <w:spacing w:line="360" w:lineRule="auto"/>
              <w:ind w:right="-57"/>
              <w:outlineLvl w:val="1"/>
              <w:rPr>
                <w:rFonts w:hint="eastAsia" w:ascii="宋体" w:hAnsi="宋体" w:cs="宋体"/>
                <w:bCs/>
                <w:szCs w:val="21"/>
              </w:rPr>
            </w:pPr>
            <w:r>
              <w:rPr>
                <w:rFonts w:hint="eastAsia" w:ascii="宋体" w:hAnsi="宋体" w:cs="宋体"/>
                <w:bCs/>
                <w:szCs w:val="21"/>
              </w:rPr>
              <w:t>无</w:t>
            </w:r>
          </w:p>
        </w:tc>
        <w:tc>
          <w:tcPr>
            <w:tcW w:w="2393" w:type="dxa"/>
          </w:tcPr>
          <w:p w14:paraId="50D2127D">
            <w:pPr>
              <w:wordWrap w:val="0"/>
              <w:spacing w:line="360" w:lineRule="auto"/>
              <w:ind w:right="-57"/>
              <w:outlineLvl w:val="1"/>
              <w:rPr>
                <w:rFonts w:hint="eastAsia" w:ascii="宋体" w:hAnsi="宋体" w:cs="宋体"/>
                <w:bCs/>
                <w:szCs w:val="21"/>
              </w:rPr>
            </w:pPr>
            <w:r>
              <w:rPr>
                <w:rFonts w:hint="eastAsia" w:ascii="宋体" w:hAnsi="宋体" w:cs="宋体"/>
                <w:bCs/>
                <w:szCs w:val="21"/>
              </w:rPr>
              <w:t>无</w:t>
            </w:r>
          </w:p>
        </w:tc>
        <w:tc>
          <w:tcPr>
            <w:tcW w:w="2393" w:type="dxa"/>
          </w:tcPr>
          <w:p w14:paraId="261C2A57">
            <w:pPr>
              <w:wordWrap w:val="0"/>
              <w:spacing w:line="360" w:lineRule="auto"/>
              <w:ind w:right="-57"/>
              <w:outlineLvl w:val="1"/>
              <w:rPr>
                <w:rFonts w:hint="eastAsia" w:ascii="宋体" w:hAnsi="宋体" w:cs="宋体"/>
                <w:bCs/>
                <w:szCs w:val="21"/>
              </w:rPr>
            </w:pPr>
            <w:r>
              <w:rPr>
                <w:rFonts w:hint="eastAsia" w:ascii="宋体" w:hAnsi="宋体" w:cs="宋体"/>
                <w:bCs/>
                <w:szCs w:val="21"/>
              </w:rPr>
              <w:t>锦标赛 + LLM反思</w:t>
            </w:r>
          </w:p>
        </w:tc>
      </w:tr>
      <w:tr w14:paraId="22352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56708DF1">
            <w:pPr>
              <w:wordWrap w:val="0"/>
              <w:spacing w:line="360" w:lineRule="auto"/>
              <w:ind w:right="-57"/>
              <w:outlineLvl w:val="1"/>
              <w:rPr>
                <w:rFonts w:hint="eastAsia" w:ascii="宋体" w:hAnsi="宋体" w:cs="宋体"/>
                <w:bCs/>
                <w:szCs w:val="21"/>
              </w:rPr>
            </w:pPr>
            <w:r>
              <w:rPr>
                <w:rFonts w:hint="eastAsia" w:ascii="宋体" w:hAnsi="宋体" w:cs="宋体"/>
                <w:bCs/>
                <w:szCs w:val="21"/>
              </w:rPr>
              <w:t>全流程诉讼</w:t>
            </w:r>
          </w:p>
        </w:tc>
        <w:tc>
          <w:tcPr>
            <w:tcW w:w="2393" w:type="dxa"/>
          </w:tcPr>
          <w:p w14:paraId="370235DC">
            <w:pPr>
              <w:wordWrap w:val="0"/>
              <w:spacing w:line="360" w:lineRule="auto"/>
              <w:ind w:right="-57"/>
              <w:outlineLvl w:val="1"/>
              <w:rPr>
                <w:rFonts w:hint="eastAsia" w:ascii="宋体" w:hAnsi="宋体" w:cs="宋体"/>
                <w:bCs/>
                <w:szCs w:val="21"/>
              </w:rPr>
            </w:pPr>
            <w:r>
              <w:rPr>
                <w:rFonts w:hint="eastAsia" w:ascii="宋体" w:hAnsi="宋体" w:cs="宋体"/>
                <w:bCs/>
                <w:szCs w:val="21"/>
              </w:rPr>
              <w:t>调解</w:t>
            </w:r>
          </w:p>
        </w:tc>
        <w:tc>
          <w:tcPr>
            <w:tcW w:w="2393" w:type="dxa"/>
          </w:tcPr>
          <w:p w14:paraId="6AD9148F">
            <w:pPr>
              <w:wordWrap w:val="0"/>
              <w:spacing w:line="360" w:lineRule="auto"/>
              <w:ind w:right="-57"/>
              <w:outlineLvl w:val="1"/>
              <w:rPr>
                <w:rFonts w:hint="eastAsia" w:ascii="宋体" w:hAnsi="宋体" w:cs="宋体"/>
                <w:bCs/>
                <w:szCs w:val="21"/>
              </w:rPr>
            </w:pPr>
            <w:r>
              <w:rPr>
                <w:rFonts w:hint="eastAsia" w:ascii="宋体" w:hAnsi="宋体" w:cs="宋体"/>
                <w:bCs/>
                <w:szCs w:val="21"/>
              </w:rPr>
              <w:t>独立环境</w:t>
            </w:r>
          </w:p>
        </w:tc>
        <w:tc>
          <w:tcPr>
            <w:tcW w:w="2393" w:type="dxa"/>
          </w:tcPr>
          <w:p w14:paraId="24F69169">
            <w:pPr>
              <w:wordWrap w:val="0"/>
              <w:spacing w:line="360" w:lineRule="auto"/>
              <w:ind w:right="-57"/>
              <w:outlineLvl w:val="1"/>
              <w:rPr>
                <w:rFonts w:hint="eastAsia" w:ascii="宋体" w:hAnsi="宋体" w:cs="宋体"/>
                <w:bCs/>
                <w:szCs w:val="21"/>
              </w:rPr>
            </w:pPr>
            <w:r>
              <w:rPr>
                <w:rFonts w:hint="eastAsia" w:ascii="宋体" w:hAnsi="宋体" w:cs="宋体"/>
                <w:bCs/>
                <w:szCs w:val="21"/>
              </w:rPr>
              <w:t>CD→DD→CI完整管道</w:t>
            </w:r>
          </w:p>
        </w:tc>
      </w:tr>
      <w:tr w14:paraId="3F940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6CF93604">
            <w:pPr>
              <w:wordWrap w:val="0"/>
              <w:spacing w:line="360" w:lineRule="auto"/>
              <w:ind w:right="-57"/>
              <w:outlineLvl w:val="1"/>
              <w:rPr>
                <w:rFonts w:hint="eastAsia" w:ascii="宋体" w:hAnsi="宋体" w:cs="宋体"/>
                <w:bCs/>
                <w:szCs w:val="21"/>
              </w:rPr>
            </w:pPr>
            <w:r>
              <w:rPr>
                <w:rFonts w:hint="eastAsia" w:ascii="宋体" w:hAnsi="宋体" w:cs="宋体"/>
                <w:bCs/>
                <w:szCs w:val="21"/>
              </w:rPr>
              <w:t>检索增强</w:t>
            </w:r>
          </w:p>
        </w:tc>
        <w:tc>
          <w:tcPr>
            <w:tcW w:w="2393" w:type="dxa"/>
          </w:tcPr>
          <w:p w14:paraId="2F9A1989">
            <w:pPr>
              <w:wordWrap w:val="0"/>
              <w:spacing w:line="360" w:lineRule="auto"/>
              <w:ind w:right="-57"/>
              <w:outlineLvl w:val="1"/>
              <w:rPr>
                <w:rFonts w:hint="eastAsia" w:ascii="宋体" w:hAnsi="宋体" w:cs="宋体"/>
                <w:bCs/>
                <w:szCs w:val="21"/>
              </w:rPr>
            </w:pPr>
            <w:r>
              <w:rPr>
                <w:rFonts w:hint="eastAsia" w:ascii="宋体" w:hAnsi="宋体" w:cs="宋体"/>
                <w:bCs/>
                <w:szCs w:val="21"/>
              </w:rPr>
              <w:t>无</w:t>
            </w:r>
          </w:p>
        </w:tc>
        <w:tc>
          <w:tcPr>
            <w:tcW w:w="2393" w:type="dxa"/>
          </w:tcPr>
          <w:p w14:paraId="45D26DC4">
            <w:pPr>
              <w:wordWrap w:val="0"/>
              <w:spacing w:line="360" w:lineRule="auto"/>
              <w:ind w:right="-57"/>
              <w:outlineLvl w:val="1"/>
              <w:rPr>
                <w:rFonts w:hint="eastAsia" w:ascii="宋体" w:hAnsi="宋体" w:cs="宋体"/>
                <w:bCs/>
                <w:szCs w:val="21"/>
              </w:rPr>
            </w:pPr>
            <w:r>
              <w:rPr>
                <w:rFonts w:hint="eastAsia" w:ascii="宋体" w:hAnsi="宋体" w:cs="宋体"/>
                <w:bCs/>
                <w:szCs w:val="21"/>
              </w:rPr>
              <w:t>无</w:t>
            </w:r>
          </w:p>
        </w:tc>
        <w:tc>
          <w:tcPr>
            <w:tcW w:w="2393" w:type="dxa"/>
          </w:tcPr>
          <w:p w14:paraId="34C9DF9B">
            <w:pPr>
              <w:wordWrap w:val="0"/>
              <w:spacing w:line="360" w:lineRule="auto"/>
              <w:ind w:right="-57"/>
              <w:outlineLvl w:val="1"/>
              <w:rPr>
                <w:rFonts w:hint="eastAsia" w:ascii="宋体" w:hAnsi="宋体" w:cs="宋体"/>
                <w:bCs/>
                <w:szCs w:val="21"/>
              </w:rPr>
            </w:pPr>
            <w:r>
              <w:rPr>
                <w:rFonts w:hint="eastAsia" w:ascii="宋体" w:hAnsi="宋体" w:cs="宋体"/>
                <w:bCs/>
                <w:szCs w:val="21"/>
              </w:rPr>
              <w:t>P-RAG渐进式检索</w:t>
            </w:r>
          </w:p>
        </w:tc>
      </w:tr>
      <w:tr w14:paraId="37946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2D5A74B9">
            <w:pPr>
              <w:wordWrap w:val="0"/>
              <w:spacing w:line="360" w:lineRule="auto"/>
              <w:ind w:right="-57"/>
              <w:outlineLvl w:val="1"/>
              <w:rPr>
                <w:rFonts w:hint="eastAsia" w:ascii="宋体" w:hAnsi="宋体" w:cs="宋体"/>
                <w:bCs/>
                <w:szCs w:val="21"/>
              </w:rPr>
            </w:pPr>
            <w:r>
              <w:rPr>
                <w:rFonts w:hint="eastAsia" w:ascii="宋体" w:hAnsi="宋体" w:cs="宋体"/>
                <w:bCs/>
                <w:szCs w:val="21"/>
              </w:rPr>
              <w:t>博弈论评测</w:t>
            </w:r>
          </w:p>
        </w:tc>
        <w:tc>
          <w:tcPr>
            <w:tcW w:w="2393" w:type="dxa"/>
          </w:tcPr>
          <w:p w14:paraId="023CA285">
            <w:pPr>
              <w:wordWrap w:val="0"/>
              <w:spacing w:line="360" w:lineRule="auto"/>
              <w:ind w:right="-57"/>
              <w:outlineLvl w:val="1"/>
              <w:rPr>
                <w:rFonts w:hint="eastAsia" w:ascii="宋体" w:hAnsi="宋体" w:cs="宋体"/>
                <w:bCs/>
                <w:szCs w:val="21"/>
              </w:rPr>
            </w:pPr>
            <w:r>
              <w:rPr>
                <w:rFonts w:hint="eastAsia" w:ascii="宋体" w:hAnsi="宋体" w:cs="宋体"/>
                <w:bCs/>
                <w:szCs w:val="21"/>
              </w:rPr>
              <w:t>4指标</w:t>
            </w:r>
          </w:p>
        </w:tc>
        <w:tc>
          <w:tcPr>
            <w:tcW w:w="2393" w:type="dxa"/>
          </w:tcPr>
          <w:p w14:paraId="6B337C77">
            <w:pPr>
              <w:wordWrap w:val="0"/>
              <w:spacing w:line="360" w:lineRule="auto"/>
              <w:ind w:right="-57"/>
              <w:outlineLvl w:val="1"/>
              <w:rPr>
                <w:rFonts w:hint="eastAsia" w:ascii="宋体" w:hAnsi="宋体" w:cs="宋体"/>
                <w:bCs/>
                <w:szCs w:val="21"/>
              </w:rPr>
            </w:pPr>
            <w:r>
              <w:rPr>
                <w:rFonts w:hint="eastAsia" w:ascii="宋体" w:hAnsi="宋体" w:cs="宋体"/>
                <w:bCs/>
                <w:szCs w:val="21"/>
              </w:rPr>
              <w:t>PFS + JUD</w:t>
            </w:r>
          </w:p>
        </w:tc>
        <w:tc>
          <w:tcPr>
            <w:tcW w:w="2393" w:type="dxa"/>
          </w:tcPr>
          <w:p w14:paraId="313ACB42">
            <w:pPr>
              <w:wordWrap w:val="0"/>
              <w:spacing w:line="360" w:lineRule="auto"/>
              <w:ind w:right="-57"/>
              <w:outlineLvl w:val="1"/>
              <w:rPr>
                <w:rFonts w:hint="eastAsia" w:ascii="宋体" w:hAnsi="宋体" w:cs="宋体"/>
                <w:bCs/>
                <w:szCs w:val="21"/>
              </w:rPr>
            </w:pPr>
            <w:r>
              <w:rPr>
                <w:rFonts w:hint="eastAsia" w:ascii="宋体" w:hAnsi="宋体" w:cs="宋体"/>
                <w:bCs/>
                <w:szCs w:val="21"/>
              </w:rPr>
              <w:t>SR + ECR</w:t>
            </w:r>
          </w:p>
        </w:tc>
      </w:tr>
    </w:tbl>
    <w:p w14:paraId="545788B0">
      <w:pPr>
        <w:wordWrap w:val="0"/>
        <w:spacing w:line="360" w:lineRule="auto"/>
        <w:ind w:right="-57" w:firstLine="420" w:firstLineChars="200"/>
        <w:jc w:val="center"/>
        <w:outlineLvl w:val="1"/>
        <w:rPr>
          <w:rFonts w:hint="eastAsia" w:ascii="宋体" w:hAnsi="宋体" w:cs="宋体"/>
          <w:bCs/>
          <w:szCs w:val="21"/>
        </w:rPr>
      </w:pPr>
      <w:r>
        <w:rPr>
          <w:rFonts w:hint="eastAsia" w:ascii="宋体" w:hAnsi="宋体" w:cs="宋体"/>
          <w:bCs/>
          <w:szCs w:val="21"/>
        </w:rPr>
        <w:t>表1与现有代表性工作的系统对比</w:t>
      </w:r>
    </w:p>
    <w:p w14:paraId="3D239B2F">
      <w:pPr>
        <w:keepNext w:val="0"/>
        <w:keepLines w:val="0"/>
        <w:pageBreakBefore w:val="0"/>
        <w:widowControl w:val="0"/>
        <w:kinsoku/>
        <w:wordWrap w:val="0"/>
        <w:overflowPunct/>
        <w:topLinePunct w:val="0"/>
        <w:autoSpaceDE/>
        <w:autoSpaceDN/>
        <w:bidi w:val="0"/>
        <w:adjustRightInd w:val="0"/>
        <w:snapToGrid/>
        <w:spacing w:line="360" w:lineRule="exact"/>
        <w:ind w:left="425" w:right="0" w:firstLine="420" w:firstLineChars="200"/>
        <w:textAlignment w:val="baseline"/>
        <w:outlineLvl w:val="1"/>
        <w:rPr>
          <w:rFonts w:hint="eastAsia" w:ascii="宋体" w:hAnsi="宋体" w:cs="宋体"/>
          <w:bCs/>
          <w:szCs w:val="21"/>
        </w:rPr>
      </w:pPr>
      <w:r>
        <w:rPr>
          <w:rFonts w:hint="eastAsia" w:ascii="宋体" w:hAnsi="宋体" w:cs="宋体"/>
          <w:bCs/>
          <w:szCs w:val="21"/>
        </w:rPr>
        <w:t>（1）创新点一（核心创新）：扩展式博弈视角下的多智能体诉讼策略预测方法。 据我们所知，本研究首次在LLM多智能体模拟法庭框架下将民事诉讼的起诉–答辩过程建模为扩展式博弈并求解SPNE，通过与传统NE的系统性对照实验揭示序贯建模的必要性和策略跨阶段传导机制。这一工作将Sun等人综述中指出的"博弈论嵌入LLM多智能体系统"（象限2×4交叉）应用到法律AI领域。进一步地，通过演化博弈理论中的复制者动态方程和ESS条件，在群体层面验证序贯均衡的演化稳定性，为SPNE的有效性提供了从个体到群体的双层实证支撑。</w:t>
      </w:r>
    </w:p>
    <w:p w14:paraId="1A052C59">
      <w:pPr>
        <w:keepNext w:val="0"/>
        <w:keepLines w:val="0"/>
        <w:pageBreakBefore w:val="0"/>
        <w:widowControl w:val="0"/>
        <w:kinsoku/>
        <w:wordWrap w:val="0"/>
        <w:overflowPunct/>
        <w:topLinePunct w:val="0"/>
        <w:autoSpaceDE/>
        <w:autoSpaceDN/>
        <w:bidi w:val="0"/>
        <w:adjustRightInd w:val="0"/>
        <w:snapToGrid/>
        <w:spacing w:line="360" w:lineRule="exact"/>
        <w:ind w:left="425" w:right="0" w:firstLine="420" w:firstLineChars="200"/>
        <w:textAlignment w:val="baseline"/>
        <w:outlineLvl w:val="1"/>
        <w:rPr>
          <w:rFonts w:hint="eastAsia" w:ascii="宋体" w:hAnsi="宋体" w:cs="宋体"/>
          <w:bCs/>
          <w:szCs w:val="21"/>
        </w:rPr>
      </w:pPr>
      <w:r>
        <w:rPr>
          <w:rFonts w:hint="eastAsia" w:ascii="宋体" w:hAnsi="宋体" w:cs="宋体"/>
          <w:bCs/>
          <w:szCs w:val="21"/>
        </w:rPr>
        <w:t>（2）创新点二（方法论贡献）：面向法律AI的博弈论评测指标体系。 提出策略理性度（SR）和均衡趋近率（ECR）两项可计算的评测指标，为量化LLM智能体在法律博弈场景中的策略行为提供标准化工具。两项指标均基于博弈论求解器的理论最优响应计算，为规则性确定指标，不依赖LLM自评，有效规避了评分循环自证问题。</w:t>
      </w:r>
    </w:p>
    <w:p w14:paraId="538316BE">
      <w:pPr>
        <w:numPr>
          <w:ilvl w:val="0"/>
          <w:numId w:val="6"/>
        </w:numPr>
        <w:wordWrap w:val="0"/>
        <w:spacing w:after="120" w:afterLines="50" w:line="360" w:lineRule="exact"/>
        <w:ind w:right="283"/>
        <w:outlineLvl w:val="1"/>
        <w:rPr>
          <w:rFonts w:hint="eastAsia" w:ascii="宋体" w:hAnsi="宋体" w:cs="宋体"/>
          <w:bCs/>
          <w:szCs w:val="21"/>
        </w:rPr>
      </w:pPr>
      <w:r>
        <w:rPr>
          <w:rFonts w:hint="eastAsia" w:ascii="宋体" w:hAnsi="宋体" w:cs="宋体"/>
          <w:bCs/>
          <w:szCs w:val="21"/>
        </w:rPr>
        <w:t>研究进度安排</w:t>
      </w:r>
    </w:p>
    <w:tbl>
      <w:tblPr>
        <w:tblStyle w:val="13"/>
        <w:tblW w:w="957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44"/>
        <w:gridCol w:w="1387"/>
        <w:gridCol w:w="5728"/>
        <w:gridCol w:w="1612"/>
      </w:tblGrid>
      <w:tr w14:paraId="51E56A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844" w:type="dxa"/>
            <w:tcBorders>
              <w:top w:val="single" w:color="auto" w:sz="12" w:space="0"/>
              <w:left w:val="nil"/>
              <w:bottom w:val="nil"/>
              <w:right w:val="nil"/>
            </w:tcBorders>
            <w:tcMar>
              <w:top w:w="-1" w:type="dxa"/>
              <w:left w:w="-1" w:type="dxa"/>
              <w:bottom w:w="-1" w:type="dxa"/>
              <w:right w:w="-1" w:type="dxa"/>
            </w:tcMar>
            <w:vAlign w:val="center"/>
          </w:tcPr>
          <w:p w14:paraId="670C4AA4">
            <w:pPr>
              <w:wordWrap w:val="0"/>
              <w:snapToGrid w:val="0"/>
              <w:spacing w:line="240" w:lineRule="auto"/>
              <w:jc w:val="center"/>
              <w:outlineLvl w:val="1"/>
              <w:rPr>
                <w:rFonts w:hint="eastAsia" w:ascii="宋体" w:hAnsi="宋体" w:cs="宋体"/>
                <w:b/>
                <w:szCs w:val="21"/>
              </w:rPr>
            </w:pPr>
            <w:r>
              <w:rPr>
                <w:rFonts w:hint="eastAsia" w:ascii="宋体" w:hAnsi="宋体" w:cs="宋体"/>
                <w:b/>
                <w:szCs w:val="21"/>
              </w:rPr>
              <w:t>阶段</w:t>
            </w:r>
          </w:p>
        </w:tc>
        <w:tc>
          <w:tcPr>
            <w:tcW w:w="1387" w:type="dxa"/>
            <w:tcBorders>
              <w:top w:val="single" w:color="auto" w:sz="12" w:space="0"/>
              <w:left w:val="nil"/>
              <w:bottom w:val="nil"/>
              <w:right w:val="nil"/>
            </w:tcBorders>
            <w:tcMar>
              <w:top w:w="-1" w:type="dxa"/>
              <w:left w:w="-1" w:type="dxa"/>
              <w:bottom w:w="-1" w:type="dxa"/>
              <w:right w:w="-1" w:type="dxa"/>
            </w:tcMar>
            <w:vAlign w:val="center"/>
          </w:tcPr>
          <w:p w14:paraId="5D986AB1">
            <w:pPr>
              <w:wordWrap w:val="0"/>
              <w:snapToGrid w:val="0"/>
              <w:spacing w:line="240" w:lineRule="auto"/>
              <w:jc w:val="center"/>
              <w:outlineLvl w:val="1"/>
              <w:rPr>
                <w:rFonts w:hint="eastAsia" w:ascii="宋体" w:hAnsi="宋体" w:cs="宋体"/>
                <w:b/>
                <w:szCs w:val="21"/>
              </w:rPr>
            </w:pPr>
            <w:r>
              <w:rPr>
                <w:rFonts w:hint="eastAsia" w:ascii="宋体" w:hAnsi="宋体" w:cs="宋体"/>
                <w:b/>
                <w:szCs w:val="21"/>
              </w:rPr>
              <w:t>时间</w:t>
            </w:r>
          </w:p>
        </w:tc>
        <w:tc>
          <w:tcPr>
            <w:tcW w:w="5728" w:type="dxa"/>
            <w:tcBorders>
              <w:top w:val="single" w:color="auto" w:sz="12" w:space="0"/>
              <w:left w:val="nil"/>
              <w:bottom w:val="nil"/>
              <w:right w:val="nil"/>
            </w:tcBorders>
            <w:tcMar>
              <w:top w:w="-1" w:type="dxa"/>
              <w:left w:w="-1" w:type="dxa"/>
              <w:bottom w:w="-1" w:type="dxa"/>
              <w:right w:w="-1" w:type="dxa"/>
            </w:tcMar>
            <w:vAlign w:val="center"/>
          </w:tcPr>
          <w:p w14:paraId="3B41DE78">
            <w:pPr>
              <w:wordWrap w:val="0"/>
              <w:snapToGrid w:val="0"/>
              <w:spacing w:line="240" w:lineRule="auto"/>
              <w:jc w:val="center"/>
              <w:outlineLvl w:val="1"/>
              <w:rPr>
                <w:rFonts w:hint="eastAsia" w:ascii="宋体" w:hAnsi="宋体" w:cs="宋体"/>
                <w:b/>
                <w:szCs w:val="21"/>
              </w:rPr>
            </w:pPr>
            <w:r>
              <w:rPr>
                <w:rFonts w:hint="eastAsia" w:ascii="宋体" w:hAnsi="宋体" w:cs="宋体"/>
                <w:b/>
                <w:szCs w:val="21"/>
              </w:rPr>
              <w:t>工作内容</w:t>
            </w:r>
          </w:p>
        </w:tc>
        <w:tc>
          <w:tcPr>
            <w:tcW w:w="1612" w:type="dxa"/>
            <w:tcBorders>
              <w:top w:val="single" w:color="auto" w:sz="12" w:space="0"/>
              <w:left w:val="nil"/>
              <w:bottom w:val="nil"/>
              <w:right w:val="nil"/>
            </w:tcBorders>
            <w:tcMar>
              <w:top w:w="-1" w:type="dxa"/>
              <w:left w:w="-1" w:type="dxa"/>
              <w:bottom w:w="-1" w:type="dxa"/>
              <w:right w:w="-1" w:type="dxa"/>
            </w:tcMar>
            <w:vAlign w:val="center"/>
          </w:tcPr>
          <w:p w14:paraId="69007716">
            <w:pPr>
              <w:wordWrap w:val="0"/>
              <w:snapToGrid w:val="0"/>
              <w:spacing w:line="240" w:lineRule="auto"/>
              <w:jc w:val="center"/>
              <w:outlineLvl w:val="1"/>
              <w:rPr>
                <w:rFonts w:hint="eastAsia" w:ascii="宋体" w:hAnsi="宋体" w:cs="宋体"/>
                <w:b/>
                <w:szCs w:val="21"/>
              </w:rPr>
            </w:pPr>
            <w:r>
              <w:rPr>
                <w:rFonts w:hint="eastAsia" w:ascii="宋体" w:hAnsi="宋体" w:cs="宋体"/>
                <w:b/>
                <w:szCs w:val="21"/>
              </w:rPr>
              <w:t>预期成果</w:t>
            </w:r>
          </w:p>
        </w:tc>
      </w:tr>
      <w:tr w14:paraId="03239D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44" w:type="dxa"/>
            <w:tcBorders>
              <w:top w:val="single" w:color="auto" w:sz="4" w:space="0"/>
              <w:left w:val="nil"/>
              <w:bottom w:val="nil"/>
              <w:right w:val="nil"/>
            </w:tcBorders>
            <w:tcMar>
              <w:top w:w="-1" w:type="dxa"/>
              <w:left w:w="-1" w:type="dxa"/>
              <w:bottom w:w="-1" w:type="dxa"/>
              <w:right w:w="-1" w:type="dxa"/>
            </w:tcMar>
            <w:vAlign w:val="center"/>
          </w:tcPr>
          <w:p w14:paraId="69336C5E">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一</w:t>
            </w:r>
          </w:p>
        </w:tc>
        <w:tc>
          <w:tcPr>
            <w:tcW w:w="1387" w:type="dxa"/>
            <w:tcBorders>
              <w:top w:val="single" w:color="auto" w:sz="4" w:space="0"/>
              <w:left w:val="nil"/>
              <w:bottom w:val="nil"/>
              <w:right w:val="nil"/>
            </w:tcBorders>
            <w:tcMar>
              <w:top w:w="-1" w:type="dxa"/>
              <w:left w:w="-1" w:type="dxa"/>
              <w:bottom w:w="-1" w:type="dxa"/>
              <w:right w:w="-1" w:type="dxa"/>
            </w:tcMar>
            <w:vAlign w:val="center"/>
          </w:tcPr>
          <w:p w14:paraId="74D13101">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第1-3月</w:t>
            </w:r>
          </w:p>
        </w:tc>
        <w:tc>
          <w:tcPr>
            <w:tcW w:w="5728" w:type="dxa"/>
            <w:tcBorders>
              <w:top w:val="single" w:color="auto" w:sz="4" w:space="0"/>
              <w:left w:val="nil"/>
              <w:bottom w:val="nil"/>
              <w:right w:val="nil"/>
            </w:tcBorders>
            <w:tcMar>
              <w:top w:w="-1" w:type="dxa"/>
              <w:left w:w="-1" w:type="dxa"/>
              <w:bottom w:w="-1" w:type="dxa"/>
              <w:right w:w="-1" w:type="dxa"/>
            </w:tcMar>
            <w:vAlign w:val="center"/>
          </w:tcPr>
          <w:p w14:paraId="1851F1EB">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完善扩展式博弈引擎（SPNE反向归纳求解器优化、博弈树自动构建），开发复制者动态模拟器，数据集质量校验与人工抽检，端到端管道联调</w:t>
            </w:r>
          </w:p>
        </w:tc>
        <w:tc>
          <w:tcPr>
            <w:tcW w:w="1612" w:type="dxa"/>
            <w:tcBorders>
              <w:top w:val="single" w:color="auto" w:sz="4" w:space="0"/>
              <w:left w:val="nil"/>
              <w:bottom w:val="nil"/>
              <w:right w:val="nil"/>
            </w:tcBorders>
            <w:tcMar>
              <w:top w:w="-1" w:type="dxa"/>
              <w:left w:w="-1" w:type="dxa"/>
              <w:bottom w:w="-1" w:type="dxa"/>
              <w:right w:w="-1" w:type="dxa"/>
            </w:tcMar>
            <w:vAlign w:val="center"/>
          </w:tcPr>
          <w:p w14:paraId="1ABA9645">
            <w:pPr>
              <w:wordWrap w:val="0"/>
              <w:snapToGrid w:val="0"/>
              <w:spacing w:line="240" w:lineRule="auto"/>
              <w:ind w:right="-57"/>
              <w:jc w:val="left"/>
              <w:outlineLvl w:val="1"/>
              <w:rPr>
                <w:rFonts w:hint="eastAsia" w:ascii="宋体" w:hAnsi="宋体" w:cs="宋体"/>
                <w:bCs/>
                <w:szCs w:val="21"/>
              </w:rPr>
            </w:pPr>
            <w:r>
              <w:rPr>
                <w:rFonts w:hint="eastAsia" w:ascii="宋体" w:hAnsi="宋体" w:cs="宋体"/>
                <w:bCs/>
                <w:szCs w:val="21"/>
              </w:rPr>
              <w:t>博弈引擎v2.0 + 数据集v1.1</w:t>
            </w:r>
          </w:p>
        </w:tc>
      </w:tr>
      <w:tr w14:paraId="5CB5E6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44" w:type="dxa"/>
            <w:tcBorders>
              <w:top w:val="nil"/>
              <w:left w:val="nil"/>
              <w:bottom w:val="nil"/>
              <w:right w:val="nil"/>
            </w:tcBorders>
            <w:tcMar>
              <w:top w:w="-1" w:type="dxa"/>
              <w:left w:w="-1" w:type="dxa"/>
              <w:bottom w:w="-1" w:type="dxa"/>
              <w:right w:w="-1" w:type="dxa"/>
            </w:tcMar>
            <w:vAlign w:val="center"/>
          </w:tcPr>
          <w:p w14:paraId="084ACADE">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二</w:t>
            </w:r>
          </w:p>
        </w:tc>
        <w:tc>
          <w:tcPr>
            <w:tcW w:w="1387" w:type="dxa"/>
            <w:tcBorders>
              <w:top w:val="nil"/>
              <w:left w:val="nil"/>
              <w:bottom w:val="nil"/>
              <w:right w:val="nil"/>
            </w:tcBorders>
            <w:tcMar>
              <w:top w:w="-1" w:type="dxa"/>
              <w:left w:w="-1" w:type="dxa"/>
              <w:bottom w:w="-1" w:type="dxa"/>
              <w:right w:w="-1" w:type="dxa"/>
            </w:tcMar>
            <w:vAlign w:val="center"/>
          </w:tcPr>
          <w:p w14:paraId="38554D2A">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第4-7月</w:t>
            </w:r>
          </w:p>
        </w:tc>
        <w:tc>
          <w:tcPr>
            <w:tcW w:w="5728" w:type="dxa"/>
            <w:tcBorders>
              <w:top w:val="nil"/>
              <w:left w:val="nil"/>
              <w:bottom w:val="nil"/>
              <w:right w:val="nil"/>
            </w:tcBorders>
            <w:tcMar>
              <w:top w:w="-1" w:type="dxa"/>
              <w:left w:w="-1" w:type="dxa"/>
              <w:bottom w:w="-1" w:type="dxa"/>
              <w:right w:w="-1" w:type="dxa"/>
            </w:tcMar>
            <w:vAlign w:val="center"/>
          </w:tcPr>
          <w:p w14:paraId="3B7E1CAA">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在1000条测试案件上运行核心对照实验（步骤一：收益矩阵构建 + SPNE vs NE对照 + 步骤完整实验数据二：ESS稳定性验证），完成博弈锦标赛全部轮次</w:t>
            </w:r>
          </w:p>
        </w:tc>
        <w:tc>
          <w:tcPr>
            <w:tcW w:w="1612" w:type="dxa"/>
            <w:tcBorders>
              <w:top w:val="nil"/>
              <w:left w:val="nil"/>
              <w:bottom w:val="nil"/>
              <w:right w:val="nil"/>
            </w:tcBorders>
            <w:tcMar>
              <w:top w:w="-1" w:type="dxa"/>
              <w:left w:w="-1" w:type="dxa"/>
              <w:bottom w:w="-1" w:type="dxa"/>
              <w:right w:w="-1" w:type="dxa"/>
            </w:tcMar>
            <w:vAlign w:val="center"/>
          </w:tcPr>
          <w:p w14:paraId="701E7D32">
            <w:pPr>
              <w:wordWrap w:val="0"/>
              <w:snapToGrid w:val="0"/>
              <w:spacing w:line="240" w:lineRule="auto"/>
              <w:jc w:val="left"/>
              <w:outlineLvl w:val="1"/>
              <w:rPr>
                <w:rFonts w:hint="eastAsia" w:ascii="宋体" w:hAnsi="宋体" w:cs="宋体"/>
                <w:bCs/>
                <w:szCs w:val="21"/>
              </w:rPr>
            </w:pPr>
            <w:r>
              <w:rPr>
                <w:rFonts w:hint="eastAsia" w:ascii="宋体" w:hAnsi="宋体" w:cs="宋体"/>
                <w:bCs/>
                <w:szCs w:val="21"/>
              </w:rPr>
              <w:t>完整实验数据</w:t>
            </w:r>
          </w:p>
        </w:tc>
      </w:tr>
      <w:tr w14:paraId="47A077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44" w:type="dxa"/>
            <w:tcBorders>
              <w:top w:val="nil"/>
              <w:left w:val="nil"/>
              <w:bottom w:val="nil"/>
              <w:right w:val="nil"/>
            </w:tcBorders>
            <w:tcMar>
              <w:top w:w="-1" w:type="dxa"/>
              <w:left w:w="-1" w:type="dxa"/>
              <w:bottom w:w="-1" w:type="dxa"/>
              <w:right w:w="-1" w:type="dxa"/>
            </w:tcMar>
            <w:vAlign w:val="center"/>
          </w:tcPr>
          <w:p w14:paraId="495474A7">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三</w:t>
            </w:r>
          </w:p>
        </w:tc>
        <w:tc>
          <w:tcPr>
            <w:tcW w:w="1387" w:type="dxa"/>
            <w:tcBorders>
              <w:top w:val="nil"/>
              <w:left w:val="nil"/>
              <w:bottom w:val="nil"/>
              <w:right w:val="nil"/>
            </w:tcBorders>
            <w:tcMar>
              <w:top w:w="-1" w:type="dxa"/>
              <w:left w:w="-1" w:type="dxa"/>
              <w:bottom w:w="-1" w:type="dxa"/>
              <w:right w:w="-1" w:type="dxa"/>
            </w:tcMar>
            <w:vAlign w:val="center"/>
          </w:tcPr>
          <w:p w14:paraId="480BFAD7">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第8-10月</w:t>
            </w:r>
          </w:p>
        </w:tc>
        <w:tc>
          <w:tcPr>
            <w:tcW w:w="5728" w:type="dxa"/>
            <w:tcBorders>
              <w:top w:val="nil"/>
              <w:left w:val="nil"/>
              <w:bottom w:val="nil"/>
              <w:right w:val="nil"/>
            </w:tcBorders>
            <w:tcMar>
              <w:top w:w="-1" w:type="dxa"/>
              <w:left w:w="-1" w:type="dxa"/>
              <w:bottom w:w="-1" w:type="dxa"/>
              <w:right w:w="-1" w:type="dxa"/>
            </w:tcMar>
            <w:vAlign w:val="center"/>
          </w:tcPr>
          <w:p w14:paraId="0EA2F196">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实验数据分析（按案由分组的均衡比较、演化收敛性分析），理论凝练，论文撰写</w:t>
            </w:r>
          </w:p>
        </w:tc>
        <w:tc>
          <w:tcPr>
            <w:tcW w:w="1612" w:type="dxa"/>
            <w:tcBorders>
              <w:top w:val="nil"/>
              <w:left w:val="nil"/>
              <w:bottom w:val="nil"/>
              <w:right w:val="nil"/>
            </w:tcBorders>
            <w:tcMar>
              <w:top w:w="-1" w:type="dxa"/>
              <w:left w:w="-1" w:type="dxa"/>
              <w:bottom w:w="-1" w:type="dxa"/>
              <w:right w:w="-1" w:type="dxa"/>
            </w:tcMar>
            <w:vAlign w:val="center"/>
          </w:tcPr>
          <w:p w14:paraId="1C1AB50D">
            <w:pPr>
              <w:wordWrap w:val="0"/>
              <w:snapToGrid w:val="0"/>
              <w:spacing w:line="240" w:lineRule="auto"/>
              <w:jc w:val="left"/>
              <w:outlineLvl w:val="1"/>
              <w:rPr>
                <w:rFonts w:hint="eastAsia" w:ascii="宋体" w:hAnsi="宋体" w:cs="宋体"/>
                <w:bCs/>
                <w:szCs w:val="21"/>
              </w:rPr>
            </w:pPr>
            <w:r>
              <w:rPr>
                <w:rFonts w:hint="eastAsia" w:ascii="宋体" w:hAnsi="宋体" w:cs="宋体"/>
                <w:bCs/>
                <w:szCs w:val="21"/>
              </w:rPr>
              <w:t>论文初稿（挂 arxiv预印本）</w:t>
            </w:r>
          </w:p>
        </w:tc>
      </w:tr>
      <w:tr w14:paraId="5812C8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44" w:type="dxa"/>
            <w:tcBorders>
              <w:top w:val="nil"/>
              <w:left w:val="nil"/>
              <w:bottom w:val="single" w:color="auto" w:sz="12" w:space="0"/>
              <w:right w:val="nil"/>
            </w:tcBorders>
            <w:tcMar>
              <w:top w:w="-1" w:type="dxa"/>
              <w:left w:w="-1" w:type="dxa"/>
              <w:bottom w:w="-1" w:type="dxa"/>
              <w:right w:w="-1" w:type="dxa"/>
            </w:tcMar>
            <w:vAlign w:val="center"/>
          </w:tcPr>
          <w:p w14:paraId="7227C43A">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四</w:t>
            </w:r>
          </w:p>
        </w:tc>
        <w:tc>
          <w:tcPr>
            <w:tcW w:w="1387" w:type="dxa"/>
            <w:tcBorders>
              <w:top w:val="nil"/>
              <w:left w:val="nil"/>
              <w:bottom w:val="single" w:color="auto" w:sz="12" w:space="0"/>
              <w:right w:val="nil"/>
            </w:tcBorders>
            <w:tcMar>
              <w:top w:w="-1" w:type="dxa"/>
              <w:left w:w="-1" w:type="dxa"/>
              <w:bottom w:w="-1" w:type="dxa"/>
              <w:right w:w="-1" w:type="dxa"/>
            </w:tcMar>
            <w:vAlign w:val="center"/>
          </w:tcPr>
          <w:p w14:paraId="7A9FE26C">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第11-12月</w:t>
            </w:r>
          </w:p>
        </w:tc>
        <w:tc>
          <w:tcPr>
            <w:tcW w:w="5728" w:type="dxa"/>
            <w:tcBorders>
              <w:top w:val="nil"/>
              <w:left w:val="nil"/>
              <w:bottom w:val="single" w:color="auto" w:sz="12" w:space="0"/>
              <w:right w:val="nil"/>
            </w:tcBorders>
            <w:tcMar>
              <w:top w:w="-1" w:type="dxa"/>
              <w:left w:w="-1" w:type="dxa"/>
              <w:bottom w:w="-1" w:type="dxa"/>
              <w:right w:w="-1" w:type="dxa"/>
            </w:tcMar>
            <w:vAlign w:val="center"/>
          </w:tcPr>
          <w:p w14:paraId="62BE4517">
            <w:pPr>
              <w:wordWrap w:val="0"/>
              <w:snapToGrid w:val="0"/>
              <w:spacing w:line="240" w:lineRule="auto"/>
              <w:jc w:val="center"/>
              <w:outlineLvl w:val="1"/>
              <w:rPr>
                <w:rFonts w:hint="eastAsia" w:ascii="宋体" w:hAnsi="宋体" w:cs="宋体"/>
                <w:bCs/>
                <w:szCs w:val="21"/>
              </w:rPr>
            </w:pPr>
            <w:r>
              <w:rPr>
                <w:rFonts w:hint="eastAsia" w:ascii="宋体" w:hAnsi="宋体" w:cs="宋体"/>
                <w:bCs/>
                <w:szCs w:val="21"/>
              </w:rPr>
              <w:t>论文修改与投稿，系统开源准备，结题汇报</w:t>
            </w:r>
          </w:p>
        </w:tc>
        <w:tc>
          <w:tcPr>
            <w:tcW w:w="1612" w:type="dxa"/>
            <w:tcBorders>
              <w:top w:val="nil"/>
              <w:left w:val="nil"/>
              <w:bottom w:val="single" w:color="auto" w:sz="12" w:space="0"/>
              <w:right w:val="nil"/>
            </w:tcBorders>
            <w:tcMar>
              <w:top w:w="-1" w:type="dxa"/>
              <w:left w:w="-1" w:type="dxa"/>
              <w:bottom w:w="-1" w:type="dxa"/>
              <w:right w:w="-1" w:type="dxa"/>
            </w:tcMar>
            <w:vAlign w:val="center"/>
          </w:tcPr>
          <w:p w14:paraId="386D66F0">
            <w:pPr>
              <w:wordWrap w:val="0"/>
              <w:snapToGrid w:val="0"/>
              <w:spacing w:line="240" w:lineRule="auto"/>
              <w:jc w:val="left"/>
              <w:outlineLvl w:val="1"/>
              <w:rPr>
                <w:rFonts w:hint="eastAsia" w:ascii="宋体" w:hAnsi="宋体" w:cs="宋体"/>
                <w:bCs/>
                <w:szCs w:val="21"/>
              </w:rPr>
            </w:pPr>
            <w:r>
              <w:rPr>
                <w:rFonts w:hint="eastAsia" w:ascii="宋体" w:hAnsi="宋体" w:cs="宋体"/>
                <w:bCs/>
                <w:szCs w:val="21"/>
              </w:rPr>
              <w:t>投稿 + 结题报告</w:t>
            </w:r>
          </w:p>
        </w:tc>
      </w:tr>
    </w:tbl>
    <w:p w14:paraId="639068EA">
      <w:pPr>
        <w:wordWrap w:val="0"/>
        <w:spacing w:line="360" w:lineRule="auto"/>
        <w:ind w:right="-57"/>
        <w:jc w:val="center"/>
        <w:outlineLvl w:val="1"/>
        <w:rPr>
          <w:rFonts w:hint="eastAsia" w:ascii="宋体" w:hAnsi="宋体" w:cs="宋体"/>
          <w:bCs/>
          <w:szCs w:val="21"/>
        </w:rPr>
      </w:pPr>
      <w:r>
        <w:rPr>
          <w:rFonts w:hint="eastAsia" w:ascii="宋体" w:hAnsi="宋体" w:cs="宋体"/>
          <w:bCs/>
          <w:szCs w:val="21"/>
        </w:rPr>
        <w:t>表2研究进度安排</w:t>
      </w:r>
    </w:p>
    <w:p w14:paraId="3615D7F0">
      <w:pPr>
        <w:numPr>
          <w:ilvl w:val="0"/>
          <w:numId w:val="6"/>
        </w:numPr>
        <w:wordWrap w:val="0"/>
        <w:spacing w:line="240" w:lineRule="auto"/>
        <w:ind w:right="-57"/>
        <w:outlineLvl w:val="1"/>
        <w:rPr>
          <w:rFonts w:hint="eastAsia" w:ascii="宋体" w:hAnsi="宋体" w:cs="宋体"/>
          <w:bCs/>
          <w:szCs w:val="21"/>
        </w:rPr>
      </w:pPr>
      <w:r>
        <w:rPr>
          <w:rFonts w:hint="eastAsia" w:ascii="宋体" w:hAnsi="宋体" w:cs="宋体"/>
          <w:bCs/>
          <w:szCs w:val="21"/>
        </w:rPr>
        <w:t>可行性分析</w:t>
      </w:r>
    </w:p>
    <w:p w14:paraId="7F09E07C">
      <w:pPr>
        <w:wordWrap w:val="0"/>
        <w:spacing w:line="360" w:lineRule="exact"/>
        <w:ind w:right="-57"/>
        <w:outlineLvl w:val="1"/>
        <w:rPr>
          <w:rFonts w:hint="eastAsia" w:ascii="宋体" w:hAnsi="宋体" w:cs="宋体"/>
          <w:bCs/>
          <w:szCs w:val="21"/>
        </w:rPr>
      </w:pPr>
      <w:r>
        <w:rPr>
          <w:rFonts w:hint="eastAsia" w:ascii="宋体" w:hAnsi="宋体" w:cs="宋体"/>
          <w:bCs/>
          <w:szCs w:val="21"/>
        </w:rPr>
        <w:t>7.1技术可行性</w:t>
      </w:r>
    </w:p>
    <w:p w14:paraId="38F5EE22">
      <w:pPr>
        <w:keepNext w:val="0"/>
        <w:keepLines w:val="0"/>
        <w:pageBreakBefore w:val="0"/>
        <w:widowControl w:val="0"/>
        <w:kinsoku/>
        <w:wordWrap w:val="0"/>
        <w:overflowPunct/>
        <w:topLinePunct w:val="0"/>
        <w:autoSpaceDE/>
        <w:autoSpaceDN/>
        <w:bidi w:val="0"/>
        <w:adjustRightInd w:val="0"/>
        <w:snapToGrid/>
        <w:spacing w:line="360" w:lineRule="exact"/>
        <w:ind w:left="425" w:right="0" w:firstLine="420" w:firstLineChars="200"/>
        <w:textAlignment w:val="baseline"/>
        <w:outlineLvl w:val="1"/>
        <w:rPr>
          <w:rFonts w:hint="eastAsia" w:ascii="宋体" w:hAnsi="宋体" w:cs="宋体"/>
          <w:bCs/>
          <w:szCs w:val="21"/>
        </w:rPr>
      </w:pPr>
      <w:r>
        <w:rPr>
          <w:rFonts w:hint="eastAsia" w:ascii="宋体" w:hAnsi="宋体" w:cs="宋体"/>
          <w:bCs/>
          <w:szCs w:val="21"/>
        </w:rPr>
        <w:t>系统核心模块已全部开发完成（28个功能Python模块、65个FastAPI端点），四角色智能体和CD→DD→CI管道已实现端到端贯通，支持多模型运行时切换，法条检索索引已构建就绪。</w:t>
      </w:r>
    </w:p>
    <w:p w14:paraId="4DBD5635">
      <w:pPr>
        <w:keepNext w:val="0"/>
        <w:keepLines w:val="0"/>
        <w:pageBreakBefore w:val="0"/>
        <w:widowControl w:val="0"/>
        <w:kinsoku/>
        <w:wordWrap w:val="0"/>
        <w:overflowPunct/>
        <w:topLinePunct w:val="0"/>
        <w:autoSpaceDE/>
        <w:autoSpaceDN/>
        <w:bidi w:val="0"/>
        <w:adjustRightInd w:val="0"/>
        <w:snapToGrid/>
        <w:spacing w:line="360" w:lineRule="exact"/>
        <w:ind w:left="425" w:right="0" w:firstLine="420" w:firstLineChars="200"/>
        <w:textAlignment w:val="baseline"/>
        <w:outlineLvl w:val="1"/>
        <w:rPr>
          <w:rFonts w:hint="eastAsia" w:ascii="宋体" w:hAnsi="宋体" w:cs="宋体"/>
          <w:bCs/>
          <w:szCs w:val="21"/>
        </w:rPr>
      </w:pPr>
      <w:r>
        <w:rPr>
          <w:rFonts w:hint="eastAsia" w:ascii="宋体" w:hAnsi="宋体" w:cs="宋体"/>
          <w:bCs/>
          <w:szCs w:val="21"/>
        </w:rPr>
        <w:t>扩展式博弈的SPNE求解基于反向归纳法实现，在5×5策略空间下计算复杂度可控（博弈树共25个终端节点）。复制者动态方程的数值模拟为标准常微分方程求解，不涉及高性能计算需求。</w:t>
      </w:r>
    </w:p>
    <w:p w14:paraId="73A11082">
      <w:pPr>
        <w:wordWrap w:val="0"/>
        <w:spacing w:line="360" w:lineRule="exact"/>
        <w:ind w:right="-57"/>
        <w:outlineLvl w:val="1"/>
        <w:rPr>
          <w:rFonts w:hint="eastAsia" w:ascii="宋体" w:hAnsi="宋体" w:cs="宋体"/>
          <w:bCs/>
          <w:szCs w:val="21"/>
        </w:rPr>
      </w:pPr>
      <w:r>
        <w:rPr>
          <w:rFonts w:hint="eastAsia" w:ascii="宋体" w:hAnsi="宋体" w:cs="宋体"/>
          <w:bCs/>
          <w:szCs w:val="21"/>
        </w:rPr>
        <w:t>7.2数据可行性</w:t>
      </w:r>
    </w:p>
    <w:p w14:paraId="05034297">
      <w:pPr>
        <w:keepNext w:val="0"/>
        <w:keepLines w:val="0"/>
        <w:pageBreakBefore w:val="0"/>
        <w:widowControl w:val="0"/>
        <w:kinsoku/>
        <w:wordWrap w:val="0"/>
        <w:overflowPunct/>
        <w:topLinePunct w:val="0"/>
        <w:autoSpaceDE/>
        <w:autoSpaceDN/>
        <w:bidi w:val="0"/>
        <w:adjustRightInd w:val="0"/>
        <w:snapToGrid/>
        <w:spacing w:line="360" w:lineRule="exact"/>
        <w:ind w:left="158" w:leftChars="75" w:right="0" w:firstLine="420" w:firstLineChars="200"/>
        <w:textAlignment w:val="baseline"/>
        <w:outlineLvl w:val="1"/>
        <w:rPr>
          <w:rFonts w:hint="eastAsia" w:ascii="宋体" w:hAnsi="宋体" w:cs="宋体"/>
          <w:bCs/>
          <w:szCs w:val="21"/>
        </w:rPr>
      </w:pPr>
      <w:r>
        <w:rPr>
          <w:rFonts w:hint="eastAsia" w:ascii="宋体" w:hAnsi="宋体" w:cs="宋体"/>
          <w:bCs/>
          <w:szCs w:val="21"/>
        </w:rPr>
        <w:t>LegalFlow-1K数据集已构建完成，源自ClaimGen-CN真实判决书，其中CD场景数据直接来源于真实判决书，DD/CI场景数据基于规则引擎生成多角色对抗结构化衍生字段，后续阶段将结合人工校验和法律专家标注进一步提升质量。</w:t>
      </w:r>
    </w:p>
    <w:p w14:paraId="691E5BF7">
      <w:pPr>
        <w:wordWrap w:val="0"/>
        <w:spacing w:line="360" w:lineRule="exact"/>
        <w:ind w:right="-57"/>
        <w:outlineLvl w:val="1"/>
        <w:rPr>
          <w:rFonts w:hint="eastAsia" w:ascii="宋体" w:hAnsi="宋体" w:cs="宋体"/>
          <w:bCs/>
          <w:szCs w:val="21"/>
        </w:rPr>
      </w:pPr>
      <w:r>
        <w:rPr>
          <w:rFonts w:hint="eastAsia" w:ascii="宋体" w:hAnsi="宋体" w:cs="宋体"/>
          <w:bCs/>
          <w:szCs w:val="21"/>
        </w:rPr>
        <w:t>7.3风险控制</w:t>
      </w:r>
    </w:p>
    <w:p w14:paraId="4CBB0D03">
      <w:pPr>
        <w:keepNext w:val="0"/>
        <w:keepLines w:val="0"/>
        <w:pageBreakBefore w:val="0"/>
        <w:widowControl w:val="0"/>
        <w:numPr>
          <w:ilvl w:val="0"/>
          <w:numId w:val="10"/>
        </w:numPr>
        <w:kinsoku/>
        <w:wordWrap w:val="0"/>
        <w:overflowPunct/>
        <w:topLinePunct w:val="0"/>
        <w:autoSpaceDE/>
        <w:autoSpaceDN/>
        <w:bidi w:val="0"/>
        <w:adjustRightInd w:val="0"/>
        <w:snapToGrid/>
        <w:spacing w:line="360" w:lineRule="exact"/>
        <w:ind w:left="425" w:right="0" w:firstLine="420" w:firstLineChars="200"/>
        <w:textAlignment w:val="baseline"/>
        <w:outlineLvl w:val="1"/>
        <w:rPr>
          <w:rFonts w:hint="eastAsia" w:ascii="宋体" w:hAnsi="宋体" w:cs="宋体"/>
          <w:bCs/>
          <w:szCs w:val="21"/>
        </w:rPr>
      </w:pPr>
      <w:r>
        <w:rPr>
          <w:rFonts w:hint="eastAsia" w:ascii="宋体" w:hAnsi="宋体" w:cs="宋体"/>
          <w:bCs/>
          <w:szCs w:val="21"/>
        </w:rPr>
        <w:t>LLM API采用多供应商切换策略（DeepSeek-V3为主、GPT-4o为辅），降低单一供应商服务中断风险；</w:t>
      </w:r>
    </w:p>
    <w:p w14:paraId="3EEF16B7">
      <w:pPr>
        <w:keepNext w:val="0"/>
        <w:keepLines w:val="0"/>
        <w:pageBreakBefore w:val="0"/>
        <w:widowControl w:val="0"/>
        <w:numPr>
          <w:ilvl w:val="0"/>
          <w:numId w:val="10"/>
        </w:numPr>
        <w:kinsoku/>
        <w:wordWrap w:val="0"/>
        <w:overflowPunct/>
        <w:topLinePunct w:val="0"/>
        <w:autoSpaceDE/>
        <w:autoSpaceDN/>
        <w:bidi w:val="0"/>
        <w:adjustRightInd w:val="0"/>
        <w:snapToGrid/>
        <w:spacing w:line="360" w:lineRule="exact"/>
        <w:ind w:left="425" w:right="0" w:firstLine="420" w:firstLineChars="200"/>
        <w:textAlignment w:val="baseline"/>
        <w:outlineLvl w:val="1"/>
        <w:rPr>
          <w:rFonts w:hint="eastAsia" w:ascii="宋体" w:hAnsi="宋体" w:cs="宋体"/>
          <w:bCs/>
          <w:szCs w:val="21"/>
        </w:rPr>
      </w:pPr>
      <w:r>
        <w:rPr>
          <w:rFonts w:hint="eastAsia" w:ascii="宋体" w:hAnsi="宋体" w:cs="宋体"/>
          <w:bCs/>
          <w:szCs w:val="21"/>
        </w:rPr>
        <w:t>先验收益矩阵基于AgentMediation经验数据构建，减少博弈锦标赛冷启动成本；</w:t>
      </w:r>
    </w:p>
    <w:p w14:paraId="75473029">
      <w:pPr>
        <w:keepNext w:val="0"/>
        <w:keepLines w:val="0"/>
        <w:pageBreakBefore w:val="0"/>
        <w:widowControl w:val="0"/>
        <w:numPr>
          <w:ilvl w:val="0"/>
          <w:numId w:val="10"/>
        </w:numPr>
        <w:kinsoku/>
        <w:wordWrap w:val="0"/>
        <w:overflowPunct/>
        <w:topLinePunct w:val="0"/>
        <w:autoSpaceDE/>
        <w:autoSpaceDN/>
        <w:bidi w:val="0"/>
        <w:adjustRightInd w:val="0"/>
        <w:snapToGrid/>
        <w:spacing w:line="360" w:lineRule="exact"/>
        <w:ind w:left="425" w:right="0" w:firstLine="420" w:firstLineChars="200"/>
        <w:textAlignment w:val="baseline"/>
        <w:outlineLvl w:val="1"/>
        <w:rPr>
          <w:rFonts w:hint="eastAsia" w:ascii="宋体" w:hAnsi="宋体" w:cs="宋体"/>
          <w:bCs/>
          <w:szCs w:val="21"/>
        </w:rPr>
      </w:pPr>
      <w:r>
        <w:rPr>
          <w:rFonts w:hint="eastAsia" w:ascii="宋体" w:hAnsi="宋体" w:cs="宋体"/>
          <w:bCs/>
          <w:szCs w:val="21"/>
        </w:rPr>
        <w:t>收益评估采用双路校验机制——关键因变量（原告胜率、法条召回率、程序合规分）均设有基于ground truth或确定性规则的独立校验指标（诉请支持率按裁判文书原文计算、法条Recall按标准答案法条集计算、PFS按状态机必经步骤完成比例计算），LLM评分仅用于难以规则化的主观维度（论证流畅度、说理充分性），偏差超阈值触发人工复核。</w:t>
      </w:r>
    </w:p>
    <w:p w14:paraId="470F9240">
      <w:pPr>
        <w:wordWrap w:val="0"/>
        <w:spacing w:line="360" w:lineRule="exact"/>
        <w:ind w:right="-57"/>
        <w:outlineLvl w:val="1"/>
        <w:rPr>
          <w:rFonts w:hint="eastAsia" w:ascii="宋体" w:hAnsi="宋体" w:cs="宋体"/>
          <w:bCs/>
          <w:szCs w:val="21"/>
        </w:rPr>
      </w:pPr>
      <w:r>
        <w:rPr>
          <w:rFonts w:hint="eastAsia" w:ascii="宋体" w:hAnsi="宋体" w:cs="宋体"/>
          <w:bCs/>
          <w:szCs w:val="21"/>
        </w:rPr>
        <w:t>7.4局限性与伦理声明</w:t>
      </w:r>
    </w:p>
    <w:p w14:paraId="3B6A76BE">
      <w:pPr>
        <w:keepNext w:val="0"/>
        <w:keepLines w:val="0"/>
        <w:pageBreakBefore w:val="0"/>
        <w:widowControl w:val="0"/>
        <w:kinsoku/>
        <w:wordWrap w:val="0"/>
        <w:overflowPunct/>
        <w:topLinePunct w:val="0"/>
        <w:autoSpaceDE/>
        <w:autoSpaceDN/>
        <w:bidi w:val="0"/>
        <w:adjustRightInd w:val="0"/>
        <w:snapToGrid/>
        <w:spacing w:line="360" w:lineRule="exact"/>
        <w:ind w:left="425" w:right="0" w:firstLine="420" w:firstLineChars="200"/>
        <w:textAlignment w:val="baseline"/>
        <w:outlineLvl w:val="1"/>
        <w:rPr>
          <w:rFonts w:hint="eastAsia" w:ascii="宋体" w:hAnsi="宋体" w:cs="宋体"/>
          <w:bCs/>
          <w:szCs w:val="21"/>
        </w:rPr>
      </w:pPr>
      <w:r>
        <w:rPr>
          <w:rFonts w:hint="eastAsia" w:ascii="宋体" w:hAnsi="宋体" w:cs="宋体"/>
          <w:bCs/>
          <w:szCs w:val="21"/>
        </w:rPr>
        <w:t>本研究存在以下局限性：</w:t>
      </w:r>
    </w:p>
    <w:p w14:paraId="7E5A3A86">
      <w:pPr>
        <w:keepNext w:val="0"/>
        <w:keepLines w:val="0"/>
        <w:pageBreakBefore w:val="0"/>
        <w:widowControl w:val="0"/>
        <w:numPr>
          <w:ilvl w:val="0"/>
          <w:numId w:val="11"/>
        </w:numPr>
        <w:kinsoku/>
        <w:wordWrap w:val="0"/>
        <w:overflowPunct/>
        <w:topLinePunct w:val="0"/>
        <w:autoSpaceDE/>
        <w:autoSpaceDN/>
        <w:bidi w:val="0"/>
        <w:adjustRightInd w:val="0"/>
        <w:snapToGrid/>
        <w:spacing w:line="360" w:lineRule="exact"/>
        <w:ind w:left="425" w:right="0" w:firstLine="420" w:firstLineChars="200"/>
        <w:textAlignment w:val="baseline"/>
        <w:outlineLvl w:val="1"/>
        <w:rPr>
          <w:rFonts w:hint="eastAsia" w:ascii="宋体" w:hAnsi="宋体" w:cs="宋体"/>
          <w:bCs/>
          <w:szCs w:val="21"/>
        </w:rPr>
      </w:pPr>
      <w:r>
        <w:rPr>
          <w:rFonts w:hint="eastAsia" w:ascii="宋体" w:hAnsi="宋体" w:cs="宋体"/>
          <w:bCs/>
          <w:szCs w:val="21"/>
        </w:rPr>
        <w:t>博弈建模采用完美信息假设作为一阶近似，真实诉讼中当事人存在私有信息，后续可扩展至贝叶斯博弈框架；</w:t>
      </w:r>
    </w:p>
    <w:p w14:paraId="66842F46">
      <w:pPr>
        <w:keepNext w:val="0"/>
        <w:keepLines w:val="0"/>
        <w:pageBreakBefore w:val="0"/>
        <w:widowControl w:val="0"/>
        <w:numPr>
          <w:ilvl w:val="0"/>
          <w:numId w:val="11"/>
        </w:numPr>
        <w:kinsoku/>
        <w:wordWrap w:val="0"/>
        <w:overflowPunct/>
        <w:topLinePunct w:val="0"/>
        <w:autoSpaceDE/>
        <w:autoSpaceDN/>
        <w:bidi w:val="0"/>
        <w:adjustRightInd w:val="0"/>
        <w:snapToGrid/>
        <w:spacing w:line="360" w:lineRule="exact"/>
        <w:ind w:left="425" w:right="0" w:firstLine="420" w:firstLineChars="200"/>
        <w:textAlignment w:val="baseline"/>
        <w:outlineLvl w:val="1"/>
        <w:rPr>
          <w:rFonts w:eastAsia="楷体_GB2312"/>
          <w:sz w:val="24"/>
          <w:szCs w:val="24"/>
        </w:rPr>
      </w:pPr>
      <w:r>
        <w:rPr>
          <w:rFonts w:hint="eastAsia" w:ascii="宋体" w:hAnsi="宋体" w:cs="宋体"/>
          <w:bCs/>
          <w:szCs w:val="21"/>
        </w:rPr>
        <w:t>收益函数中的权重系数（公式(3)）基于经验设定，后续将通过灵敏度分析验证其鲁棒性，并根据实验情况进行相应权重调整。</w:t>
      </w:r>
    </w:p>
    <w:p w14:paraId="78166F5C">
      <w:pPr>
        <w:keepNext w:val="0"/>
        <w:keepLines w:val="0"/>
        <w:pageBreakBefore w:val="0"/>
        <w:widowControl w:val="0"/>
        <w:numPr>
          <w:ilvl w:val="0"/>
          <w:numId w:val="11"/>
        </w:numPr>
        <w:kinsoku/>
        <w:wordWrap w:val="0"/>
        <w:overflowPunct/>
        <w:topLinePunct w:val="0"/>
        <w:autoSpaceDE/>
        <w:autoSpaceDN/>
        <w:bidi w:val="0"/>
        <w:adjustRightInd w:val="0"/>
        <w:snapToGrid/>
        <w:spacing w:line="360" w:lineRule="exact"/>
        <w:ind w:left="425" w:right="0" w:firstLine="420" w:firstLineChars="200"/>
        <w:textAlignment w:val="baseline"/>
        <w:outlineLvl w:val="1"/>
        <w:rPr>
          <w:rFonts w:eastAsia="楷体_GB2312"/>
          <w:sz w:val="24"/>
          <w:szCs w:val="24"/>
        </w:rPr>
      </w:pPr>
      <w:r>
        <w:rPr>
          <w:rFonts w:hint="eastAsia" w:ascii="宋体" w:hAnsi="宋体" w:cs="宋体"/>
          <w:bCs/>
          <w:szCs w:val="21"/>
        </w:rPr>
        <w:t>伦理方面：ClaimGen-CN数据源自中国裁判文书网公开判决书，不涉及非公开个人信息；系统生成的判决仅用于学术研究和法学教育模拟，不构成法律意见，系统界面将明确标注"仅供研究参考"免责声明。</w:t>
      </w:r>
      <w:r>
        <w:rPr>
          <w:rFonts w:eastAsia="黑体"/>
          <w:b/>
          <w:sz w:val="28"/>
          <w:szCs w:val="28"/>
        </w:rPr>
        <w:br w:type="page"/>
      </w:r>
      <w:r>
        <w:rPr>
          <w:rFonts w:eastAsia="黑体"/>
          <w:b/>
          <w:sz w:val="28"/>
          <w:szCs w:val="28"/>
        </w:rPr>
        <w:t>（</w:t>
      </w:r>
      <w:r>
        <w:rPr>
          <w:rFonts w:hint="eastAsia" w:eastAsia="黑体"/>
          <w:b/>
          <w:sz w:val="28"/>
          <w:szCs w:val="28"/>
        </w:rPr>
        <w:t>四</w:t>
      </w:r>
      <w:r>
        <w:rPr>
          <w:rFonts w:eastAsia="黑体"/>
          <w:b/>
          <w:sz w:val="28"/>
          <w:szCs w:val="28"/>
        </w:rPr>
        <w:t>）</w:t>
      </w:r>
      <w:r>
        <w:rPr>
          <w:rFonts w:hint="eastAsia" w:eastAsia="黑体"/>
          <w:b/>
          <w:sz w:val="28"/>
          <w:szCs w:val="28"/>
        </w:rPr>
        <w:t>预期结果</w:t>
      </w:r>
    </w:p>
    <w:p w14:paraId="0FBB21F3">
      <w:pPr>
        <w:keepNext w:val="0"/>
        <w:keepLines w:val="0"/>
        <w:pageBreakBefore w:val="0"/>
        <w:widowControl w:val="0"/>
        <w:numPr>
          <w:ilvl w:val="0"/>
          <w:numId w:val="12"/>
        </w:numPr>
        <w:kinsoku/>
        <w:wordWrap/>
        <w:overflowPunct/>
        <w:topLinePunct w:val="0"/>
        <w:autoSpaceDE/>
        <w:autoSpaceDN/>
        <w:bidi w:val="0"/>
        <w:adjustRightInd w:val="0"/>
        <w:snapToGrid/>
        <w:spacing w:line="360" w:lineRule="exact"/>
        <w:ind w:left="425" w:right="71" w:rightChars="34" w:firstLine="420" w:firstLineChars="200"/>
        <w:textAlignment w:val="baseline"/>
        <w:rPr>
          <w:rFonts w:hint="eastAsia" w:ascii="宋体" w:hAnsi="宋体" w:cs="宋体"/>
          <w:bCs/>
          <w:szCs w:val="21"/>
        </w:rPr>
      </w:pPr>
      <w:r>
        <w:rPr>
          <w:rFonts w:hint="eastAsia" w:ascii="宋体" w:hAnsi="宋体" w:cs="宋体"/>
          <w:bCs/>
          <w:szCs w:val="21"/>
        </w:rPr>
        <w:t>理论成果</w:t>
      </w:r>
    </w:p>
    <w:p w14:paraId="19120EC4">
      <w:pPr>
        <w:keepNext w:val="0"/>
        <w:keepLines w:val="0"/>
        <w:pageBreakBefore w:val="0"/>
        <w:widowControl w:val="0"/>
        <w:numPr>
          <w:ilvl w:val="0"/>
          <w:numId w:val="13"/>
        </w:numPr>
        <w:kinsoku/>
        <w:wordWrap/>
        <w:overflowPunct/>
        <w:topLinePunct w:val="0"/>
        <w:autoSpaceDE/>
        <w:autoSpaceDN/>
        <w:bidi w:val="0"/>
        <w:adjustRightInd w:val="0"/>
        <w:snapToGrid/>
        <w:spacing w:line="360" w:lineRule="exact"/>
        <w:ind w:left="425" w:right="71" w:rightChars="34" w:firstLine="420" w:firstLineChars="200"/>
        <w:textAlignment w:val="baseline"/>
        <w:rPr>
          <w:rFonts w:hint="eastAsia" w:ascii="宋体" w:hAnsi="宋体" w:cs="宋体"/>
          <w:bCs/>
          <w:szCs w:val="21"/>
        </w:rPr>
      </w:pPr>
      <w:r>
        <w:rPr>
          <w:rFonts w:hint="eastAsia" w:ascii="宋体" w:hAnsi="宋体" w:cs="宋体"/>
          <w:bCs/>
          <w:szCs w:val="21"/>
        </w:rPr>
        <w:t>通过1000条真实民事案件的系统性对照实验，实证验证SPNE相比传统NE在LLM多智能体模拟法庭中的策略预测优势，量化序贯建模在民间借贷、交通事故、劳动争议等不同案由类型上的预测精度差异，揭示策略跨阶段传导的具体机制；</w:t>
      </w:r>
    </w:p>
    <w:p w14:paraId="64CD447A">
      <w:pPr>
        <w:keepNext w:val="0"/>
        <w:keepLines w:val="0"/>
        <w:pageBreakBefore w:val="0"/>
        <w:widowControl w:val="0"/>
        <w:numPr>
          <w:ilvl w:val="0"/>
          <w:numId w:val="13"/>
        </w:numPr>
        <w:kinsoku/>
        <w:wordWrap/>
        <w:overflowPunct/>
        <w:topLinePunct w:val="0"/>
        <w:autoSpaceDE/>
        <w:autoSpaceDN/>
        <w:bidi w:val="0"/>
        <w:adjustRightInd w:val="0"/>
        <w:snapToGrid/>
        <w:spacing w:line="360" w:lineRule="exact"/>
        <w:ind w:left="425" w:right="71" w:rightChars="34" w:firstLine="420" w:firstLineChars="200"/>
        <w:textAlignment w:val="baseline"/>
        <w:rPr>
          <w:rFonts w:hint="eastAsia" w:ascii="宋体" w:hAnsi="宋体" w:cs="宋体"/>
          <w:bCs/>
          <w:szCs w:val="21"/>
        </w:rPr>
      </w:pPr>
      <w:r>
        <w:rPr>
          <w:rFonts w:hint="eastAsia" w:ascii="宋体" w:hAnsi="宋体" w:cs="宋体"/>
          <w:bCs/>
          <w:szCs w:val="21"/>
        </w:rPr>
        <w:t>通过复制者动态方程的数值模拟，验证SPNE均衡在群体层面的演化稳定性，回答"序贯均衡是否同时具备个体最优性和群体鲁棒性"这一理论问题，为扩展式博弈建模在法律AI领域的应用提供从微观到宏观的双层实证支撑。</w:t>
      </w:r>
    </w:p>
    <w:p w14:paraId="31C8DCE7">
      <w:pPr>
        <w:keepNext w:val="0"/>
        <w:keepLines w:val="0"/>
        <w:pageBreakBefore w:val="0"/>
        <w:widowControl w:val="0"/>
        <w:numPr>
          <w:ilvl w:val="0"/>
          <w:numId w:val="12"/>
        </w:numPr>
        <w:kinsoku/>
        <w:wordWrap/>
        <w:overflowPunct/>
        <w:topLinePunct w:val="0"/>
        <w:autoSpaceDE/>
        <w:autoSpaceDN/>
        <w:bidi w:val="0"/>
        <w:adjustRightInd w:val="0"/>
        <w:snapToGrid/>
        <w:spacing w:line="360" w:lineRule="exact"/>
        <w:ind w:left="425" w:right="71" w:rightChars="34" w:firstLine="420" w:firstLineChars="200"/>
        <w:textAlignment w:val="baseline"/>
        <w:rPr>
          <w:rFonts w:hint="eastAsia" w:ascii="宋体" w:hAnsi="宋体" w:cs="宋体"/>
          <w:bCs/>
          <w:szCs w:val="21"/>
        </w:rPr>
      </w:pPr>
      <w:r>
        <w:rPr>
          <w:rFonts w:hint="eastAsia" w:ascii="宋体" w:hAnsi="宋体" w:cs="宋体"/>
          <w:bCs/>
          <w:szCs w:val="21"/>
        </w:rPr>
        <w:t>系统成果</w:t>
      </w:r>
    </w:p>
    <w:p w14:paraId="01CF68EE">
      <w:pPr>
        <w:keepNext w:val="0"/>
        <w:keepLines w:val="0"/>
        <w:pageBreakBefore w:val="0"/>
        <w:widowControl w:val="0"/>
        <w:kinsoku/>
        <w:wordWrap/>
        <w:overflowPunct/>
        <w:topLinePunct w:val="0"/>
        <w:autoSpaceDE/>
        <w:autoSpaceDN/>
        <w:bidi w:val="0"/>
        <w:adjustRightInd w:val="0"/>
        <w:snapToGrid/>
        <w:spacing w:line="360" w:lineRule="exact"/>
        <w:ind w:left="425" w:right="71" w:rightChars="34" w:firstLine="420" w:firstLineChars="200"/>
        <w:textAlignment w:val="baseline"/>
        <w:rPr>
          <w:rFonts w:hint="eastAsia" w:ascii="宋体" w:hAnsi="宋体" w:cs="宋体"/>
          <w:bCs/>
          <w:szCs w:val="21"/>
        </w:rPr>
      </w:pPr>
      <w:r>
        <w:rPr>
          <w:rFonts w:hint="eastAsia" w:ascii="宋体" w:hAnsi="宋体" w:cs="宋体"/>
          <w:bCs/>
          <w:szCs w:val="21"/>
        </w:rPr>
        <w:t>开源LegalFlow多智能体协同模拟法庭系统，包含扩展式博弈引擎（SPNE反向归纳求解器）、演化博弈模拟器（复制者动态）、四角色智能体协同管道（CD→DD→CI）、P-RAG渐进式法条检索模块，共计28个功能模块和65个FastAPI端点。</w:t>
      </w:r>
    </w:p>
    <w:p w14:paraId="0CF9323A">
      <w:pPr>
        <w:keepNext w:val="0"/>
        <w:keepLines w:val="0"/>
        <w:pageBreakBefore w:val="0"/>
        <w:widowControl w:val="0"/>
        <w:kinsoku/>
        <w:wordWrap/>
        <w:overflowPunct/>
        <w:topLinePunct w:val="0"/>
        <w:autoSpaceDE/>
        <w:autoSpaceDN/>
        <w:bidi w:val="0"/>
        <w:adjustRightInd w:val="0"/>
        <w:snapToGrid/>
        <w:spacing w:line="360" w:lineRule="exact"/>
        <w:ind w:left="425" w:right="71" w:rightChars="34" w:firstLine="420" w:firstLineChars="200"/>
        <w:textAlignment w:val="baseline"/>
        <w:rPr>
          <w:rFonts w:hint="eastAsia" w:ascii="宋体" w:hAnsi="宋体" w:cs="宋体"/>
          <w:bCs/>
          <w:szCs w:val="21"/>
        </w:rPr>
      </w:pPr>
      <w:r>
        <w:rPr>
          <w:rFonts w:hint="eastAsia" w:ascii="宋体" w:hAnsi="宋体" w:cs="宋体"/>
          <w:bCs/>
          <w:szCs w:val="21"/>
        </w:rPr>
        <w:t>该系统可直接应用于三个场景：（1）法学教育——为法学院学生提供可重复的模拟法庭对抗训练环境，支持不同诉讼策略的效果对比与复盘分析；（2）诉讼策略辅助——律师可在系统中预演不同起诉/答辩策略组合，评估各策略下的预期收益，辅助制定诉讼方案；（3）司法政策研究——通过演化博弈模拟大量案件的策略分布演化趋势，为调解制度优化、诉讼成本分析等司法政策研究提供计算实验平台。</w:t>
      </w:r>
    </w:p>
    <w:p w14:paraId="4F08A4A7">
      <w:pPr>
        <w:keepNext w:val="0"/>
        <w:keepLines w:val="0"/>
        <w:pageBreakBefore w:val="0"/>
        <w:widowControl w:val="0"/>
        <w:numPr>
          <w:ilvl w:val="0"/>
          <w:numId w:val="12"/>
        </w:numPr>
        <w:kinsoku/>
        <w:wordWrap/>
        <w:overflowPunct/>
        <w:topLinePunct w:val="0"/>
        <w:autoSpaceDE/>
        <w:autoSpaceDN/>
        <w:bidi w:val="0"/>
        <w:adjustRightInd w:val="0"/>
        <w:snapToGrid/>
        <w:spacing w:line="360" w:lineRule="exact"/>
        <w:ind w:left="425" w:right="71" w:rightChars="34" w:firstLine="420" w:firstLineChars="200"/>
        <w:textAlignment w:val="baseline"/>
        <w:rPr>
          <w:rFonts w:hint="eastAsia" w:ascii="宋体" w:hAnsi="宋体" w:cs="宋体"/>
          <w:bCs/>
          <w:szCs w:val="21"/>
        </w:rPr>
      </w:pPr>
      <w:r>
        <w:rPr>
          <w:rFonts w:hint="eastAsia" w:ascii="宋体" w:hAnsi="宋体" w:cs="宋体"/>
          <w:bCs/>
          <w:szCs w:val="21"/>
        </w:rPr>
        <w:t>数据成果</w:t>
      </w:r>
    </w:p>
    <w:p w14:paraId="19A17360">
      <w:pPr>
        <w:keepNext w:val="0"/>
        <w:keepLines w:val="0"/>
        <w:pageBreakBefore w:val="0"/>
        <w:widowControl w:val="0"/>
        <w:kinsoku/>
        <w:wordWrap/>
        <w:overflowPunct/>
        <w:topLinePunct w:val="0"/>
        <w:autoSpaceDE/>
        <w:autoSpaceDN/>
        <w:bidi w:val="0"/>
        <w:adjustRightInd w:val="0"/>
        <w:snapToGrid/>
        <w:spacing w:line="360" w:lineRule="exact"/>
        <w:ind w:left="425" w:right="71" w:rightChars="34" w:firstLine="420" w:firstLineChars="200"/>
        <w:textAlignment w:val="baseline"/>
        <w:rPr>
          <w:rFonts w:hint="eastAsia" w:ascii="宋体" w:hAnsi="宋体" w:cs="宋体"/>
          <w:bCs/>
          <w:szCs w:val="21"/>
        </w:rPr>
      </w:pPr>
      <w:r>
        <w:rPr>
          <w:rFonts w:hint="eastAsia" w:ascii="宋体" w:hAnsi="宋体" w:cs="宋体"/>
          <w:bCs/>
          <w:szCs w:val="21"/>
        </w:rPr>
        <w:t>LegalFlow-1K民事诉讼三场景结构化数据集（1000条案件，覆盖29种案由，按3:1:1划分训练/验证/测试集），为后续法律AI多智能体博弈研究和法学教育模拟训练提供标准化评测基准。</w:t>
      </w:r>
    </w:p>
    <w:p w14:paraId="61D3F6D3">
      <w:pPr>
        <w:keepNext w:val="0"/>
        <w:keepLines w:val="0"/>
        <w:pageBreakBefore w:val="0"/>
        <w:widowControl w:val="0"/>
        <w:numPr>
          <w:ilvl w:val="0"/>
          <w:numId w:val="12"/>
        </w:numPr>
        <w:kinsoku/>
        <w:wordWrap/>
        <w:overflowPunct/>
        <w:topLinePunct w:val="0"/>
        <w:autoSpaceDE/>
        <w:autoSpaceDN/>
        <w:bidi w:val="0"/>
        <w:adjustRightInd w:val="0"/>
        <w:snapToGrid/>
        <w:spacing w:line="360" w:lineRule="exact"/>
        <w:ind w:left="425" w:right="71" w:rightChars="34" w:firstLine="420" w:firstLineChars="200"/>
        <w:textAlignment w:val="baseline"/>
        <w:rPr>
          <w:rFonts w:hint="eastAsia" w:ascii="宋体" w:hAnsi="宋体" w:cs="宋体"/>
          <w:bCs/>
          <w:szCs w:val="21"/>
        </w:rPr>
      </w:pPr>
      <w:r>
        <w:rPr>
          <w:rFonts w:hint="eastAsia" w:ascii="宋体" w:hAnsi="宋体" w:cs="宋体"/>
          <w:bCs/>
          <w:szCs w:val="21"/>
        </w:rPr>
        <w:t>学术产出</w:t>
      </w:r>
    </w:p>
    <w:p w14:paraId="1BB0EB66">
      <w:pPr>
        <w:keepNext w:val="0"/>
        <w:keepLines w:val="0"/>
        <w:pageBreakBefore w:val="0"/>
        <w:widowControl w:val="0"/>
        <w:kinsoku/>
        <w:wordWrap/>
        <w:overflowPunct/>
        <w:topLinePunct w:val="0"/>
        <w:autoSpaceDE/>
        <w:autoSpaceDN/>
        <w:bidi w:val="0"/>
        <w:adjustRightInd w:val="0"/>
        <w:snapToGrid/>
        <w:spacing w:line="360" w:lineRule="exact"/>
        <w:ind w:left="425" w:right="71" w:rightChars="34" w:firstLine="420" w:firstLineChars="200"/>
        <w:textAlignment w:val="baseline"/>
        <w:rPr>
          <w:rFonts w:hint="eastAsia" w:ascii="宋体" w:hAnsi="宋体" w:cs="宋体"/>
          <w:bCs/>
          <w:szCs w:val="21"/>
        </w:rPr>
      </w:pPr>
      <w:r>
        <w:rPr>
          <w:rFonts w:hint="eastAsia" w:ascii="宋体" w:hAnsi="宋体" w:cs="宋体"/>
          <w:bCs/>
          <w:szCs w:val="21"/>
        </w:rPr>
        <w:t>投稿1篇论文，首选ICAIL（International Conference on AI and Law，AI与法律领域顶级会议）或AAMAS（International Conference on Autonomous Agents and Multi-Agent Systems，多智能体系统顶级会议），备选ACL/EMNLP Findings，定位为"扩展式博弈×LLM多智能体×法律AI"的交叉研究。</w:t>
      </w:r>
    </w:p>
    <w:p w14:paraId="6D436D5C">
      <w:pPr>
        <w:keepNext w:val="0"/>
        <w:keepLines w:val="0"/>
        <w:pageBreakBefore w:val="0"/>
        <w:widowControl w:val="0"/>
        <w:numPr>
          <w:ilvl w:val="0"/>
          <w:numId w:val="12"/>
        </w:numPr>
        <w:kinsoku/>
        <w:wordWrap/>
        <w:overflowPunct/>
        <w:topLinePunct w:val="0"/>
        <w:autoSpaceDE/>
        <w:autoSpaceDN/>
        <w:bidi w:val="0"/>
        <w:adjustRightInd w:val="0"/>
        <w:snapToGrid/>
        <w:spacing w:line="360" w:lineRule="exact"/>
        <w:ind w:left="425" w:right="71" w:rightChars="34" w:firstLine="420" w:firstLineChars="200"/>
        <w:textAlignment w:val="baseline"/>
        <w:rPr>
          <w:rFonts w:hint="eastAsia" w:ascii="宋体" w:hAnsi="宋体" w:cs="宋体"/>
          <w:bCs/>
          <w:szCs w:val="21"/>
        </w:rPr>
      </w:pPr>
      <w:r>
        <w:rPr>
          <w:rFonts w:hint="eastAsia" w:ascii="宋体" w:hAnsi="宋体" w:cs="宋体"/>
          <w:bCs/>
          <w:szCs w:val="21"/>
        </w:rPr>
        <w:t>经费预算：</w:t>
      </w:r>
    </w:p>
    <w:p w14:paraId="4EC7634C">
      <w:pPr>
        <w:keepNext w:val="0"/>
        <w:keepLines w:val="0"/>
        <w:pageBreakBefore w:val="0"/>
        <w:widowControl w:val="0"/>
        <w:kinsoku/>
        <w:wordWrap/>
        <w:overflowPunct/>
        <w:topLinePunct w:val="0"/>
        <w:autoSpaceDE/>
        <w:autoSpaceDN/>
        <w:bidi w:val="0"/>
        <w:adjustRightInd w:val="0"/>
        <w:snapToGrid/>
        <w:spacing w:after="60" w:line="360" w:lineRule="exact"/>
        <w:ind w:left="425" w:firstLine="420" w:firstLineChars="200"/>
        <w:textAlignment w:val="baseline"/>
      </w:pPr>
      <w:r>
        <w:rPr>
          <w:rFonts w:ascii="宋体" w:hAnsi="宋体"/>
        </w:rPr>
        <w:t>LLM API调用费2.5万元（其中核心实验约1.75万元、模型对比与调试约0.75万元，基于DeepSeek-V3约¥1/百万token、GPT-4o约¥60/百万token估算，预计总消耗约5亿token）、云计算资源1.2万元（用于本地嵌入模型部署与FAISS索引构建）、数据与工具0.5万元、学术交流0.8万元，合计5.0万元。</w:t>
      </w:r>
    </w:p>
    <w:p w14:paraId="523944A2">
      <w:pPr>
        <w:spacing w:line="360" w:lineRule="auto"/>
        <w:ind w:right="71" w:rightChars="34" w:firstLine="371" w:firstLineChars="177"/>
        <w:rPr>
          <w:rFonts w:hint="eastAsia" w:ascii="宋体" w:hAnsi="宋体" w:cs="宋体"/>
          <w:bCs/>
          <w:szCs w:val="21"/>
        </w:rPr>
      </w:pPr>
    </w:p>
    <w:p w14:paraId="7A0AD583">
      <w:pPr>
        <w:spacing w:line="360" w:lineRule="auto"/>
        <w:ind w:right="71" w:rightChars="34"/>
        <w:rPr>
          <w:rFonts w:eastAsia="楷体_GB2312"/>
          <w:sz w:val="24"/>
          <w:szCs w:val="24"/>
        </w:rPr>
      </w:pPr>
      <w:r>
        <w:rPr>
          <w:rFonts w:eastAsia="黑体"/>
          <w:bCs/>
          <w:sz w:val="24"/>
          <w:szCs w:val="24"/>
        </w:rPr>
        <w:br w:type="page"/>
      </w:r>
      <w:r>
        <w:rPr>
          <w:rFonts w:eastAsia="黑体"/>
          <w:b/>
          <w:sz w:val="28"/>
          <w:szCs w:val="28"/>
        </w:rPr>
        <w:t>（</w:t>
      </w:r>
      <w:r>
        <w:rPr>
          <w:rFonts w:hint="eastAsia" w:eastAsia="黑体"/>
          <w:b/>
          <w:sz w:val="28"/>
          <w:szCs w:val="28"/>
        </w:rPr>
        <w:t>五</w:t>
      </w:r>
      <w:r>
        <w:rPr>
          <w:rFonts w:eastAsia="黑体"/>
          <w:b/>
          <w:sz w:val="28"/>
          <w:szCs w:val="28"/>
        </w:rPr>
        <w:t>）</w:t>
      </w:r>
      <w:r>
        <w:rPr>
          <w:rFonts w:hint="eastAsia" w:eastAsia="黑体"/>
          <w:b/>
          <w:sz w:val="28"/>
          <w:szCs w:val="28"/>
        </w:rPr>
        <w:t>申请人简历</w:t>
      </w:r>
      <w:r>
        <w:rPr>
          <w:rFonts w:eastAsia="楷体_GB2312"/>
          <w:sz w:val="24"/>
          <w:szCs w:val="24"/>
        </w:rPr>
        <w:t>（</w:t>
      </w:r>
      <w:r>
        <w:rPr>
          <w:rFonts w:eastAsia="黑体"/>
          <w:sz w:val="24"/>
          <w:szCs w:val="24"/>
        </w:rPr>
        <w:t>不超过</w:t>
      </w:r>
      <w:r>
        <w:rPr>
          <w:rFonts w:hint="eastAsia" w:eastAsia="楷体_GB2312"/>
          <w:sz w:val="24"/>
          <w:szCs w:val="24"/>
        </w:rPr>
        <w:t>3000</w:t>
      </w:r>
      <w:r>
        <w:rPr>
          <w:rFonts w:eastAsia="黑体"/>
          <w:sz w:val="24"/>
          <w:szCs w:val="24"/>
        </w:rPr>
        <w:t>字</w:t>
      </w:r>
      <w:r>
        <w:rPr>
          <w:rFonts w:eastAsia="楷体_GB2312"/>
          <w:sz w:val="24"/>
          <w:szCs w:val="24"/>
        </w:rPr>
        <w:t>）</w:t>
      </w:r>
    </w:p>
    <w:p w14:paraId="0CADFA8E">
      <w:pPr>
        <w:spacing w:line="240" w:lineRule="auto"/>
        <w:ind w:right="71" w:rightChars="34" w:firstLine="373" w:firstLineChars="177"/>
        <w:rPr>
          <w:rFonts w:hint="eastAsia" w:ascii="宋体" w:hAnsi="宋体" w:eastAsia="宋体" w:cs="宋体"/>
          <w:b/>
          <w:sz w:val="21"/>
          <w:szCs w:val="21"/>
        </w:rPr>
      </w:pPr>
      <w:r>
        <w:rPr>
          <w:rFonts w:hint="eastAsia" w:ascii="宋体" w:hAnsi="宋体" w:eastAsia="宋体" w:cs="宋体"/>
          <w:b/>
          <w:sz w:val="21"/>
          <w:szCs w:val="21"/>
        </w:rPr>
        <w:t>（一）教育经历</w:t>
      </w:r>
    </w:p>
    <w:p w14:paraId="0971C5B9">
      <w:pPr>
        <w:spacing w:line="240" w:lineRule="auto"/>
        <w:ind w:right="71" w:rightChars="34" w:firstLine="371" w:firstLineChars="177"/>
        <w:rPr>
          <w:rFonts w:hint="eastAsia" w:ascii="宋体" w:hAnsi="宋体" w:eastAsia="宋体" w:cs="宋体"/>
          <w:bCs/>
          <w:sz w:val="21"/>
          <w:szCs w:val="21"/>
        </w:rPr>
      </w:pPr>
      <w:r>
        <w:rPr>
          <w:rFonts w:hint="eastAsia" w:ascii="宋体" w:hAnsi="宋体" w:eastAsia="宋体" w:cs="宋体"/>
          <w:bCs/>
          <w:sz w:val="21"/>
          <w:szCs w:val="21"/>
        </w:rPr>
        <w:t>本人高中就读于安徽省安庆市第一中学。我的母校作为陈乔年、陈延年的母校，具有深厚的红色文化传统。在校期间，我在扎</w:t>
      </w:r>
      <w:bookmarkStart w:id="11" w:name="_GoBack"/>
      <w:bookmarkEnd w:id="11"/>
      <w:r>
        <w:rPr>
          <w:rFonts w:hint="eastAsia" w:ascii="宋体" w:hAnsi="宋体" w:eastAsia="宋体" w:cs="宋体"/>
          <w:bCs/>
          <w:sz w:val="21"/>
          <w:szCs w:val="21"/>
        </w:rPr>
        <w:t>实完成基础学科学习的同时，逐步形成了关注国家发展与社会问题的意识，尤其对制度运行与社会治理问题产生了持续兴趣，这也在很大程度上影响了我后续专业方向的选择。</w:t>
      </w:r>
    </w:p>
    <w:p w14:paraId="6CBAFD28">
      <w:pPr>
        <w:spacing w:line="240" w:lineRule="auto"/>
        <w:ind w:right="71" w:rightChars="34" w:firstLine="371" w:firstLineChars="177"/>
        <w:rPr>
          <w:rFonts w:hint="eastAsia" w:ascii="宋体" w:hAnsi="宋体" w:eastAsia="宋体" w:cs="宋体"/>
          <w:bCs/>
          <w:sz w:val="21"/>
          <w:szCs w:val="21"/>
        </w:rPr>
      </w:pPr>
      <w:r>
        <w:rPr>
          <w:rFonts w:hint="eastAsia" w:ascii="宋体" w:hAnsi="宋体" w:eastAsia="宋体" w:cs="宋体"/>
          <w:bCs/>
          <w:sz w:val="21"/>
          <w:szCs w:val="21"/>
        </w:rPr>
        <w:t>2023年进入北京理工大学法学院（明德书院）学习法学专业以来，我在“延安根、军工魂、领军人”的育人理念引导下，系统夯实法学理论基础，并主动拓展法学与科技领域的交叉视野。在专业课程学习中，我不仅注重基础知识的系统掌握，也逐步转向以问题为导向的学习方式，围绕数字时代法律问题开展延伸阅读与思考。本科前五学期平均成绩为91.9，专业排名2/44，位列前5%，整体学业表现稳定。</w:t>
      </w:r>
    </w:p>
    <w:p w14:paraId="5C8ED526">
      <w:pPr>
        <w:spacing w:line="240" w:lineRule="auto"/>
        <w:ind w:right="71" w:rightChars="34" w:firstLine="371" w:firstLineChars="177"/>
        <w:rPr>
          <w:rFonts w:hint="eastAsia" w:ascii="宋体" w:hAnsi="宋体" w:eastAsia="宋体" w:cs="宋体"/>
          <w:bCs/>
          <w:sz w:val="21"/>
          <w:szCs w:val="21"/>
        </w:rPr>
      </w:pPr>
      <w:r>
        <w:rPr>
          <w:rFonts w:hint="eastAsia" w:ascii="宋体" w:hAnsi="宋体" w:eastAsia="宋体" w:cs="宋体"/>
          <w:bCs/>
          <w:sz w:val="21"/>
          <w:szCs w:val="21"/>
        </w:rPr>
        <w:t>在能力培养方面，我高度重视学术语言能力训练，具备较为扎实的英文文献阅读与基础学术表达能力。同时，在思想政治与组织实践方面，我始终以更高标准要求自身，现为中共预备党员，曾获校级优秀团员、优秀学生干部等荣誉，现任共青团北京理工大学明德书院委员会学生副书记，在参与学生工作与思想引领过程中不断提升综合素养，使自身发展与国家需求保持一致。</w:t>
      </w:r>
    </w:p>
    <w:p w14:paraId="6E94091D">
      <w:pPr>
        <w:spacing w:line="240" w:lineRule="auto"/>
        <w:ind w:right="71" w:rightChars="34" w:firstLine="373" w:firstLineChars="177"/>
        <w:rPr>
          <w:rFonts w:hint="eastAsia" w:ascii="宋体" w:hAnsi="宋体" w:eastAsia="宋体" w:cs="宋体"/>
          <w:b/>
          <w:sz w:val="21"/>
          <w:szCs w:val="21"/>
        </w:rPr>
      </w:pPr>
      <w:r>
        <w:rPr>
          <w:rFonts w:hint="eastAsia" w:ascii="宋体" w:hAnsi="宋体" w:eastAsia="宋体" w:cs="宋体"/>
          <w:b/>
          <w:sz w:val="21"/>
          <w:szCs w:val="21"/>
        </w:rPr>
        <w:t>（二）曾参与的科技活动或项目</w:t>
      </w:r>
    </w:p>
    <w:p w14:paraId="402E9678">
      <w:pPr>
        <w:spacing w:line="240" w:lineRule="auto"/>
        <w:ind w:right="71" w:rightChars="34" w:firstLine="371" w:firstLineChars="177"/>
        <w:rPr>
          <w:rFonts w:hint="eastAsia" w:ascii="宋体" w:hAnsi="宋体" w:eastAsia="宋体" w:cs="宋体"/>
          <w:bCs/>
          <w:sz w:val="21"/>
          <w:szCs w:val="21"/>
        </w:rPr>
      </w:pPr>
      <w:r>
        <w:rPr>
          <w:rFonts w:hint="eastAsia" w:ascii="宋体" w:hAnsi="宋体" w:eastAsia="宋体" w:cs="宋体"/>
          <w:bCs/>
          <w:sz w:val="21"/>
          <w:szCs w:val="21"/>
        </w:rPr>
        <w:t>在本科阶段的学习过程中，我逐步将研究兴趣聚焦于数字技术发展背景下的法律规制问题，并围绕这一方向持续参与科研训练与项目实践。在大创项目层面，我系统参与了多项以现实问题为导向的法学研究，研究主题涵盖涉外仲裁合同效力认定、技术移民制度设计、算法决策中的隐性就业歧视规制、网络不正当竞争行为界定以及“直播带货”模式下的消费者权益保护等。这些研究围绕数字经济与社会治理中的关键议题展开，使我在文献检索、研究综述、规范分析以及问题结构化表达等方面积累了较为系统的训练经验，也逐步形成了从现实问题出发提炼法学问题的基本能力。</w:t>
      </w:r>
    </w:p>
    <w:p w14:paraId="564F5A07">
      <w:pPr>
        <w:spacing w:line="240" w:lineRule="auto"/>
        <w:ind w:right="71" w:rightChars="34" w:firstLine="371" w:firstLineChars="177"/>
        <w:rPr>
          <w:rFonts w:hint="eastAsia" w:ascii="宋体" w:hAnsi="宋体" w:eastAsia="宋体" w:cs="宋体"/>
          <w:bCs/>
          <w:sz w:val="21"/>
          <w:szCs w:val="21"/>
        </w:rPr>
      </w:pPr>
      <w:r>
        <w:rPr>
          <w:rFonts w:hint="eastAsia" w:ascii="宋体" w:hAnsi="宋体" w:eastAsia="宋体" w:cs="宋体"/>
          <w:bCs/>
          <w:sz w:val="21"/>
          <w:szCs w:val="21"/>
        </w:rPr>
        <w:t>除法学领域的科研训练外，我还主动参与工程实践，加入北京理工大学无人驾驶方程式车队并长期承担组织与运营管理工作。在车队持续备赛与技术迭代过程中，我深度参与团队运行与赛事组织协同，所在队伍在中国大学生无人驾驶方程式大赛中连续两年获得全国二等奖。通过长期参与这一比赛项目，我对人工智能与自动化系统的实际运行逻辑形成了更加系统的认识，也更加清晰地意识到技术快速发展对既有法律规则体系所提出的挑战，从而进一步强化了从法律视角研究科技发展问题的学术兴趣。</w:t>
      </w:r>
    </w:p>
    <w:p w14:paraId="3D3D8F9E">
      <w:pPr>
        <w:spacing w:line="240" w:lineRule="auto"/>
        <w:ind w:right="71" w:rightChars="34" w:firstLine="371" w:firstLineChars="177"/>
        <w:rPr>
          <w:rFonts w:hint="eastAsia" w:ascii="宋体" w:hAnsi="宋体" w:eastAsia="宋体" w:cs="宋体"/>
          <w:bCs/>
          <w:sz w:val="21"/>
          <w:szCs w:val="21"/>
        </w:rPr>
      </w:pPr>
      <w:r>
        <w:rPr>
          <w:rFonts w:hint="eastAsia" w:ascii="宋体" w:hAnsi="宋体" w:eastAsia="宋体" w:cs="宋体"/>
          <w:bCs/>
          <w:sz w:val="21"/>
          <w:szCs w:val="21"/>
        </w:rPr>
        <w:t>此外，我还积极参与模拟法庭、辩论赛及创新创业项目等多类型实践活动，在不同情境中持续提升问题分析能力、逻辑表达能力及团队协作能力。这些实践经历虽形式各异，但共同指向对复杂现实问题的系统性理解，也为我后续开展更深入科研探索提供了多维支撑。</w:t>
      </w:r>
    </w:p>
    <w:p w14:paraId="7DBB6867">
      <w:pPr>
        <w:spacing w:line="240" w:lineRule="auto"/>
        <w:ind w:right="71" w:rightChars="34" w:firstLine="373" w:firstLineChars="177"/>
        <w:rPr>
          <w:rFonts w:hint="eastAsia" w:ascii="宋体" w:hAnsi="宋体" w:eastAsia="宋体" w:cs="宋体"/>
          <w:b/>
          <w:sz w:val="21"/>
          <w:szCs w:val="21"/>
        </w:rPr>
      </w:pPr>
      <w:r>
        <w:rPr>
          <w:rFonts w:hint="eastAsia" w:ascii="宋体" w:hAnsi="宋体" w:eastAsia="宋体" w:cs="宋体"/>
          <w:b/>
          <w:sz w:val="21"/>
          <w:szCs w:val="21"/>
        </w:rPr>
        <w:t>（三）本科学业成绩和获得奖励情况（如论文、专利、奖项等，高中期间获得全国性学科竞赛奖项也可列出）</w:t>
      </w:r>
    </w:p>
    <w:p w14:paraId="19A1269D">
      <w:pPr>
        <w:spacing w:line="240" w:lineRule="auto"/>
        <w:ind w:right="71" w:rightChars="34" w:firstLine="371" w:firstLineChars="177"/>
        <w:rPr>
          <w:rFonts w:hint="eastAsia" w:ascii="宋体" w:hAnsi="宋体" w:eastAsia="宋体" w:cs="宋体"/>
          <w:bCs/>
          <w:sz w:val="21"/>
          <w:szCs w:val="21"/>
        </w:rPr>
      </w:pPr>
      <w:r>
        <w:rPr>
          <w:rFonts w:hint="eastAsia" w:ascii="宋体" w:hAnsi="宋体" w:eastAsia="宋体" w:cs="宋体"/>
          <w:bCs/>
          <w:sz w:val="21"/>
          <w:szCs w:val="21"/>
        </w:rPr>
        <w:t>在本科阶段，我始终保持较高水平的学习投入与稳定的学业表现，前五学期平均成绩91.9，专业排名2/44，整体处于年级前列。扎实的学业基础为我参与各类高水平竞赛与科研活动提供了重要支撑。</w:t>
      </w:r>
    </w:p>
    <w:p w14:paraId="56531DCA">
      <w:pPr>
        <w:spacing w:line="240" w:lineRule="auto"/>
        <w:ind w:right="71" w:rightChars="34" w:firstLine="371" w:firstLineChars="177"/>
        <w:rPr>
          <w:rFonts w:hint="eastAsia" w:ascii="宋体" w:hAnsi="宋体" w:eastAsia="宋体" w:cs="宋体"/>
          <w:bCs/>
          <w:sz w:val="21"/>
          <w:szCs w:val="21"/>
        </w:rPr>
      </w:pPr>
      <w:r>
        <w:rPr>
          <w:rFonts w:hint="eastAsia" w:ascii="宋体" w:hAnsi="宋体" w:eastAsia="宋体" w:cs="宋体"/>
          <w:bCs/>
          <w:sz w:val="21"/>
          <w:szCs w:val="21"/>
        </w:rPr>
        <w:t>在学科竞赛方面，我在不同类型竞赛中均取得一定成果。在科技与工程实践类竞赛中，依托无人驾驶方程式车队项目，我连续两年获得中国大学生无人驾驶方程式大赛全国二等奖；在法学专业竞赛中，我参与莱顿-塞琳国际航空法模拟法庭竞赛并获得全国三等奖，同时在区域性法学辩论赛事中获得北京市级奖项，体现出较强的法律分析与论证能力。在语言与学术能力方面，我在全国大学生英语翻译大赛、《英语世界》杯翻译大赛及英语阅读大赛中均获得国家级奖项，反映出较为扎实的学术语言基础与跨文化表达能力。</w:t>
      </w:r>
    </w:p>
    <w:p w14:paraId="4DAAB688">
      <w:pPr>
        <w:spacing w:line="240" w:lineRule="auto"/>
        <w:ind w:right="71" w:rightChars="34" w:firstLine="371" w:firstLineChars="177"/>
        <w:rPr>
          <w:rFonts w:hint="eastAsia" w:ascii="宋体" w:hAnsi="宋体" w:eastAsia="宋体" w:cs="宋体"/>
          <w:bCs/>
          <w:sz w:val="21"/>
          <w:szCs w:val="21"/>
        </w:rPr>
      </w:pPr>
      <w:r>
        <w:rPr>
          <w:rFonts w:hint="eastAsia" w:ascii="宋体" w:hAnsi="宋体" w:eastAsia="宋体" w:cs="宋体"/>
          <w:bCs/>
          <w:sz w:val="21"/>
          <w:szCs w:val="21"/>
        </w:rPr>
        <w:t>在创新创业类竞赛中，我参与的项目在“挑战杯”首都大学生创业计划竞赛中获得特等奖，并在中国国际大学生创新大赛中获得北京赛区二等奖及三等奖。相关项目围绕人工智能与实际应用场景展开，在实践中不断深化我对技术发展路径及其社会影响的理解。此外，我还在校级“世纪杯”竞赛及权益提案大赛、时事论坛等综合类活动中取得多项成绩，从不同侧面体现出较为全面的发展状态。</w:t>
      </w:r>
    </w:p>
    <w:p w14:paraId="29296BAE">
      <w:pPr>
        <w:spacing w:after="240" w:afterLines="100" w:line="240" w:lineRule="auto"/>
        <w:ind w:right="71" w:rightChars="34" w:firstLine="371" w:firstLineChars="177"/>
        <w:rPr>
          <w:rFonts w:hint="eastAsia" w:ascii="宋体" w:hAnsi="宋体" w:eastAsia="宋体" w:cs="宋体"/>
          <w:bCs/>
          <w:sz w:val="21"/>
          <w:szCs w:val="21"/>
        </w:rPr>
      </w:pPr>
      <w:r>
        <w:rPr>
          <w:rFonts w:hint="eastAsia" w:ascii="宋体" w:hAnsi="宋体" w:eastAsia="宋体" w:cs="宋体"/>
          <w:bCs/>
          <w:sz w:val="21"/>
          <w:szCs w:val="21"/>
        </w:rPr>
        <w:t>在社会实践方面，我参与“寻红色育人路，讲北理报国事”等主题实践项目并获得校级一等奖，通过实地调研与理论结合，加深了对国家治理体系与法治实践的理解，也进一步强化了将学术研究与现实问题相结合的意识。总体而言，上述学业成绩与竞赛成果相互支撑，体现出我在法学基础、科研潜力及跨学科探索方面的持续积累。</w:t>
      </w:r>
    </w:p>
    <w:p w14:paraId="3514B7BF">
      <w:pPr>
        <w:spacing w:line="240" w:lineRule="auto"/>
        <w:ind w:right="71" w:rightChars="34"/>
        <w:rPr>
          <w:rFonts w:hint="eastAsia" w:ascii="宋体" w:hAnsi="宋体"/>
          <w:szCs w:val="21"/>
        </w:rPr>
      </w:pPr>
      <w:r>
        <w:rPr>
          <w:rFonts w:hint="eastAsia" w:ascii="宋体" w:hAnsi="宋体"/>
          <w:szCs w:val="21"/>
        </w:rPr>
        <w:t>在校成绩</w:t>
      </w:r>
    </w:p>
    <w:tbl>
      <w:tblPr>
        <w:tblStyle w:val="1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6663"/>
      </w:tblGrid>
      <w:tr w14:paraId="6BED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8" w:type="pct"/>
            <w:vAlign w:val="center"/>
          </w:tcPr>
          <w:p w14:paraId="76D9E370">
            <w:pPr>
              <w:spacing w:line="240" w:lineRule="auto"/>
              <w:ind w:right="71" w:rightChars="34" w:firstLine="371" w:firstLineChars="177"/>
              <w:jc w:val="center"/>
              <w:rPr>
                <w:rFonts w:hint="eastAsia" w:ascii="宋体" w:hAnsi="宋体"/>
                <w:szCs w:val="21"/>
              </w:rPr>
            </w:pPr>
            <w:r>
              <w:rPr>
                <w:rFonts w:hint="eastAsia" w:ascii="宋体" w:hAnsi="宋体"/>
                <w:szCs w:val="21"/>
              </w:rPr>
              <w:t>最新专业排名情况</w:t>
            </w:r>
          </w:p>
        </w:tc>
        <w:tc>
          <w:tcPr>
            <w:tcW w:w="3481" w:type="pct"/>
            <w:vAlign w:val="center"/>
          </w:tcPr>
          <w:p w14:paraId="1FF743B7">
            <w:pPr>
              <w:spacing w:line="240" w:lineRule="auto"/>
              <w:ind w:right="71" w:rightChars="34" w:firstLine="371" w:firstLineChars="177"/>
              <w:jc w:val="center"/>
              <w:rPr>
                <w:rFonts w:hint="eastAsia" w:ascii="宋体" w:hAnsi="宋体"/>
                <w:szCs w:val="21"/>
              </w:rPr>
            </w:pPr>
            <w:r>
              <w:rPr>
                <w:rFonts w:hint="eastAsia" w:ascii="宋体" w:hAnsi="宋体"/>
                <w:szCs w:val="21"/>
              </w:rPr>
              <w:t>前5%</w:t>
            </w:r>
          </w:p>
        </w:tc>
      </w:tr>
    </w:tbl>
    <w:p w14:paraId="1049E30F">
      <w:pPr>
        <w:wordWrap w:val="0"/>
        <w:spacing w:line="360" w:lineRule="auto"/>
        <w:ind w:right="-57"/>
        <w:outlineLvl w:val="0"/>
        <w:rPr>
          <w:rFonts w:hint="eastAsia" w:ascii="宋体" w:hAnsi="宋体"/>
          <w:szCs w:val="21"/>
        </w:rPr>
      </w:pPr>
      <w:r>
        <w:rPr>
          <w:rFonts w:eastAsia="黑体"/>
          <w:b/>
          <w:sz w:val="32"/>
          <w:szCs w:val="32"/>
        </w:rPr>
        <w:br w:type="page"/>
      </w:r>
      <w:r>
        <w:rPr>
          <w:rFonts w:hint="eastAsia" w:eastAsia="黑体"/>
          <w:b/>
          <w:sz w:val="32"/>
        </w:rPr>
        <w:t>四</w:t>
      </w:r>
      <w:r>
        <w:rPr>
          <w:rFonts w:eastAsia="黑体"/>
          <w:b/>
          <w:sz w:val="32"/>
        </w:rPr>
        <w:t>、申请者</w:t>
      </w:r>
      <w:r>
        <w:rPr>
          <w:rFonts w:hint="eastAsia" w:eastAsia="黑体"/>
          <w:b/>
          <w:sz w:val="32"/>
        </w:rPr>
        <w:t>承诺</w:t>
      </w:r>
    </w:p>
    <w:p w14:paraId="7D986952">
      <w:pPr>
        <w:spacing w:line="240" w:lineRule="auto"/>
        <w:ind w:right="71" w:rightChars="34"/>
        <w:rPr>
          <w:rFonts w:hint="eastAsia" w:ascii="宋体" w:hAnsi="宋体"/>
          <w:szCs w:val="21"/>
        </w:rPr>
      </w:pP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6"/>
      </w:tblGrid>
      <w:tr w14:paraId="3B9F0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6" w:hRule="atLeast"/>
        </w:trPr>
        <w:tc>
          <w:tcPr>
            <w:tcW w:w="9386" w:type="dxa"/>
          </w:tcPr>
          <w:p w14:paraId="5B0D7BCE">
            <w:pPr>
              <w:wordWrap w:val="0"/>
              <w:spacing w:line="360" w:lineRule="auto"/>
              <w:ind w:right="-57"/>
              <w:rPr>
                <w:rFonts w:eastAsia="黑体"/>
                <w:b/>
                <w:sz w:val="32"/>
              </w:rPr>
            </w:pPr>
          </w:p>
          <w:p w14:paraId="2F5361FB">
            <w:pPr>
              <w:numPr>
                <w:ilvl w:val="0"/>
                <w:numId w:val="14"/>
              </w:numPr>
              <w:ind w:left="72" w:right="57" w:firstLine="420" w:firstLineChars="200"/>
            </w:pPr>
            <w:r>
              <w:t>项目组主要成员、合作单位信息真实、完整、有效，项目组主要成员、合作单位知晓并同意参与项目研究。</w:t>
            </w:r>
          </w:p>
          <w:p w14:paraId="2CE2B35A">
            <w:pPr>
              <w:numPr>
                <w:ilvl w:val="0"/>
                <w:numId w:val="14"/>
              </w:numPr>
              <w:ind w:left="72" w:right="57" w:firstLine="420" w:firstLineChars="200"/>
            </w:pPr>
            <w:r>
              <w:t>申请项目如获资助，确保在规定时间内</w:t>
            </w:r>
            <w:r>
              <w:rPr>
                <w:rFonts w:hint="eastAsia"/>
              </w:rPr>
              <w:t>提交</w:t>
            </w:r>
            <w:r>
              <w:t>完成签字、盖章手续</w:t>
            </w:r>
            <w:r>
              <w:rPr>
                <w:rFonts w:hint="eastAsia"/>
              </w:rPr>
              <w:t>的</w:t>
            </w:r>
            <w:r>
              <w:t>申请书和任务书。</w:t>
            </w:r>
          </w:p>
          <w:p w14:paraId="10073D05">
            <w:pPr>
              <w:numPr>
                <w:ilvl w:val="0"/>
                <w:numId w:val="14"/>
              </w:numPr>
              <w:ind w:left="72" w:right="57" w:firstLine="420" w:firstLineChars="200"/>
            </w:pPr>
            <w:r>
              <w:t>本项目研究内容未获其他项目经费支持。</w:t>
            </w:r>
          </w:p>
          <w:p w14:paraId="00BC9A93">
            <w:pPr>
              <w:numPr>
                <w:ilvl w:val="0"/>
                <w:numId w:val="14"/>
              </w:numPr>
              <w:ind w:left="72" w:right="57" w:firstLine="420" w:firstLineChars="200"/>
            </w:pPr>
            <w:r>
              <w:t>遵守北京市自然科学基金的有关管理规定，保证研究工作时间，认真开展研究工作。</w:t>
            </w:r>
          </w:p>
          <w:p w14:paraId="5E829DE4">
            <w:pPr>
              <w:numPr>
                <w:ilvl w:val="0"/>
                <w:numId w:val="14"/>
              </w:numPr>
              <w:ind w:left="72" w:right="57" w:firstLine="420" w:firstLineChars="200"/>
            </w:pPr>
            <w:r>
              <w:t>项目经费按照</w:t>
            </w:r>
            <w:r>
              <w:rPr>
                <w:rFonts w:hint="eastAsia"/>
              </w:rPr>
              <w:t>《北京市自然科学基金项目经费管理办法》</w:t>
            </w:r>
            <w:r>
              <w:t>及依托单位相关管理规定执行。</w:t>
            </w:r>
          </w:p>
          <w:p w14:paraId="53F01F47">
            <w:pPr>
              <w:wordWrap w:val="0"/>
              <w:ind w:right="-57" w:firstLine="5145" w:firstLineChars="2450"/>
            </w:pPr>
            <w:r>
              <w:rPr>
                <w:szCs w:val="21"/>
              </w:rPr>
              <w:t>项目</w:t>
            </w:r>
            <w:r>
              <w:t xml:space="preserve">申请者（签字）： </w:t>
            </w:r>
            <w:r>
              <w:rPr>
                <w:rFonts w:ascii="宋体" w:hAnsi="宋体"/>
                <w:spacing w:val="-20"/>
                <w:szCs w:val="21"/>
              </w:rPr>
              <w:drawing>
                <wp:inline distT="0" distB="0" distL="114300" distR="114300">
                  <wp:extent cx="430530" cy="786765"/>
                  <wp:effectExtent l="0" t="0" r="0" b="0"/>
                  <wp:docPr id="15" name="图片 44" descr="签名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4" descr="签名照"/>
                          <pic:cNvPicPr>
                            <a:picLocks noChangeAspect="1"/>
                          </pic:cNvPicPr>
                        </pic:nvPicPr>
                        <pic:blipFill>
                          <a:blip r:embed="rId10"/>
                          <a:stretch>
                            <a:fillRect/>
                          </a:stretch>
                        </pic:blipFill>
                        <pic:spPr>
                          <a:xfrm rot="-5400000">
                            <a:off x="0" y="0"/>
                            <a:ext cx="430530" cy="786765"/>
                          </a:xfrm>
                          <a:prstGeom prst="rect">
                            <a:avLst/>
                          </a:prstGeom>
                          <a:noFill/>
                          <a:ln>
                            <a:noFill/>
                          </a:ln>
                        </pic:spPr>
                      </pic:pic>
                    </a:graphicData>
                  </a:graphic>
                </wp:inline>
              </w:drawing>
            </w:r>
            <w:r>
              <w:t xml:space="preserve">     </w:t>
            </w:r>
          </w:p>
          <w:p w14:paraId="3DECB7DE">
            <w:pPr>
              <w:wordWrap w:val="0"/>
              <w:ind w:right="-57" w:firstLine="5145" w:firstLineChars="2450"/>
            </w:pPr>
            <w:r>
              <w:t xml:space="preserve">  </w:t>
            </w:r>
          </w:p>
          <w:p w14:paraId="3D5687A8">
            <w:pPr>
              <w:wordWrap w:val="0"/>
              <w:ind w:left="-57" w:right="-57"/>
              <w:rPr>
                <w:rFonts w:eastAsia="黑体"/>
                <w:b/>
                <w:sz w:val="32"/>
              </w:rPr>
            </w:pPr>
            <w:r>
              <w:t xml:space="preserve">                                                            </w:t>
            </w:r>
            <w:r>
              <w:rPr>
                <w:rFonts w:hint="eastAsia"/>
              </w:rPr>
              <w:t>2026</w:t>
            </w:r>
            <w:r>
              <w:t xml:space="preserve">   年  </w:t>
            </w:r>
            <w:r>
              <w:rPr>
                <w:rFonts w:hint="eastAsia"/>
              </w:rPr>
              <w:t>4</w:t>
            </w:r>
            <w:r>
              <w:t xml:space="preserve">   月  </w:t>
            </w:r>
            <w:r>
              <w:rPr>
                <w:rFonts w:hint="eastAsia"/>
              </w:rPr>
              <w:t>14</w:t>
            </w:r>
            <w:r>
              <w:t xml:space="preserve">   日</w:t>
            </w:r>
          </w:p>
        </w:tc>
      </w:tr>
    </w:tbl>
    <w:p w14:paraId="5DF0E70A">
      <w:pPr>
        <w:spacing w:line="240" w:lineRule="auto"/>
        <w:ind w:right="71" w:rightChars="34"/>
        <w:rPr>
          <w:rFonts w:hint="eastAsia" w:ascii="宋体" w:hAnsi="宋体"/>
          <w:szCs w:val="21"/>
        </w:rPr>
      </w:pPr>
    </w:p>
    <w:p w14:paraId="7DDC52C8">
      <w:pPr>
        <w:wordWrap w:val="0"/>
        <w:spacing w:line="360" w:lineRule="auto"/>
        <w:ind w:right="-57"/>
        <w:outlineLvl w:val="0"/>
        <w:rPr>
          <w:rFonts w:eastAsia="黑体"/>
          <w:b/>
          <w:sz w:val="32"/>
        </w:rPr>
      </w:pPr>
      <w:r>
        <w:rPr>
          <w:rFonts w:hint="eastAsia" w:eastAsia="黑体"/>
          <w:b/>
          <w:sz w:val="32"/>
        </w:rPr>
        <w:t>五、</w:t>
      </w:r>
      <w:r>
        <w:rPr>
          <w:rFonts w:eastAsia="黑体"/>
          <w:b/>
          <w:sz w:val="32"/>
        </w:rPr>
        <w:t>单位审查意见</w:t>
      </w:r>
    </w:p>
    <w:tbl>
      <w:tblPr>
        <w:tblStyle w:val="13"/>
        <w:tblW w:w="9341" w:type="dxa"/>
        <w:tblInd w:w="10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9341"/>
      </w:tblGrid>
      <w:tr w14:paraId="0A18A4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5509" w:hRule="atLeast"/>
        </w:trPr>
        <w:tc>
          <w:tcPr>
            <w:tcW w:w="9341" w:type="dxa"/>
            <w:tcBorders>
              <w:bottom w:val="single" w:color="000000" w:sz="6" w:space="0"/>
            </w:tcBorders>
          </w:tcPr>
          <w:p w14:paraId="0860AEEE">
            <w:pPr>
              <w:wordWrap w:val="0"/>
              <w:ind w:right="-57"/>
              <w:rPr>
                <w:b/>
              </w:rPr>
            </w:pPr>
          </w:p>
          <w:p w14:paraId="0023A613">
            <w:pPr>
              <w:wordWrap w:val="0"/>
              <w:ind w:left="430" w:right="-57"/>
              <w:rPr>
                <w:b/>
              </w:rPr>
            </w:pPr>
          </w:p>
          <w:p w14:paraId="72A6D08F">
            <w:pPr>
              <w:ind w:left="72" w:right="57" w:firstLine="420" w:firstLineChars="200"/>
            </w:pPr>
            <w:r>
              <w:t>我单位已</w:t>
            </w:r>
            <w:r>
              <w:rPr>
                <w:rFonts w:hint="eastAsia"/>
              </w:rPr>
              <w:t>按照北京市自然科学基金相关规定对</w:t>
            </w:r>
            <w:r>
              <w:t>申请</w:t>
            </w:r>
            <w:r>
              <w:rPr>
                <w:rFonts w:hint="eastAsia"/>
              </w:rPr>
              <w:t>人及主要成员的资格和申请书内容</w:t>
            </w:r>
            <w:r>
              <w:t>进行了审查</w:t>
            </w:r>
            <w:r>
              <w:rPr>
                <w:rFonts w:hint="eastAsia"/>
              </w:rPr>
              <w:t>，申请人及主要成员符合项目申请条件，且该项目未重复立项。</w:t>
            </w:r>
          </w:p>
          <w:p w14:paraId="049BFDDB">
            <w:pPr>
              <w:ind w:right="57" w:firstLine="420" w:firstLineChars="200"/>
            </w:pPr>
            <w:r>
              <w:rPr>
                <w:rFonts w:hint="eastAsia"/>
              </w:rPr>
              <w:t>我单位</w:t>
            </w:r>
            <w:r>
              <w:t>保证在项目获得资助后将做到以下几点：</w:t>
            </w:r>
          </w:p>
          <w:p w14:paraId="6F667ED1">
            <w:pPr>
              <w:ind w:left="72" w:right="57" w:firstLine="359" w:firstLineChars="171"/>
            </w:pPr>
            <w:r>
              <w:fldChar w:fldCharType="begin"/>
            </w:r>
            <w:r>
              <w:instrText xml:space="preserve"> </w:instrText>
            </w:r>
            <w:r>
              <w:rPr>
                <w:rFonts w:hint="eastAsia"/>
              </w:rPr>
              <w:instrText xml:space="preserve">= 1 \* GB2</w:instrText>
            </w:r>
            <w:r>
              <w:instrText xml:space="preserve"> </w:instrText>
            </w:r>
            <w:r>
              <w:fldChar w:fldCharType="separate"/>
            </w:r>
            <w:r>
              <w:rPr>
                <w:rFonts w:hint="eastAsia"/>
              </w:rPr>
              <w:t>⑴</w:t>
            </w:r>
            <w:r>
              <w:fldChar w:fldCharType="end"/>
            </w:r>
            <w:r>
              <w:t>保证在研究计划实施所需的人力、物力和工作时间等方面给予支持。</w:t>
            </w:r>
          </w:p>
          <w:p w14:paraId="4A1C03F9">
            <w:pPr>
              <w:ind w:left="72" w:right="57" w:firstLine="359" w:firstLineChars="171"/>
            </w:pPr>
            <w:r>
              <w:fldChar w:fldCharType="begin"/>
            </w:r>
            <w:r>
              <w:instrText xml:space="preserve"> </w:instrText>
            </w:r>
            <w:r>
              <w:rPr>
                <w:rFonts w:hint="eastAsia"/>
              </w:rPr>
              <w:instrText xml:space="preserve">= 2 \* GB2</w:instrText>
            </w:r>
            <w:r>
              <w:instrText xml:space="preserve"> </w:instrText>
            </w:r>
            <w:r>
              <w:fldChar w:fldCharType="separate"/>
            </w:r>
            <w:r>
              <w:rPr>
                <w:rFonts w:hint="eastAsia"/>
              </w:rPr>
              <w:t>⑵</w:t>
            </w:r>
            <w:r>
              <w:fldChar w:fldCharType="end"/>
            </w:r>
            <w:r>
              <w:t>严格遵守北京市自然科学基金有关资助项目管理、财务管理等各项规定。</w:t>
            </w:r>
          </w:p>
          <w:p w14:paraId="2FD13E9A">
            <w:pPr>
              <w:ind w:left="72" w:right="57" w:firstLine="359" w:firstLineChars="171"/>
            </w:pPr>
            <w:r>
              <w:fldChar w:fldCharType="begin"/>
            </w:r>
            <w:r>
              <w:instrText xml:space="preserve"> </w:instrText>
            </w:r>
            <w:r>
              <w:rPr>
                <w:rFonts w:hint="eastAsia"/>
              </w:rPr>
              <w:instrText xml:space="preserve">= 3 \* GB2</w:instrText>
            </w:r>
            <w:r>
              <w:instrText xml:space="preserve"> </w:instrText>
            </w:r>
            <w:r>
              <w:fldChar w:fldCharType="separate"/>
            </w:r>
            <w:r>
              <w:rPr>
                <w:rFonts w:hint="eastAsia"/>
              </w:rPr>
              <w:t>⑶</w:t>
            </w:r>
            <w:r>
              <w:fldChar w:fldCharType="end"/>
            </w:r>
            <w:r>
              <w:t>督促项目负责人和本单位项目管理部门，按北京市自然科学基金的</w:t>
            </w:r>
            <w:r>
              <w:rPr>
                <w:rFonts w:hint="eastAsia"/>
              </w:rPr>
              <w:t>相关</w:t>
            </w:r>
            <w:r>
              <w:t>规定，及时报送有关材料。</w:t>
            </w:r>
          </w:p>
          <w:p w14:paraId="095B56F1">
            <w:pPr>
              <w:wordWrap w:val="0"/>
              <w:ind w:right="-57"/>
            </w:pPr>
          </w:p>
          <w:p w14:paraId="1023097C">
            <w:pPr>
              <w:wordWrap w:val="0"/>
              <w:ind w:right="-57"/>
            </w:pPr>
          </w:p>
          <w:p w14:paraId="2B2F9AC9">
            <w:pPr>
              <w:wordWrap w:val="0"/>
              <w:ind w:right="-57"/>
            </w:pPr>
          </w:p>
          <w:p w14:paraId="5C51E876">
            <w:pPr>
              <w:wordWrap w:val="0"/>
              <w:ind w:right="-57"/>
            </w:pPr>
          </w:p>
          <w:p w14:paraId="4D4FCFBB">
            <w:pPr>
              <w:wordWrap w:val="0"/>
              <w:ind w:right="-57" w:firstLine="630" w:firstLineChars="300"/>
            </w:pPr>
            <w:r>
              <w:t>单位负责人（签字或签章）：                   单位（公章）：</w:t>
            </w:r>
          </w:p>
          <w:p w14:paraId="09E1231C">
            <w:pPr>
              <w:wordWrap w:val="0"/>
              <w:ind w:left="-57" w:right="-57" w:firstLine="540"/>
            </w:pPr>
          </w:p>
          <w:p w14:paraId="1D0CAB69">
            <w:pPr>
              <w:wordWrap w:val="0"/>
              <w:ind w:left="-57" w:leftChars="-27" w:right="-57" w:firstLine="5474" w:firstLineChars="2607"/>
            </w:pPr>
            <w:r>
              <w:t xml:space="preserve">        年    月    日</w:t>
            </w:r>
          </w:p>
        </w:tc>
      </w:tr>
    </w:tbl>
    <w:p w14:paraId="6E6B95AB">
      <w:pPr>
        <w:wordWrap w:val="0"/>
        <w:spacing w:line="360" w:lineRule="auto"/>
        <w:ind w:right="-57"/>
      </w:pPr>
    </w:p>
    <w:sectPr>
      <w:pgSz w:w="11907" w:h="16840"/>
      <w:pgMar w:top="964" w:right="1134" w:bottom="964" w:left="1418" w:header="851" w:footer="737" w:gutter="0"/>
      <w:pgNumType w:fmt="numberInDash"/>
      <w:cols w:space="720" w:num="1"/>
      <w:docGrid w:linePitch="28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Arial Unicode MS">
    <w:altName w:val="Arial"/>
    <w:panose1 w:val="020B0604020202020204"/>
    <w:charset w:val="00"/>
    <w:family w:val="roman"/>
    <w:pitch w:val="default"/>
    <w:sig w:usb0="00000000" w:usb1="00000000" w:usb2="00000000" w:usb3="00000000" w:csb0="00000001" w:csb1="00000000"/>
  </w:font>
  <w:font w:name="隶书_GB2312">
    <w:altName w:val="隶书"/>
    <w:panose1 w:val="00000000000000000000"/>
    <w:charset w:val="86"/>
    <w:family w:val="auto"/>
    <w:pitch w:val="default"/>
    <w:sig w:usb0="00000000" w:usb1="00000000" w:usb2="00000010" w:usb3="00000000" w:csb0="00040000" w:csb1="00000000"/>
  </w:font>
  <w:font w:name="隶书">
    <w:panose1 w:val="02010509060101010101"/>
    <w:charset w:val="86"/>
    <w:family w:val="auto"/>
    <w:pitch w:val="default"/>
    <w:sig w:usb0="00000001" w:usb1="080E0000" w:usb2="0000000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DejaVu Math TeX Gyre">
    <w:panose1 w:val="02000503000000000000"/>
    <w:charset w:val="00"/>
    <w:family w:val="auto"/>
    <w:pitch w:val="default"/>
    <w:sig w:usb0="A10000EF" w:usb1="4201F9EE" w:usb2="02000000" w:usb3="00000000" w:csb0="60000193" w:csb1="0DD4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Yu Gothic UI">
    <w:panose1 w:val="020B0500000000000000"/>
    <w:charset w:val="80"/>
    <w:family w:val="auto"/>
    <w:pitch w:val="default"/>
    <w:sig w:usb0="E00002FF" w:usb1="2AC7FDFF" w:usb2="00000016" w:usb3="00000000" w:csb0="2002009F"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04D1C">
    <w:pPr>
      <w:jc w:val="center"/>
    </w:pPr>
    <w:r>
      <w:fldChar w:fldCharType="begin"/>
    </w:r>
    <w:r>
      <w:instrText xml:space="preserve"> PAGE   \* MERGEFORMAT </w:instrText>
    </w:r>
    <w:r>
      <w:fldChar w:fldCharType="separate"/>
    </w:r>
    <w:r>
      <w:rPr>
        <w:lang w:val="zh-CN"/>
      </w:rPr>
      <w:t>-</w:t>
    </w:r>
    <w:r>
      <w:t xml:space="preserve"> 18 -</w:t>
    </w:r>
    <w:r>
      <w:fldChar w:fldCharType="end"/>
    </w:r>
  </w:p>
  <w:p w14:paraId="54EB18CA">
    <w:pPr>
      <w:spacing w:line="14" w:lineRule="exact"/>
      <w:ind w:right="35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ABD51">
    <w:pPr>
      <w:framePr w:wrap="around" w:vAnchor="text" w:hAnchor="margin" w:xAlign="right" w:y="1"/>
      <w:rPr>
        <w:rStyle w:val="17"/>
      </w:rPr>
    </w:pPr>
    <w:r>
      <w:rPr>
        <w:rStyle w:val="17"/>
      </w:rPr>
      <w:fldChar w:fldCharType="begin"/>
    </w:r>
    <w:r>
      <w:rPr>
        <w:rStyle w:val="17"/>
      </w:rPr>
      <w:instrText xml:space="preserve">PAGE  </w:instrText>
    </w:r>
    <w:r>
      <w:rPr>
        <w:rStyle w:val="17"/>
      </w:rPr>
      <w:fldChar w:fldCharType="end"/>
    </w:r>
  </w:p>
  <w:p w14:paraId="2EFDB4E1">
    <w:pPr>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8E65E">
    <w:pPr>
      <w:jc w:val="center"/>
    </w:pPr>
    <w:r>
      <w:fldChar w:fldCharType="begin"/>
    </w:r>
    <w:r>
      <w:instrText xml:space="preserve"> PAGE   \* MERGEFORMAT </w:instrText>
    </w:r>
    <w:r>
      <w:fldChar w:fldCharType="separate"/>
    </w:r>
    <w:r>
      <w:rPr>
        <w:lang w:val="zh-CN"/>
      </w:rPr>
      <w:t>-</w:t>
    </w:r>
    <w:r>
      <w:t xml:space="preserve"> 15 -</w:t>
    </w:r>
    <w:r>
      <w:fldChar w:fldCharType="end"/>
    </w:r>
  </w:p>
  <w:p w14:paraId="46DA623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5F23C9"/>
    <w:multiLevelType w:val="singleLevel"/>
    <w:tmpl w:val="8D5F23C9"/>
    <w:lvl w:ilvl="0" w:tentative="0">
      <w:start w:val="1"/>
      <w:numFmt w:val="decimal"/>
      <w:lvlText w:val="[%1]"/>
      <w:lvlJc w:val="left"/>
      <w:pPr>
        <w:tabs>
          <w:tab w:val="left" w:pos="420"/>
        </w:tabs>
        <w:ind w:left="425" w:hanging="425"/>
      </w:pPr>
      <w:rPr>
        <w:rFonts w:hint="default" w:ascii="宋体" w:hAnsi="宋体" w:eastAsia="宋体" w:cs="宋体"/>
      </w:rPr>
    </w:lvl>
  </w:abstractNum>
  <w:abstractNum w:abstractNumId="1">
    <w:nsid w:val="929ACED8"/>
    <w:multiLevelType w:val="singleLevel"/>
    <w:tmpl w:val="929ACED8"/>
    <w:lvl w:ilvl="0" w:tentative="0">
      <w:start w:val="1"/>
      <w:numFmt w:val="decimal"/>
      <w:suff w:val="nothing"/>
      <w:lvlText w:val="（%1）"/>
      <w:lvlJc w:val="left"/>
    </w:lvl>
  </w:abstractNum>
  <w:abstractNum w:abstractNumId="2">
    <w:nsid w:val="B0264613"/>
    <w:multiLevelType w:val="singleLevel"/>
    <w:tmpl w:val="B0264613"/>
    <w:lvl w:ilvl="0" w:tentative="0">
      <w:start w:val="1"/>
      <w:numFmt w:val="chineseCounting"/>
      <w:suff w:val="nothing"/>
      <w:lvlText w:val="第%1，"/>
      <w:lvlJc w:val="left"/>
      <w:rPr>
        <w:rFonts w:hint="eastAsia"/>
      </w:rPr>
    </w:lvl>
  </w:abstractNum>
  <w:abstractNum w:abstractNumId="3">
    <w:nsid w:val="B7A683A3"/>
    <w:multiLevelType w:val="singleLevel"/>
    <w:tmpl w:val="B7A683A3"/>
    <w:lvl w:ilvl="0" w:tentative="0">
      <w:start w:val="1"/>
      <w:numFmt w:val="decimal"/>
      <w:lvlText w:val="%1."/>
      <w:lvlJc w:val="left"/>
      <w:pPr>
        <w:ind w:left="425" w:hanging="425"/>
      </w:pPr>
      <w:rPr>
        <w:rFonts w:hint="default"/>
      </w:rPr>
    </w:lvl>
  </w:abstractNum>
  <w:abstractNum w:abstractNumId="4">
    <w:nsid w:val="C6C1F5D3"/>
    <w:multiLevelType w:val="singleLevel"/>
    <w:tmpl w:val="C6C1F5D3"/>
    <w:lvl w:ilvl="0" w:tentative="0">
      <w:start w:val="1"/>
      <w:numFmt w:val="decimal"/>
      <w:suff w:val="nothing"/>
      <w:lvlText w:val="（%1）"/>
      <w:lvlJc w:val="left"/>
    </w:lvl>
  </w:abstractNum>
  <w:abstractNum w:abstractNumId="5">
    <w:nsid w:val="CC9BF739"/>
    <w:multiLevelType w:val="singleLevel"/>
    <w:tmpl w:val="CC9BF739"/>
    <w:lvl w:ilvl="0" w:tentative="0">
      <w:start w:val="1"/>
      <w:numFmt w:val="decimal"/>
      <w:lvlText w:val="%1."/>
      <w:lvlJc w:val="left"/>
      <w:pPr>
        <w:ind w:left="425" w:hanging="425"/>
      </w:pPr>
      <w:rPr>
        <w:rFonts w:hint="default"/>
      </w:rPr>
    </w:lvl>
  </w:abstractNum>
  <w:abstractNum w:abstractNumId="6">
    <w:nsid w:val="D53DAEA7"/>
    <w:multiLevelType w:val="singleLevel"/>
    <w:tmpl w:val="D53DAEA7"/>
    <w:lvl w:ilvl="0" w:tentative="0">
      <w:start w:val="1"/>
      <w:numFmt w:val="lowerRoman"/>
      <w:suff w:val="nothing"/>
      <w:lvlText w:val="（%1）"/>
      <w:lvlJc w:val="left"/>
    </w:lvl>
  </w:abstractNum>
  <w:abstractNum w:abstractNumId="7">
    <w:nsid w:val="FB24A3F6"/>
    <w:multiLevelType w:val="singleLevel"/>
    <w:tmpl w:val="FB24A3F6"/>
    <w:lvl w:ilvl="0" w:tentative="0">
      <w:start w:val="1"/>
      <w:numFmt w:val="decimal"/>
      <w:suff w:val="nothing"/>
      <w:lvlText w:val="（%1）"/>
      <w:lvlJc w:val="left"/>
      <w:pPr>
        <w:ind w:left="105" w:firstLine="0"/>
      </w:pPr>
      <w:rPr>
        <w:rFonts w:hint="default" w:ascii="宋体" w:hAnsi="宋体" w:eastAsia="宋体" w:cs="宋体"/>
        <w:sz w:val="21"/>
        <w:szCs w:val="21"/>
      </w:rPr>
    </w:lvl>
  </w:abstractNum>
  <w:abstractNum w:abstractNumId="8">
    <w:nsid w:val="002AC683"/>
    <w:multiLevelType w:val="singleLevel"/>
    <w:tmpl w:val="002AC683"/>
    <w:lvl w:ilvl="0" w:tentative="0">
      <w:start w:val="1"/>
      <w:numFmt w:val="decimal"/>
      <w:suff w:val="nothing"/>
      <w:lvlText w:val="（%1）"/>
      <w:lvlJc w:val="left"/>
    </w:lvl>
  </w:abstractNum>
  <w:abstractNum w:abstractNumId="9">
    <w:nsid w:val="204561E6"/>
    <w:multiLevelType w:val="singleLevel"/>
    <w:tmpl w:val="204561E6"/>
    <w:lvl w:ilvl="0" w:tentative="0">
      <w:start w:val="1"/>
      <w:numFmt w:val="lowerLetter"/>
      <w:suff w:val="space"/>
      <w:lvlText w:val="(%1)"/>
      <w:lvlJc w:val="left"/>
    </w:lvl>
  </w:abstractNum>
  <w:abstractNum w:abstractNumId="10">
    <w:nsid w:val="33548DA9"/>
    <w:multiLevelType w:val="singleLevel"/>
    <w:tmpl w:val="33548DA9"/>
    <w:lvl w:ilvl="0" w:tentative="0">
      <w:start w:val="1"/>
      <w:numFmt w:val="decimal"/>
      <w:lvlText w:val="%1."/>
      <w:lvlJc w:val="left"/>
      <w:pPr>
        <w:tabs>
          <w:tab w:val="left" w:pos="312"/>
        </w:tabs>
      </w:pPr>
    </w:lvl>
  </w:abstractNum>
  <w:abstractNum w:abstractNumId="11">
    <w:nsid w:val="5551E5D3"/>
    <w:multiLevelType w:val="singleLevel"/>
    <w:tmpl w:val="5551E5D3"/>
    <w:lvl w:ilvl="0" w:tentative="0">
      <w:start w:val="1"/>
      <w:numFmt w:val="decimal"/>
      <w:suff w:val="nothing"/>
      <w:lvlText w:val="（%1）"/>
      <w:lvlJc w:val="left"/>
      <w:pPr>
        <w:ind w:left="105" w:firstLine="0"/>
      </w:pPr>
      <w:rPr>
        <w:rFonts w:hint="default" w:ascii="宋体" w:hAnsi="宋体" w:eastAsia="宋体" w:cs="宋体"/>
        <w:sz w:val="21"/>
        <w:szCs w:val="21"/>
      </w:rPr>
    </w:lvl>
  </w:abstractNum>
  <w:abstractNum w:abstractNumId="12">
    <w:nsid w:val="6178384C"/>
    <w:multiLevelType w:val="singleLevel"/>
    <w:tmpl w:val="6178384C"/>
    <w:lvl w:ilvl="0" w:tentative="0">
      <w:start w:val="1"/>
      <w:numFmt w:val="decimal"/>
      <w:suff w:val="nothing"/>
      <w:lvlText w:val="（%1）"/>
      <w:lvlJc w:val="left"/>
    </w:lvl>
  </w:abstractNum>
  <w:abstractNum w:abstractNumId="13">
    <w:nsid w:val="63D44CA0"/>
    <w:multiLevelType w:val="singleLevel"/>
    <w:tmpl w:val="63D44CA0"/>
    <w:lvl w:ilvl="0" w:tentative="0">
      <w:start w:val="1"/>
      <w:numFmt w:val="decimal"/>
      <w:lvlText w:val="%1."/>
      <w:lvlJc w:val="left"/>
      <w:pPr>
        <w:ind w:left="425" w:hanging="425"/>
      </w:pPr>
      <w:rPr>
        <w:rFonts w:hint="default"/>
      </w:rPr>
    </w:lvl>
  </w:abstractNum>
  <w:num w:numId="1">
    <w:abstractNumId w:val="2"/>
  </w:num>
  <w:num w:numId="2">
    <w:abstractNumId w:val="0"/>
  </w:num>
  <w:num w:numId="3">
    <w:abstractNumId w:val="5"/>
  </w:num>
  <w:num w:numId="4">
    <w:abstractNumId w:val="12"/>
  </w:num>
  <w:num w:numId="5">
    <w:abstractNumId w:val="1"/>
  </w:num>
  <w:num w:numId="6">
    <w:abstractNumId w:val="13"/>
  </w:num>
  <w:num w:numId="7">
    <w:abstractNumId w:val="8"/>
  </w:num>
  <w:num w:numId="8">
    <w:abstractNumId w:val="9"/>
  </w:num>
  <w:num w:numId="9">
    <w:abstractNumId w:val="6"/>
  </w:num>
  <w:num w:numId="10">
    <w:abstractNumId w:val="7"/>
  </w:num>
  <w:num w:numId="11">
    <w:abstractNumId w:val="11"/>
  </w:num>
  <w:num w:numId="12">
    <w:abstractNumId w:val="3"/>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enforcement="0"/>
  <w:defaultTabStop w:val="420"/>
  <w:drawingGridHorizontalSpacing w:val="105"/>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U5ZDk4YTVjODMyOTQ1MTEwNjliYzlkNGViNjkwYjIifQ=="/>
  </w:docVars>
  <w:rsids>
    <w:rsidRoot w:val="00C90C84"/>
    <w:rsid w:val="000018BE"/>
    <w:rsid w:val="00007EFF"/>
    <w:rsid w:val="00011489"/>
    <w:rsid w:val="000115E1"/>
    <w:rsid w:val="0001170A"/>
    <w:rsid w:val="0001330F"/>
    <w:rsid w:val="0001372E"/>
    <w:rsid w:val="00014520"/>
    <w:rsid w:val="00015C5F"/>
    <w:rsid w:val="00016A37"/>
    <w:rsid w:val="00016B4F"/>
    <w:rsid w:val="00017627"/>
    <w:rsid w:val="000237B8"/>
    <w:rsid w:val="00035747"/>
    <w:rsid w:val="0003579F"/>
    <w:rsid w:val="00035D8E"/>
    <w:rsid w:val="000367D3"/>
    <w:rsid w:val="00042B41"/>
    <w:rsid w:val="0004441D"/>
    <w:rsid w:val="00045BB7"/>
    <w:rsid w:val="00046D37"/>
    <w:rsid w:val="00047DE6"/>
    <w:rsid w:val="00047F31"/>
    <w:rsid w:val="0005043A"/>
    <w:rsid w:val="0005101D"/>
    <w:rsid w:val="00053516"/>
    <w:rsid w:val="00054C4A"/>
    <w:rsid w:val="00054FCA"/>
    <w:rsid w:val="00055C0B"/>
    <w:rsid w:val="00055D25"/>
    <w:rsid w:val="000564FF"/>
    <w:rsid w:val="00061246"/>
    <w:rsid w:val="00061CCD"/>
    <w:rsid w:val="0006240D"/>
    <w:rsid w:val="00062805"/>
    <w:rsid w:val="00063A4D"/>
    <w:rsid w:val="000648AF"/>
    <w:rsid w:val="00064985"/>
    <w:rsid w:val="00065E0E"/>
    <w:rsid w:val="000673E2"/>
    <w:rsid w:val="00067E55"/>
    <w:rsid w:val="000702C6"/>
    <w:rsid w:val="00071498"/>
    <w:rsid w:val="0007308B"/>
    <w:rsid w:val="00073F06"/>
    <w:rsid w:val="00080114"/>
    <w:rsid w:val="000810FA"/>
    <w:rsid w:val="00081963"/>
    <w:rsid w:val="000826C0"/>
    <w:rsid w:val="00082B21"/>
    <w:rsid w:val="0008434A"/>
    <w:rsid w:val="00086A34"/>
    <w:rsid w:val="00087741"/>
    <w:rsid w:val="0009052B"/>
    <w:rsid w:val="00090BFB"/>
    <w:rsid w:val="00091463"/>
    <w:rsid w:val="0009255E"/>
    <w:rsid w:val="0009469B"/>
    <w:rsid w:val="000A0533"/>
    <w:rsid w:val="000A0D32"/>
    <w:rsid w:val="000A17EE"/>
    <w:rsid w:val="000A1B83"/>
    <w:rsid w:val="000A1CCD"/>
    <w:rsid w:val="000A5840"/>
    <w:rsid w:val="000A6C75"/>
    <w:rsid w:val="000A7461"/>
    <w:rsid w:val="000B031C"/>
    <w:rsid w:val="000B49D8"/>
    <w:rsid w:val="000B5E34"/>
    <w:rsid w:val="000C11BA"/>
    <w:rsid w:val="000C46EC"/>
    <w:rsid w:val="000C5C2D"/>
    <w:rsid w:val="000D2E37"/>
    <w:rsid w:val="000D5E40"/>
    <w:rsid w:val="000D66BA"/>
    <w:rsid w:val="000D67BD"/>
    <w:rsid w:val="000E127B"/>
    <w:rsid w:val="000E27C5"/>
    <w:rsid w:val="000E5645"/>
    <w:rsid w:val="000E5CC3"/>
    <w:rsid w:val="000E719A"/>
    <w:rsid w:val="000E719B"/>
    <w:rsid w:val="000E74B7"/>
    <w:rsid w:val="000F3B44"/>
    <w:rsid w:val="000F794B"/>
    <w:rsid w:val="0010144E"/>
    <w:rsid w:val="001017CE"/>
    <w:rsid w:val="001017F1"/>
    <w:rsid w:val="00101E46"/>
    <w:rsid w:val="001027B3"/>
    <w:rsid w:val="0010388B"/>
    <w:rsid w:val="00103C08"/>
    <w:rsid w:val="001041EC"/>
    <w:rsid w:val="001057E8"/>
    <w:rsid w:val="00105D4F"/>
    <w:rsid w:val="00106258"/>
    <w:rsid w:val="00107C82"/>
    <w:rsid w:val="0011125F"/>
    <w:rsid w:val="0011364B"/>
    <w:rsid w:val="00115180"/>
    <w:rsid w:val="00115EC4"/>
    <w:rsid w:val="00117776"/>
    <w:rsid w:val="00117852"/>
    <w:rsid w:val="00120940"/>
    <w:rsid w:val="0012095F"/>
    <w:rsid w:val="00120CF2"/>
    <w:rsid w:val="00121E1F"/>
    <w:rsid w:val="00124DC0"/>
    <w:rsid w:val="00125A9C"/>
    <w:rsid w:val="00125FBC"/>
    <w:rsid w:val="0013054E"/>
    <w:rsid w:val="001314B4"/>
    <w:rsid w:val="001341E9"/>
    <w:rsid w:val="00135009"/>
    <w:rsid w:val="001370A0"/>
    <w:rsid w:val="001413D6"/>
    <w:rsid w:val="00141512"/>
    <w:rsid w:val="001426E7"/>
    <w:rsid w:val="00142AA5"/>
    <w:rsid w:val="00146FE7"/>
    <w:rsid w:val="001470CB"/>
    <w:rsid w:val="001472D8"/>
    <w:rsid w:val="0015046B"/>
    <w:rsid w:val="001506E5"/>
    <w:rsid w:val="00153451"/>
    <w:rsid w:val="001546AF"/>
    <w:rsid w:val="00154843"/>
    <w:rsid w:val="001625F0"/>
    <w:rsid w:val="00162944"/>
    <w:rsid w:val="001642AF"/>
    <w:rsid w:val="00165846"/>
    <w:rsid w:val="00184523"/>
    <w:rsid w:val="001852C4"/>
    <w:rsid w:val="001862F0"/>
    <w:rsid w:val="001901E5"/>
    <w:rsid w:val="00190E59"/>
    <w:rsid w:val="00191F3E"/>
    <w:rsid w:val="001928BF"/>
    <w:rsid w:val="001942C9"/>
    <w:rsid w:val="00194D49"/>
    <w:rsid w:val="00194E1A"/>
    <w:rsid w:val="001958CF"/>
    <w:rsid w:val="00195C0A"/>
    <w:rsid w:val="0019626F"/>
    <w:rsid w:val="00197C0A"/>
    <w:rsid w:val="001A1513"/>
    <w:rsid w:val="001A2BF4"/>
    <w:rsid w:val="001A5202"/>
    <w:rsid w:val="001A7558"/>
    <w:rsid w:val="001A7CC8"/>
    <w:rsid w:val="001B14C5"/>
    <w:rsid w:val="001B1533"/>
    <w:rsid w:val="001B170F"/>
    <w:rsid w:val="001B430A"/>
    <w:rsid w:val="001B5CA9"/>
    <w:rsid w:val="001C058C"/>
    <w:rsid w:val="001C1D70"/>
    <w:rsid w:val="001D0C19"/>
    <w:rsid w:val="001D315D"/>
    <w:rsid w:val="001D337A"/>
    <w:rsid w:val="001D768B"/>
    <w:rsid w:val="001E1333"/>
    <w:rsid w:val="001E2F1D"/>
    <w:rsid w:val="001E563B"/>
    <w:rsid w:val="001E5919"/>
    <w:rsid w:val="001E6ADF"/>
    <w:rsid w:val="001E7E30"/>
    <w:rsid w:val="001F09AD"/>
    <w:rsid w:val="001F7126"/>
    <w:rsid w:val="001F7B7F"/>
    <w:rsid w:val="0020436D"/>
    <w:rsid w:val="002048D7"/>
    <w:rsid w:val="00204CD7"/>
    <w:rsid w:val="00206AA4"/>
    <w:rsid w:val="00207939"/>
    <w:rsid w:val="00210279"/>
    <w:rsid w:val="00210B02"/>
    <w:rsid w:val="0021162C"/>
    <w:rsid w:val="00211635"/>
    <w:rsid w:val="00211A1F"/>
    <w:rsid w:val="00214A91"/>
    <w:rsid w:val="00216637"/>
    <w:rsid w:val="0022282B"/>
    <w:rsid w:val="00224164"/>
    <w:rsid w:val="00225CF3"/>
    <w:rsid w:val="00226EDF"/>
    <w:rsid w:val="0022783D"/>
    <w:rsid w:val="00227ABE"/>
    <w:rsid w:val="00230028"/>
    <w:rsid w:val="0023464F"/>
    <w:rsid w:val="00235B52"/>
    <w:rsid w:val="00237599"/>
    <w:rsid w:val="002416F0"/>
    <w:rsid w:val="00241E3A"/>
    <w:rsid w:val="002449D8"/>
    <w:rsid w:val="00244CE1"/>
    <w:rsid w:val="00245B33"/>
    <w:rsid w:val="002471DB"/>
    <w:rsid w:val="002542A3"/>
    <w:rsid w:val="0025440D"/>
    <w:rsid w:val="002567C7"/>
    <w:rsid w:val="00257886"/>
    <w:rsid w:val="0025789A"/>
    <w:rsid w:val="002609C4"/>
    <w:rsid w:val="0026146E"/>
    <w:rsid w:val="00262769"/>
    <w:rsid w:val="002631FA"/>
    <w:rsid w:val="00266871"/>
    <w:rsid w:val="00271B29"/>
    <w:rsid w:val="00282012"/>
    <w:rsid w:val="00282B0B"/>
    <w:rsid w:val="00284BD8"/>
    <w:rsid w:val="002910F3"/>
    <w:rsid w:val="00291E31"/>
    <w:rsid w:val="00292023"/>
    <w:rsid w:val="0029219E"/>
    <w:rsid w:val="00293E0D"/>
    <w:rsid w:val="0029671A"/>
    <w:rsid w:val="002A0E8F"/>
    <w:rsid w:val="002A11D6"/>
    <w:rsid w:val="002A48EC"/>
    <w:rsid w:val="002A4B33"/>
    <w:rsid w:val="002A7806"/>
    <w:rsid w:val="002B16F9"/>
    <w:rsid w:val="002B1870"/>
    <w:rsid w:val="002B33FF"/>
    <w:rsid w:val="002B355B"/>
    <w:rsid w:val="002B529E"/>
    <w:rsid w:val="002B5648"/>
    <w:rsid w:val="002B7E46"/>
    <w:rsid w:val="002C46D5"/>
    <w:rsid w:val="002C4A85"/>
    <w:rsid w:val="002C50C4"/>
    <w:rsid w:val="002C5D39"/>
    <w:rsid w:val="002D11C8"/>
    <w:rsid w:val="002D3E48"/>
    <w:rsid w:val="002D4649"/>
    <w:rsid w:val="002D590E"/>
    <w:rsid w:val="002D6983"/>
    <w:rsid w:val="002E10D3"/>
    <w:rsid w:val="002E188E"/>
    <w:rsid w:val="002E1B51"/>
    <w:rsid w:val="002E2675"/>
    <w:rsid w:val="002F051F"/>
    <w:rsid w:val="002F29BA"/>
    <w:rsid w:val="002F2EC9"/>
    <w:rsid w:val="002F6350"/>
    <w:rsid w:val="002F780D"/>
    <w:rsid w:val="00300721"/>
    <w:rsid w:val="003011EB"/>
    <w:rsid w:val="00302024"/>
    <w:rsid w:val="003027D4"/>
    <w:rsid w:val="00303BB5"/>
    <w:rsid w:val="00305CCD"/>
    <w:rsid w:val="00306477"/>
    <w:rsid w:val="00307A92"/>
    <w:rsid w:val="003125D2"/>
    <w:rsid w:val="00312957"/>
    <w:rsid w:val="00317290"/>
    <w:rsid w:val="0032025E"/>
    <w:rsid w:val="0032066C"/>
    <w:rsid w:val="00324114"/>
    <w:rsid w:val="003245C4"/>
    <w:rsid w:val="00330B80"/>
    <w:rsid w:val="0033109C"/>
    <w:rsid w:val="00331C3B"/>
    <w:rsid w:val="00335945"/>
    <w:rsid w:val="00337164"/>
    <w:rsid w:val="00337808"/>
    <w:rsid w:val="0034050B"/>
    <w:rsid w:val="00341373"/>
    <w:rsid w:val="00341C42"/>
    <w:rsid w:val="003475DD"/>
    <w:rsid w:val="0035048A"/>
    <w:rsid w:val="00352246"/>
    <w:rsid w:val="00353999"/>
    <w:rsid w:val="0035546B"/>
    <w:rsid w:val="003557EA"/>
    <w:rsid w:val="003566A1"/>
    <w:rsid w:val="00356FDD"/>
    <w:rsid w:val="003577B5"/>
    <w:rsid w:val="00364052"/>
    <w:rsid w:val="003651CD"/>
    <w:rsid w:val="00370026"/>
    <w:rsid w:val="00371B01"/>
    <w:rsid w:val="00374504"/>
    <w:rsid w:val="00376D32"/>
    <w:rsid w:val="00377349"/>
    <w:rsid w:val="00381E44"/>
    <w:rsid w:val="003822A4"/>
    <w:rsid w:val="00382479"/>
    <w:rsid w:val="0038354A"/>
    <w:rsid w:val="00383A47"/>
    <w:rsid w:val="00385200"/>
    <w:rsid w:val="003877A0"/>
    <w:rsid w:val="00390230"/>
    <w:rsid w:val="00391170"/>
    <w:rsid w:val="00391918"/>
    <w:rsid w:val="0039366A"/>
    <w:rsid w:val="00393916"/>
    <w:rsid w:val="0039407C"/>
    <w:rsid w:val="003A4E6F"/>
    <w:rsid w:val="003A6199"/>
    <w:rsid w:val="003A669D"/>
    <w:rsid w:val="003A6BDE"/>
    <w:rsid w:val="003B0DD0"/>
    <w:rsid w:val="003B4328"/>
    <w:rsid w:val="003B468F"/>
    <w:rsid w:val="003B589E"/>
    <w:rsid w:val="003B6D27"/>
    <w:rsid w:val="003C1C4E"/>
    <w:rsid w:val="003C1DCC"/>
    <w:rsid w:val="003C692E"/>
    <w:rsid w:val="003C730F"/>
    <w:rsid w:val="003D14F2"/>
    <w:rsid w:val="003D48CB"/>
    <w:rsid w:val="003D63F4"/>
    <w:rsid w:val="003E00D6"/>
    <w:rsid w:val="003E0522"/>
    <w:rsid w:val="003E2408"/>
    <w:rsid w:val="003E2897"/>
    <w:rsid w:val="003E604D"/>
    <w:rsid w:val="003F4AE0"/>
    <w:rsid w:val="003F4DFC"/>
    <w:rsid w:val="003F6BB5"/>
    <w:rsid w:val="00402CD8"/>
    <w:rsid w:val="004056A4"/>
    <w:rsid w:val="00406195"/>
    <w:rsid w:val="0041140A"/>
    <w:rsid w:val="00412482"/>
    <w:rsid w:val="0041364F"/>
    <w:rsid w:val="00414076"/>
    <w:rsid w:val="00414B82"/>
    <w:rsid w:val="00417645"/>
    <w:rsid w:val="00420698"/>
    <w:rsid w:val="004253A4"/>
    <w:rsid w:val="004274BF"/>
    <w:rsid w:val="00430C33"/>
    <w:rsid w:val="00435ED2"/>
    <w:rsid w:val="00437658"/>
    <w:rsid w:val="00437B42"/>
    <w:rsid w:val="0044084B"/>
    <w:rsid w:val="00443273"/>
    <w:rsid w:val="00444333"/>
    <w:rsid w:val="00445EE3"/>
    <w:rsid w:val="0044773C"/>
    <w:rsid w:val="00450DE0"/>
    <w:rsid w:val="00451AE3"/>
    <w:rsid w:val="0045228A"/>
    <w:rsid w:val="00453374"/>
    <w:rsid w:val="00453AFA"/>
    <w:rsid w:val="004559F4"/>
    <w:rsid w:val="00460367"/>
    <w:rsid w:val="00460678"/>
    <w:rsid w:val="0046070F"/>
    <w:rsid w:val="00463632"/>
    <w:rsid w:val="004642E5"/>
    <w:rsid w:val="00464BF8"/>
    <w:rsid w:val="0046520C"/>
    <w:rsid w:val="00467957"/>
    <w:rsid w:val="0047034B"/>
    <w:rsid w:val="0047078B"/>
    <w:rsid w:val="00471006"/>
    <w:rsid w:val="00471AB6"/>
    <w:rsid w:val="00471F25"/>
    <w:rsid w:val="00473F3F"/>
    <w:rsid w:val="00475A17"/>
    <w:rsid w:val="00477452"/>
    <w:rsid w:val="00482755"/>
    <w:rsid w:val="0048458C"/>
    <w:rsid w:val="00484605"/>
    <w:rsid w:val="00484D31"/>
    <w:rsid w:val="0048516E"/>
    <w:rsid w:val="00485BF2"/>
    <w:rsid w:val="00486A2C"/>
    <w:rsid w:val="00487D95"/>
    <w:rsid w:val="00490C8C"/>
    <w:rsid w:val="00493EB9"/>
    <w:rsid w:val="0049473D"/>
    <w:rsid w:val="00495842"/>
    <w:rsid w:val="004967F9"/>
    <w:rsid w:val="004A1329"/>
    <w:rsid w:val="004A2BC8"/>
    <w:rsid w:val="004A2E5D"/>
    <w:rsid w:val="004A6039"/>
    <w:rsid w:val="004B0104"/>
    <w:rsid w:val="004B2D92"/>
    <w:rsid w:val="004B3368"/>
    <w:rsid w:val="004B636B"/>
    <w:rsid w:val="004B7509"/>
    <w:rsid w:val="004C0E51"/>
    <w:rsid w:val="004C3FF3"/>
    <w:rsid w:val="004C4602"/>
    <w:rsid w:val="004C5FA5"/>
    <w:rsid w:val="004C61FC"/>
    <w:rsid w:val="004D0426"/>
    <w:rsid w:val="004D2A84"/>
    <w:rsid w:val="004D5400"/>
    <w:rsid w:val="004D5903"/>
    <w:rsid w:val="004D68B4"/>
    <w:rsid w:val="004E142A"/>
    <w:rsid w:val="004E3222"/>
    <w:rsid w:val="004E4854"/>
    <w:rsid w:val="004E512E"/>
    <w:rsid w:val="004E6897"/>
    <w:rsid w:val="004E756E"/>
    <w:rsid w:val="004F1D65"/>
    <w:rsid w:val="004F5827"/>
    <w:rsid w:val="004F5E28"/>
    <w:rsid w:val="004F611D"/>
    <w:rsid w:val="004F6B30"/>
    <w:rsid w:val="00500680"/>
    <w:rsid w:val="005015C4"/>
    <w:rsid w:val="0050433C"/>
    <w:rsid w:val="00510579"/>
    <w:rsid w:val="0051151E"/>
    <w:rsid w:val="005139DA"/>
    <w:rsid w:val="0051516C"/>
    <w:rsid w:val="00515EF2"/>
    <w:rsid w:val="005173E0"/>
    <w:rsid w:val="00517B26"/>
    <w:rsid w:val="00517C99"/>
    <w:rsid w:val="00521E66"/>
    <w:rsid w:val="00523B06"/>
    <w:rsid w:val="00531092"/>
    <w:rsid w:val="005326BB"/>
    <w:rsid w:val="00534D4D"/>
    <w:rsid w:val="00536588"/>
    <w:rsid w:val="00541538"/>
    <w:rsid w:val="005421E6"/>
    <w:rsid w:val="005428C7"/>
    <w:rsid w:val="005445C1"/>
    <w:rsid w:val="00545522"/>
    <w:rsid w:val="00546BA0"/>
    <w:rsid w:val="00547F04"/>
    <w:rsid w:val="005500F8"/>
    <w:rsid w:val="00551ABD"/>
    <w:rsid w:val="00554D81"/>
    <w:rsid w:val="00554F6F"/>
    <w:rsid w:val="00557B7F"/>
    <w:rsid w:val="00560FDF"/>
    <w:rsid w:val="00561948"/>
    <w:rsid w:val="00565B5B"/>
    <w:rsid w:val="00566694"/>
    <w:rsid w:val="0057170B"/>
    <w:rsid w:val="00573634"/>
    <w:rsid w:val="00573CF5"/>
    <w:rsid w:val="005755C3"/>
    <w:rsid w:val="005761AB"/>
    <w:rsid w:val="00576985"/>
    <w:rsid w:val="00576DF6"/>
    <w:rsid w:val="00577858"/>
    <w:rsid w:val="00580E9F"/>
    <w:rsid w:val="00581D6F"/>
    <w:rsid w:val="00582CCA"/>
    <w:rsid w:val="005871A8"/>
    <w:rsid w:val="0058776E"/>
    <w:rsid w:val="005916E9"/>
    <w:rsid w:val="00591B78"/>
    <w:rsid w:val="00591DAC"/>
    <w:rsid w:val="00594695"/>
    <w:rsid w:val="00597E41"/>
    <w:rsid w:val="005A120A"/>
    <w:rsid w:val="005A3E6E"/>
    <w:rsid w:val="005A5D62"/>
    <w:rsid w:val="005A6635"/>
    <w:rsid w:val="005B1BFA"/>
    <w:rsid w:val="005B3FD7"/>
    <w:rsid w:val="005B4239"/>
    <w:rsid w:val="005B5408"/>
    <w:rsid w:val="005C2181"/>
    <w:rsid w:val="005C2974"/>
    <w:rsid w:val="005C55C2"/>
    <w:rsid w:val="005C6F61"/>
    <w:rsid w:val="005D0411"/>
    <w:rsid w:val="005D14E0"/>
    <w:rsid w:val="005D254D"/>
    <w:rsid w:val="005D25BE"/>
    <w:rsid w:val="005D29E8"/>
    <w:rsid w:val="005D3B17"/>
    <w:rsid w:val="005D72A0"/>
    <w:rsid w:val="005E01C8"/>
    <w:rsid w:val="005E22DF"/>
    <w:rsid w:val="005E2595"/>
    <w:rsid w:val="005E59CB"/>
    <w:rsid w:val="005E7A86"/>
    <w:rsid w:val="005F0C76"/>
    <w:rsid w:val="005F2DC1"/>
    <w:rsid w:val="005F4031"/>
    <w:rsid w:val="005F44EE"/>
    <w:rsid w:val="0060108F"/>
    <w:rsid w:val="006056AF"/>
    <w:rsid w:val="006072CB"/>
    <w:rsid w:val="00611612"/>
    <w:rsid w:val="00612C31"/>
    <w:rsid w:val="00612C83"/>
    <w:rsid w:val="006140B9"/>
    <w:rsid w:val="006147B7"/>
    <w:rsid w:val="006148F9"/>
    <w:rsid w:val="00616E97"/>
    <w:rsid w:val="006172D0"/>
    <w:rsid w:val="006246A3"/>
    <w:rsid w:val="00624819"/>
    <w:rsid w:val="00625BF3"/>
    <w:rsid w:val="00631DA8"/>
    <w:rsid w:val="0063292A"/>
    <w:rsid w:val="00635D1A"/>
    <w:rsid w:val="00637701"/>
    <w:rsid w:val="00640F73"/>
    <w:rsid w:val="00641152"/>
    <w:rsid w:val="00641903"/>
    <w:rsid w:val="00646428"/>
    <w:rsid w:val="0065495D"/>
    <w:rsid w:val="00654EC1"/>
    <w:rsid w:val="00657396"/>
    <w:rsid w:val="00660993"/>
    <w:rsid w:val="00661026"/>
    <w:rsid w:val="00665BAD"/>
    <w:rsid w:val="00671752"/>
    <w:rsid w:val="00671F08"/>
    <w:rsid w:val="00674C07"/>
    <w:rsid w:val="00682C0B"/>
    <w:rsid w:val="0068326F"/>
    <w:rsid w:val="00683E1D"/>
    <w:rsid w:val="00685395"/>
    <w:rsid w:val="006866E9"/>
    <w:rsid w:val="00690392"/>
    <w:rsid w:val="006974C5"/>
    <w:rsid w:val="006A2BED"/>
    <w:rsid w:val="006A3854"/>
    <w:rsid w:val="006A4AD6"/>
    <w:rsid w:val="006A6D9A"/>
    <w:rsid w:val="006A7343"/>
    <w:rsid w:val="006A7C9B"/>
    <w:rsid w:val="006B5526"/>
    <w:rsid w:val="006B6EB1"/>
    <w:rsid w:val="006B72B6"/>
    <w:rsid w:val="006C064E"/>
    <w:rsid w:val="006C10EC"/>
    <w:rsid w:val="006C317F"/>
    <w:rsid w:val="006C486D"/>
    <w:rsid w:val="006C4A8B"/>
    <w:rsid w:val="006C6290"/>
    <w:rsid w:val="006D0DF4"/>
    <w:rsid w:val="006D0EF7"/>
    <w:rsid w:val="006D1F6E"/>
    <w:rsid w:val="006D321C"/>
    <w:rsid w:val="006D43A6"/>
    <w:rsid w:val="006D46E6"/>
    <w:rsid w:val="006D59F8"/>
    <w:rsid w:val="006D5F8C"/>
    <w:rsid w:val="006D64F7"/>
    <w:rsid w:val="006D7CE4"/>
    <w:rsid w:val="006E1174"/>
    <w:rsid w:val="006E12FD"/>
    <w:rsid w:val="006E1A40"/>
    <w:rsid w:val="006E2580"/>
    <w:rsid w:val="006E41DE"/>
    <w:rsid w:val="006E601B"/>
    <w:rsid w:val="006F273F"/>
    <w:rsid w:val="006F3768"/>
    <w:rsid w:val="006F384C"/>
    <w:rsid w:val="006F5417"/>
    <w:rsid w:val="006F5B44"/>
    <w:rsid w:val="006F637D"/>
    <w:rsid w:val="007001C8"/>
    <w:rsid w:val="00702DDD"/>
    <w:rsid w:val="00702F23"/>
    <w:rsid w:val="00703627"/>
    <w:rsid w:val="00707A2F"/>
    <w:rsid w:val="0071236D"/>
    <w:rsid w:val="0071495F"/>
    <w:rsid w:val="007150CF"/>
    <w:rsid w:val="00716FD2"/>
    <w:rsid w:val="00720D2D"/>
    <w:rsid w:val="00724109"/>
    <w:rsid w:val="007267B0"/>
    <w:rsid w:val="00726BBB"/>
    <w:rsid w:val="0072772E"/>
    <w:rsid w:val="00732306"/>
    <w:rsid w:val="007327CF"/>
    <w:rsid w:val="00735BBF"/>
    <w:rsid w:val="00737174"/>
    <w:rsid w:val="00740D02"/>
    <w:rsid w:val="00745B9A"/>
    <w:rsid w:val="007469E6"/>
    <w:rsid w:val="00747FD5"/>
    <w:rsid w:val="00750143"/>
    <w:rsid w:val="007510C0"/>
    <w:rsid w:val="007535ED"/>
    <w:rsid w:val="007542FB"/>
    <w:rsid w:val="00760116"/>
    <w:rsid w:val="007610C2"/>
    <w:rsid w:val="0076321F"/>
    <w:rsid w:val="007644D6"/>
    <w:rsid w:val="00764FA9"/>
    <w:rsid w:val="007717C5"/>
    <w:rsid w:val="00774DE9"/>
    <w:rsid w:val="007756D8"/>
    <w:rsid w:val="00775AAD"/>
    <w:rsid w:val="00777274"/>
    <w:rsid w:val="007800C1"/>
    <w:rsid w:val="00780D13"/>
    <w:rsid w:val="007844D5"/>
    <w:rsid w:val="00784D0A"/>
    <w:rsid w:val="00784E97"/>
    <w:rsid w:val="00785296"/>
    <w:rsid w:val="00785FD0"/>
    <w:rsid w:val="00787B10"/>
    <w:rsid w:val="00790B34"/>
    <w:rsid w:val="00794949"/>
    <w:rsid w:val="00795898"/>
    <w:rsid w:val="007A1578"/>
    <w:rsid w:val="007A15FD"/>
    <w:rsid w:val="007A23F8"/>
    <w:rsid w:val="007A270A"/>
    <w:rsid w:val="007A3030"/>
    <w:rsid w:val="007A5766"/>
    <w:rsid w:val="007A67F5"/>
    <w:rsid w:val="007A6BC0"/>
    <w:rsid w:val="007A72BF"/>
    <w:rsid w:val="007B20FC"/>
    <w:rsid w:val="007B2314"/>
    <w:rsid w:val="007B269D"/>
    <w:rsid w:val="007B2899"/>
    <w:rsid w:val="007B312E"/>
    <w:rsid w:val="007B3180"/>
    <w:rsid w:val="007B54A5"/>
    <w:rsid w:val="007C0920"/>
    <w:rsid w:val="007C16DE"/>
    <w:rsid w:val="007C2867"/>
    <w:rsid w:val="007C4F2C"/>
    <w:rsid w:val="007C52FE"/>
    <w:rsid w:val="007C65D7"/>
    <w:rsid w:val="007C68B0"/>
    <w:rsid w:val="007D25EB"/>
    <w:rsid w:val="007D4007"/>
    <w:rsid w:val="007D5823"/>
    <w:rsid w:val="007E4A3F"/>
    <w:rsid w:val="007E4C94"/>
    <w:rsid w:val="007E4F3F"/>
    <w:rsid w:val="007E5746"/>
    <w:rsid w:val="007E647B"/>
    <w:rsid w:val="007E7C52"/>
    <w:rsid w:val="007F0406"/>
    <w:rsid w:val="007F0E48"/>
    <w:rsid w:val="007F249E"/>
    <w:rsid w:val="007F39D2"/>
    <w:rsid w:val="007F4036"/>
    <w:rsid w:val="007F419F"/>
    <w:rsid w:val="007F4F07"/>
    <w:rsid w:val="007F5254"/>
    <w:rsid w:val="007F59E4"/>
    <w:rsid w:val="007F66DC"/>
    <w:rsid w:val="00800454"/>
    <w:rsid w:val="00800BA5"/>
    <w:rsid w:val="00800BFB"/>
    <w:rsid w:val="0080203F"/>
    <w:rsid w:val="008041FC"/>
    <w:rsid w:val="00810FBD"/>
    <w:rsid w:val="00821633"/>
    <w:rsid w:val="008227E3"/>
    <w:rsid w:val="00822B7B"/>
    <w:rsid w:val="008231B4"/>
    <w:rsid w:val="00824197"/>
    <w:rsid w:val="00824CAB"/>
    <w:rsid w:val="00825F77"/>
    <w:rsid w:val="008272FD"/>
    <w:rsid w:val="00827FC7"/>
    <w:rsid w:val="0083026B"/>
    <w:rsid w:val="00833943"/>
    <w:rsid w:val="00834B76"/>
    <w:rsid w:val="00835950"/>
    <w:rsid w:val="00835D1A"/>
    <w:rsid w:val="00837DB7"/>
    <w:rsid w:val="00837E3F"/>
    <w:rsid w:val="00837F51"/>
    <w:rsid w:val="00841FDB"/>
    <w:rsid w:val="00842875"/>
    <w:rsid w:val="00843D66"/>
    <w:rsid w:val="00843F51"/>
    <w:rsid w:val="00844125"/>
    <w:rsid w:val="00844BD2"/>
    <w:rsid w:val="0085008A"/>
    <w:rsid w:val="00854C55"/>
    <w:rsid w:val="0085631E"/>
    <w:rsid w:val="008574D0"/>
    <w:rsid w:val="00857D3F"/>
    <w:rsid w:val="0086263C"/>
    <w:rsid w:val="00862DB0"/>
    <w:rsid w:val="008663DD"/>
    <w:rsid w:val="00866571"/>
    <w:rsid w:val="00867D14"/>
    <w:rsid w:val="00871648"/>
    <w:rsid w:val="0087512F"/>
    <w:rsid w:val="008768D1"/>
    <w:rsid w:val="008774CE"/>
    <w:rsid w:val="00877F52"/>
    <w:rsid w:val="008807D2"/>
    <w:rsid w:val="008807E3"/>
    <w:rsid w:val="00883C9B"/>
    <w:rsid w:val="00885852"/>
    <w:rsid w:val="00886266"/>
    <w:rsid w:val="00886B1B"/>
    <w:rsid w:val="008A41D3"/>
    <w:rsid w:val="008B13E6"/>
    <w:rsid w:val="008B1EDA"/>
    <w:rsid w:val="008B29B6"/>
    <w:rsid w:val="008B6660"/>
    <w:rsid w:val="008B7E37"/>
    <w:rsid w:val="008C0D87"/>
    <w:rsid w:val="008C1F53"/>
    <w:rsid w:val="008C357D"/>
    <w:rsid w:val="008C54BF"/>
    <w:rsid w:val="008D08C9"/>
    <w:rsid w:val="008D0AEE"/>
    <w:rsid w:val="008D1F3C"/>
    <w:rsid w:val="008D2767"/>
    <w:rsid w:val="008D3584"/>
    <w:rsid w:val="008D3DB6"/>
    <w:rsid w:val="008D4743"/>
    <w:rsid w:val="008E616D"/>
    <w:rsid w:val="008E6789"/>
    <w:rsid w:val="008E7A1D"/>
    <w:rsid w:val="008F0B53"/>
    <w:rsid w:val="008F1BB7"/>
    <w:rsid w:val="008F5679"/>
    <w:rsid w:val="008F5BC5"/>
    <w:rsid w:val="008F6D28"/>
    <w:rsid w:val="009034A2"/>
    <w:rsid w:val="0090526B"/>
    <w:rsid w:val="009055DA"/>
    <w:rsid w:val="00907D7B"/>
    <w:rsid w:val="00910302"/>
    <w:rsid w:val="009122ED"/>
    <w:rsid w:val="00912F9C"/>
    <w:rsid w:val="009135EC"/>
    <w:rsid w:val="00915E4C"/>
    <w:rsid w:val="00917582"/>
    <w:rsid w:val="00920448"/>
    <w:rsid w:val="00920BD4"/>
    <w:rsid w:val="00920C7B"/>
    <w:rsid w:val="00925CEF"/>
    <w:rsid w:val="00934E55"/>
    <w:rsid w:val="00936179"/>
    <w:rsid w:val="00940FFE"/>
    <w:rsid w:val="009415AF"/>
    <w:rsid w:val="009433BE"/>
    <w:rsid w:val="0094353E"/>
    <w:rsid w:val="00947B2D"/>
    <w:rsid w:val="009506FA"/>
    <w:rsid w:val="00951739"/>
    <w:rsid w:val="0095210D"/>
    <w:rsid w:val="00952AB6"/>
    <w:rsid w:val="00953038"/>
    <w:rsid w:val="009542EB"/>
    <w:rsid w:val="009543E0"/>
    <w:rsid w:val="00955385"/>
    <w:rsid w:val="0095579E"/>
    <w:rsid w:val="00956121"/>
    <w:rsid w:val="00957494"/>
    <w:rsid w:val="009574E4"/>
    <w:rsid w:val="00957BCA"/>
    <w:rsid w:val="00960B91"/>
    <w:rsid w:val="00960F19"/>
    <w:rsid w:val="009623DE"/>
    <w:rsid w:val="009632CE"/>
    <w:rsid w:val="00963E15"/>
    <w:rsid w:val="00970BCC"/>
    <w:rsid w:val="00972CB4"/>
    <w:rsid w:val="00975B18"/>
    <w:rsid w:val="00977034"/>
    <w:rsid w:val="00977E83"/>
    <w:rsid w:val="0098028E"/>
    <w:rsid w:val="0098296A"/>
    <w:rsid w:val="00984505"/>
    <w:rsid w:val="00985565"/>
    <w:rsid w:val="009857E8"/>
    <w:rsid w:val="00986790"/>
    <w:rsid w:val="009872D7"/>
    <w:rsid w:val="00990D36"/>
    <w:rsid w:val="00993BC8"/>
    <w:rsid w:val="00996FB1"/>
    <w:rsid w:val="00996FF5"/>
    <w:rsid w:val="009A0E47"/>
    <w:rsid w:val="009A5661"/>
    <w:rsid w:val="009A7D92"/>
    <w:rsid w:val="009B3378"/>
    <w:rsid w:val="009B3EB9"/>
    <w:rsid w:val="009B4598"/>
    <w:rsid w:val="009B5377"/>
    <w:rsid w:val="009B697F"/>
    <w:rsid w:val="009B7758"/>
    <w:rsid w:val="009C021A"/>
    <w:rsid w:val="009C1AF4"/>
    <w:rsid w:val="009C2A40"/>
    <w:rsid w:val="009C4C8B"/>
    <w:rsid w:val="009C646D"/>
    <w:rsid w:val="009C697A"/>
    <w:rsid w:val="009D0416"/>
    <w:rsid w:val="009D26F4"/>
    <w:rsid w:val="009D6B97"/>
    <w:rsid w:val="009D7EEA"/>
    <w:rsid w:val="009E0B94"/>
    <w:rsid w:val="009E63B8"/>
    <w:rsid w:val="009E7CD8"/>
    <w:rsid w:val="009F0406"/>
    <w:rsid w:val="009F08DC"/>
    <w:rsid w:val="009F1483"/>
    <w:rsid w:val="009F173F"/>
    <w:rsid w:val="009F1B62"/>
    <w:rsid w:val="009F30D9"/>
    <w:rsid w:val="009F34E0"/>
    <w:rsid w:val="009F37DE"/>
    <w:rsid w:val="009F50FC"/>
    <w:rsid w:val="009F6F73"/>
    <w:rsid w:val="00A00D3B"/>
    <w:rsid w:val="00A03302"/>
    <w:rsid w:val="00A042F9"/>
    <w:rsid w:val="00A061D1"/>
    <w:rsid w:val="00A10952"/>
    <w:rsid w:val="00A11DEF"/>
    <w:rsid w:val="00A139D4"/>
    <w:rsid w:val="00A13EE5"/>
    <w:rsid w:val="00A1450E"/>
    <w:rsid w:val="00A15AD4"/>
    <w:rsid w:val="00A204AC"/>
    <w:rsid w:val="00A22750"/>
    <w:rsid w:val="00A24B26"/>
    <w:rsid w:val="00A25C09"/>
    <w:rsid w:val="00A270E5"/>
    <w:rsid w:val="00A27D8E"/>
    <w:rsid w:val="00A30389"/>
    <w:rsid w:val="00A326F8"/>
    <w:rsid w:val="00A33D10"/>
    <w:rsid w:val="00A34BDC"/>
    <w:rsid w:val="00A36F32"/>
    <w:rsid w:val="00A37656"/>
    <w:rsid w:val="00A37A5B"/>
    <w:rsid w:val="00A40DB6"/>
    <w:rsid w:val="00A41C12"/>
    <w:rsid w:val="00A438BC"/>
    <w:rsid w:val="00A450E7"/>
    <w:rsid w:val="00A50C3A"/>
    <w:rsid w:val="00A54496"/>
    <w:rsid w:val="00A56D1C"/>
    <w:rsid w:val="00A6002B"/>
    <w:rsid w:val="00A62752"/>
    <w:rsid w:val="00A64E94"/>
    <w:rsid w:val="00A6724A"/>
    <w:rsid w:val="00A67D78"/>
    <w:rsid w:val="00A7029F"/>
    <w:rsid w:val="00A76470"/>
    <w:rsid w:val="00A77A1B"/>
    <w:rsid w:val="00A77E7E"/>
    <w:rsid w:val="00A8040F"/>
    <w:rsid w:val="00A808B8"/>
    <w:rsid w:val="00A85105"/>
    <w:rsid w:val="00A873A5"/>
    <w:rsid w:val="00A87B67"/>
    <w:rsid w:val="00A908A1"/>
    <w:rsid w:val="00A924E9"/>
    <w:rsid w:val="00A9540F"/>
    <w:rsid w:val="00A95CFB"/>
    <w:rsid w:val="00A963B7"/>
    <w:rsid w:val="00AA08DD"/>
    <w:rsid w:val="00AA0D56"/>
    <w:rsid w:val="00AA6ADD"/>
    <w:rsid w:val="00AB2243"/>
    <w:rsid w:val="00AB2C96"/>
    <w:rsid w:val="00AB2E23"/>
    <w:rsid w:val="00AB429F"/>
    <w:rsid w:val="00AB6F5D"/>
    <w:rsid w:val="00AC2026"/>
    <w:rsid w:val="00AC379A"/>
    <w:rsid w:val="00AC39EB"/>
    <w:rsid w:val="00AC54BD"/>
    <w:rsid w:val="00AC62A4"/>
    <w:rsid w:val="00AC6B6C"/>
    <w:rsid w:val="00AC7559"/>
    <w:rsid w:val="00AD1153"/>
    <w:rsid w:val="00AD2FAB"/>
    <w:rsid w:val="00AD3753"/>
    <w:rsid w:val="00AD476D"/>
    <w:rsid w:val="00AD5E57"/>
    <w:rsid w:val="00AE0815"/>
    <w:rsid w:val="00AE0F76"/>
    <w:rsid w:val="00AE19E8"/>
    <w:rsid w:val="00AE19EC"/>
    <w:rsid w:val="00AE3B8E"/>
    <w:rsid w:val="00AE6788"/>
    <w:rsid w:val="00AF0270"/>
    <w:rsid w:val="00AF16D6"/>
    <w:rsid w:val="00AF6040"/>
    <w:rsid w:val="00AF65FD"/>
    <w:rsid w:val="00AF7557"/>
    <w:rsid w:val="00B003BD"/>
    <w:rsid w:val="00B0199F"/>
    <w:rsid w:val="00B03AAA"/>
    <w:rsid w:val="00B05D32"/>
    <w:rsid w:val="00B06C87"/>
    <w:rsid w:val="00B07FF3"/>
    <w:rsid w:val="00B119A5"/>
    <w:rsid w:val="00B12B71"/>
    <w:rsid w:val="00B15343"/>
    <w:rsid w:val="00B167F7"/>
    <w:rsid w:val="00B16E82"/>
    <w:rsid w:val="00B17B31"/>
    <w:rsid w:val="00B203AF"/>
    <w:rsid w:val="00B2084E"/>
    <w:rsid w:val="00B226D8"/>
    <w:rsid w:val="00B26A31"/>
    <w:rsid w:val="00B27100"/>
    <w:rsid w:val="00B300FE"/>
    <w:rsid w:val="00B32660"/>
    <w:rsid w:val="00B347CB"/>
    <w:rsid w:val="00B3506D"/>
    <w:rsid w:val="00B359F1"/>
    <w:rsid w:val="00B36E4A"/>
    <w:rsid w:val="00B41793"/>
    <w:rsid w:val="00B50436"/>
    <w:rsid w:val="00B54380"/>
    <w:rsid w:val="00B56661"/>
    <w:rsid w:val="00B56ACB"/>
    <w:rsid w:val="00B63229"/>
    <w:rsid w:val="00B63A4F"/>
    <w:rsid w:val="00B66DB1"/>
    <w:rsid w:val="00B70078"/>
    <w:rsid w:val="00B709C7"/>
    <w:rsid w:val="00B70DCD"/>
    <w:rsid w:val="00B70F6B"/>
    <w:rsid w:val="00B72F4C"/>
    <w:rsid w:val="00B73E0E"/>
    <w:rsid w:val="00B77CC6"/>
    <w:rsid w:val="00B77DEC"/>
    <w:rsid w:val="00B81BFB"/>
    <w:rsid w:val="00B823D2"/>
    <w:rsid w:val="00B83887"/>
    <w:rsid w:val="00B83FB8"/>
    <w:rsid w:val="00B843A7"/>
    <w:rsid w:val="00B85008"/>
    <w:rsid w:val="00B86314"/>
    <w:rsid w:val="00B866BE"/>
    <w:rsid w:val="00B86766"/>
    <w:rsid w:val="00B870C0"/>
    <w:rsid w:val="00B923C4"/>
    <w:rsid w:val="00B93142"/>
    <w:rsid w:val="00B95DB0"/>
    <w:rsid w:val="00BA03CC"/>
    <w:rsid w:val="00BA1D96"/>
    <w:rsid w:val="00BA1F84"/>
    <w:rsid w:val="00BA2E24"/>
    <w:rsid w:val="00BA34FA"/>
    <w:rsid w:val="00BA4303"/>
    <w:rsid w:val="00BA4310"/>
    <w:rsid w:val="00BA56B9"/>
    <w:rsid w:val="00BA716F"/>
    <w:rsid w:val="00BB0460"/>
    <w:rsid w:val="00BB1713"/>
    <w:rsid w:val="00BB36FB"/>
    <w:rsid w:val="00BB4F97"/>
    <w:rsid w:val="00BB5D8A"/>
    <w:rsid w:val="00BB5F9B"/>
    <w:rsid w:val="00BB5FE8"/>
    <w:rsid w:val="00BC08A0"/>
    <w:rsid w:val="00BC08E5"/>
    <w:rsid w:val="00BC164A"/>
    <w:rsid w:val="00BC2444"/>
    <w:rsid w:val="00BC4A79"/>
    <w:rsid w:val="00BC6C86"/>
    <w:rsid w:val="00BD0096"/>
    <w:rsid w:val="00BD1EA8"/>
    <w:rsid w:val="00BD3085"/>
    <w:rsid w:val="00BD382B"/>
    <w:rsid w:val="00BD3E2B"/>
    <w:rsid w:val="00BD4C3F"/>
    <w:rsid w:val="00BD7003"/>
    <w:rsid w:val="00BD7C47"/>
    <w:rsid w:val="00BE145D"/>
    <w:rsid w:val="00BE2232"/>
    <w:rsid w:val="00BE361E"/>
    <w:rsid w:val="00BE411E"/>
    <w:rsid w:val="00BE77AB"/>
    <w:rsid w:val="00BF15AB"/>
    <w:rsid w:val="00BF1620"/>
    <w:rsid w:val="00BF661D"/>
    <w:rsid w:val="00C008D8"/>
    <w:rsid w:val="00C0174D"/>
    <w:rsid w:val="00C01B24"/>
    <w:rsid w:val="00C024C9"/>
    <w:rsid w:val="00C02749"/>
    <w:rsid w:val="00C02A43"/>
    <w:rsid w:val="00C036DF"/>
    <w:rsid w:val="00C04977"/>
    <w:rsid w:val="00C0746C"/>
    <w:rsid w:val="00C07EAB"/>
    <w:rsid w:val="00C12E72"/>
    <w:rsid w:val="00C20626"/>
    <w:rsid w:val="00C20790"/>
    <w:rsid w:val="00C215D0"/>
    <w:rsid w:val="00C22127"/>
    <w:rsid w:val="00C22E88"/>
    <w:rsid w:val="00C2677F"/>
    <w:rsid w:val="00C27102"/>
    <w:rsid w:val="00C2743E"/>
    <w:rsid w:val="00C27E10"/>
    <w:rsid w:val="00C3031D"/>
    <w:rsid w:val="00C311D8"/>
    <w:rsid w:val="00C35E21"/>
    <w:rsid w:val="00C37146"/>
    <w:rsid w:val="00C4150D"/>
    <w:rsid w:val="00C439D5"/>
    <w:rsid w:val="00C4445D"/>
    <w:rsid w:val="00C455B0"/>
    <w:rsid w:val="00C477DB"/>
    <w:rsid w:val="00C536D8"/>
    <w:rsid w:val="00C54ACC"/>
    <w:rsid w:val="00C57B1D"/>
    <w:rsid w:val="00C6539E"/>
    <w:rsid w:val="00C65BAE"/>
    <w:rsid w:val="00C6799C"/>
    <w:rsid w:val="00C71AD5"/>
    <w:rsid w:val="00C73BE4"/>
    <w:rsid w:val="00C77F31"/>
    <w:rsid w:val="00C81AF6"/>
    <w:rsid w:val="00C833B3"/>
    <w:rsid w:val="00C86FD9"/>
    <w:rsid w:val="00C902FA"/>
    <w:rsid w:val="00C90C84"/>
    <w:rsid w:val="00CA0AFC"/>
    <w:rsid w:val="00CA5C11"/>
    <w:rsid w:val="00CA5E3C"/>
    <w:rsid w:val="00CA68C5"/>
    <w:rsid w:val="00CB01A3"/>
    <w:rsid w:val="00CB076F"/>
    <w:rsid w:val="00CB14C5"/>
    <w:rsid w:val="00CB4B7B"/>
    <w:rsid w:val="00CC038F"/>
    <w:rsid w:val="00CC0D31"/>
    <w:rsid w:val="00CC23B4"/>
    <w:rsid w:val="00CC2C8A"/>
    <w:rsid w:val="00CC62D3"/>
    <w:rsid w:val="00CD35E5"/>
    <w:rsid w:val="00CD459C"/>
    <w:rsid w:val="00CD765A"/>
    <w:rsid w:val="00CE34E0"/>
    <w:rsid w:val="00CF220D"/>
    <w:rsid w:val="00CF3E5D"/>
    <w:rsid w:val="00CF778F"/>
    <w:rsid w:val="00CF7CC9"/>
    <w:rsid w:val="00D06272"/>
    <w:rsid w:val="00D1153E"/>
    <w:rsid w:val="00D116B2"/>
    <w:rsid w:val="00D125C9"/>
    <w:rsid w:val="00D14DDC"/>
    <w:rsid w:val="00D15639"/>
    <w:rsid w:val="00D21E61"/>
    <w:rsid w:val="00D22419"/>
    <w:rsid w:val="00D24B14"/>
    <w:rsid w:val="00D27C05"/>
    <w:rsid w:val="00D31487"/>
    <w:rsid w:val="00D31638"/>
    <w:rsid w:val="00D4145C"/>
    <w:rsid w:val="00D419F8"/>
    <w:rsid w:val="00D42262"/>
    <w:rsid w:val="00D42E63"/>
    <w:rsid w:val="00D46396"/>
    <w:rsid w:val="00D463EE"/>
    <w:rsid w:val="00D47D8A"/>
    <w:rsid w:val="00D50347"/>
    <w:rsid w:val="00D50715"/>
    <w:rsid w:val="00D509D2"/>
    <w:rsid w:val="00D509F0"/>
    <w:rsid w:val="00D51CAA"/>
    <w:rsid w:val="00D52282"/>
    <w:rsid w:val="00D61A3D"/>
    <w:rsid w:val="00D61C97"/>
    <w:rsid w:val="00D641CE"/>
    <w:rsid w:val="00D6542D"/>
    <w:rsid w:val="00D656EF"/>
    <w:rsid w:val="00D66511"/>
    <w:rsid w:val="00D70AF2"/>
    <w:rsid w:val="00D7204F"/>
    <w:rsid w:val="00D73707"/>
    <w:rsid w:val="00D75454"/>
    <w:rsid w:val="00D83292"/>
    <w:rsid w:val="00D832C7"/>
    <w:rsid w:val="00D83843"/>
    <w:rsid w:val="00D859DD"/>
    <w:rsid w:val="00D92E8C"/>
    <w:rsid w:val="00D92ECE"/>
    <w:rsid w:val="00D932DC"/>
    <w:rsid w:val="00D96C23"/>
    <w:rsid w:val="00D96C4A"/>
    <w:rsid w:val="00DA0FA1"/>
    <w:rsid w:val="00DA169D"/>
    <w:rsid w:val="00DA18FA"/>
    <w:rsid w:val="00DA298C"/>
    <w:rsid w:val="00DA3E90"/>
    <w:rsid w:val="00DA5F5C"/>
    <w:rsid w:val="00DB2B77"/>
    <w:rsid w:val="00DB3636"/>
    <w:rsid w:val="00DC44B9"/>
    <w:rsid w:val="00DC631F"/>
    <w:rsid w:val="00DC71E6"/>
    <w:rsid w:val="00DD02B2"/>
    <w:rsid w:val="00DD2B13"/>
    <w:rsid w:val="00DD2BF0"/>
    <w:rsid w:val="00DD4B0A"/>
    <w:rsid w:val="00DD6E35"/>
    <w:rsid w:val="00DE0ECD"/>
    <w:rsid w:val="00DE3E56"/>
    <w:rsid w:val="00DE4C2C"/>
    <w:rsid w:val="00DE5E73"/>
    <w:rsid w:val="00DE662D"/>
    <w:rsid w:val="00DE6C5E"/>
    <w:rsid w:val="00DE7042"/>
    <w:rsid w:val="00DF0299"/>
    <w:rsid w:val="00E0222E"/>
    <w:rsid w:val="00E02DC0"/>
    <w:rsid w:val="00E064A2"/>
    <w:rsid w:val="00E07A93"/>
    <w:rsid w:val="00E11EA8"/>
    <w:rsid w:val="00E12E3A"/>
    <w:rsid w:val="00E16E1B"/>
    <w:rsid w:val="00E22AA0"/>
    <w:rsid w:val="00E25314"/>
    <w:rsid w:val="00E307BD"/>
    <w:rsid w:val="00E325A9"/>
    <w:rsid w:val="00E32963"/>
    <w:rsid w:val="00E35FEA"/>
    <w:rsid w:val="00E36D56"/>
    <w:rsid w:val="00E403C4"/>
    <w:rsid w:val="00E42BA8"/>
    <w:rsid w:val="00E450FC"/>
    <w:rsid w:val="00E46195"/>
    <w:rsid w:val="00E513B9"/>
    <w:rsid w:val="00E55339"/>
    <w:rsid w:val="00E57CDF"/>
    <w:rsid w:val="00E601F9"/>
    <w:rsid w:val="00E6200F"/>
    <w:rsid w:val="00E62868"/>
    <w:rsid w:val="00E63209"/>
    <w:rsid w:val="00E653CD"/>
    <w:rsid w:val="00E65E5D"/>
    <w:rsid w:val="00E7016C"/>
    <w:rsid w:val="00E71F72"/>
    <w:rsid w:val="00E74F84"/>
    <w:rsid w:val="00E74FF2"/>
    <w:rsid w:val="00E75B5D"/>
    <w:rsid w:val="00E766D6"/>
    <w:rsid w:val="00E83A9F"/>
    <w:rsid w:val="00E87C74"/>
    <w:rsid w:val="00E90956"/>
    <w:rsid w:val="00E90A25"/>
    <w:rsid w:val="00E90E97"/>
    <w:rsid w:val="00E97878"/>
    <w:rsid w:val="00E97CBD"/>
    <w:rsid w:val="00EA0962"/>
    <w:rsid w:val="00EA0C6A"/>
    <w:rsid w:val="00EA1A00"/>
    <w:rsid w:val="00EA2B28"/>
    <w:rsid w:val="00EA64F9"/>
    <w:rsid w:val="00EA782B"/>
    <w:rsid w:val="00EB39EB"/>
    <w:rsid w:val="00EB7E50"/>
    <w:rsid w:val="00EC1278"/>
    <w:rsid w:val="00EC1C71"/>
    <w:rsid w:val="00EC1E5F"/>
    <w:rsid w:val="00EC2602"/>
    <w:rsid w:val="00EC27E1"/>
    <w:rsid w:val="00EC33AA"/>
    <w:rsid w:val="00EC516F"/>
    <w:rsid w:val="00EC6022"/>
    <w:rsid w:val="00EC6D90"/>
    <w:rsid w:val="00ED4BF3"/>
    <w:rsid w:val="00EE00E4"/>
    <w:rsid w:val="00EE2CCD"/>
    <w:rsid w:val="00EF029C"/>
    <w:rsid w:val="00EF078D"/>
    <w:rsid w:val="00EF120E"/>
    <w:rsid w:val="00EF2EEC"/>
    <w:rsid w:val="00EF3EDE"/>
    <w:rsid w:val="00EF4684"/>
    <w:rsid w:val="00EF4B65"/>
    <w:rsid w:val="00EF5E2A"/>
    <w:rsid w:val="00F00197"/>
    <w:rsid w:val="00F01677"/>
    <w:rsid w:val="00F01A1E"/>
    <w:rsid w:val="00F020B0"/>
    <w:rsid w:val="00F02AB8"/>
    <w:rsid w:val="00F0418E"/>
    <w:rsid w:val="00F10980"/>
    <w:rsid w:val="00F114D6"/>
    <w:rsid w:val="00F14D08"/>
    <w:rsid w:val="00F15864"/>
    <w:rsid w:val="00F16EC0"/>
    <w:rsid w:val="00F17C76"/>
    <w:rsid w:val="00F25F94"/>
    <w:rsid w:val="00F278FF"/>
    <w:rsid w:val="00F32183"/>
    <w:rsid w:val="00F34B5D"/>
    <w:rsid w:val="00F352FA"/>
    <w:rsid w:val="00F36593"/>
    <w:rsid w:val="00F37573"/>
    <w:rsid w:val="00F37FC3"/>
    <w:rsid w:val="00F41081"/>
    <w:rsid w:val="00F42B02"/>
    <w:rsid w:val="00F4520F"/>
    <w:rsid w:val="00F45225"/>
    <w:rsid w:val="00F45F37"/>
    <w:rsid w:val="00F46E44"/>
    <w:rsid w:val="00F602FE"/>
    <w:rsid w:val="00F60852"/>
    <w:rsid w:val="00F62394"/>
    <w:rsid w:val="00F64221"/>
    <w:rsid w:val="00F642A6"/>
    <w:rsid w:val="00F64F33"/>
    <w:rsid w:val="00F710EE"/>
    <w:rsid w:val="00F73FA9"/>
    <w:rsid w:val="00F74F0D"/>
    <w:rsid w:val="00F763D1"/>
    <w:rsid w:val="00F76945"/>
    <w:rsid w:val="00F76B6B"/>
    <w:rsid w:val="00F76F9A"/>
    <w:rsid w:val="00F8184A"/>
    <w:rsid w:val="00F81BEA"/>
    <w:rsid w:val="00F8494D"/>
    <w:rsid w:val="00F86139"/>
    <w:rsid w:val="00F87994"/>
    <w:rsid w:val="00F9064D"/>
    <w:rsid w:val="00F91F67"/>
    <w:rsid w:val="00F92E3B"/>
    <w:rsid w:val="00F92F7C"/>
    <w:rsid w:val="00F94886"/>
    <w:rsid w:val="00F959EB"/>
    <w:rsid w:val="00F95FAF"/>
    <w:rsid w:val="00F9782C"/>
    <w:rsid w:val="00FA1528"/>
    <w:rsid w:val="00FA1E15"/>
    <w:rsid w:val="00FA6186"/>
    <w:rsid w:val="00FA65B3"/>
    <w:rsid w:val="00FB0A46"/>
    <w:rsid w:val="00FB23BC"/>
    <w:rsid w:val="00FB4BA5"/>
    <w:rsid w:val="00FB6666"/>
    <w:rsid w:val="00FB752D"/>
    <w:rsid w:val="00FC0AA0"/>
    <w:rsid w:val="00FC4287"/>
    <w:rsid w:val="00FC6204"/>
    <w:rsid w:val="00FC723D"/>
    <w:rsid w:val="00FD12D1"/>
    <w:rsid w:val="00FD2071"/>
    <w:rsid w:val="00FD27F3"/>
    <w:rsid w:val="00FD2B0C"/>
    <w:rsid w:val="00FD3046"/>
    <w:rsid w:val="00FE0057"/>
    <w:rsid w:val="00FE23F3"/>
    <w:rsid w:val="00FE271F"/>
    <w:rsid w:val="00FE71BE"/>
    <w:rsid w:val="00FF0E97"/>
    <w:rsid w:val="00FF1B20"/>
    <w:rsid w:val="00FF2587"/>
    <w:rsid w:val="00FF281B"/>
    <w:rsid w:val="00FF3F50"/>
    <w:rsid w:val="00FF4D3B"/>
    <w:rsid w:val="00FF4E54"/>
    <w:rsid w:val="00FF6A93"/>
    <w:rsid w:val="013730A5"/>
    <w:rsid w:val="01875DDB"/>
    <w:rsid w:val="02314724"/>
    <w:rsid w:val="032C581B"/>
    <w:rsid w:val="04BB33C5"/>
    <w:rsid w:val="057233E2"/>
    <w:rsid w:val="07057767"/>
    <w:rsid w:val="070F18C7"/>
    <w:rsid w:val="07A200A1"/>
    <w:rsid w:val="083E6A1C"/>
    <w:rsid w:val="090A111F"/>
    <w:rsid w:val="09292D9E"/>
    <w:rsid w:val="0B642CE9"/>
    <w:rsid w:val="0BBC6A6C"/>
    <w:rsid w:val="0F8D2E40"/>
    <w:rsid w:val="10F92232"/>
    <w:rsid w:val="113B23B6"/>
    <w:rsid w:val="11CE710E"/>
    <w:rsid w:val="123D5C23"/>
    <w:rsid w:val="125910CE"/>
    <w:rsid w:val="12C2788E"/>
    <w:rsid w:val="134A2234"/>
    <w:rsid w:val="13756B3C"/>
    <w:rsid w:val="13D61C72"/>
    <w:rsid w:val="13E52E47"/>
    <w:rsid w:val="14605BC4"/>
    <w:rsid w:val="14BC09FB"/>
    <w:rsid w:val="14EF1875"/>
    <w:rsid w:val="15904ECA"/>
    <w:rsid w:val="15E464B6"/>
    <w:rsid w:val="164E65C7"/>
    <w:rsid w:val="167B3E3D"/>
    <w:rsid w:val="168754DD"/>
    <w:rsid w:val="16A3500D"/>
    <w:rsid w:val="185010A8"/>
    <w:rsid w:val="18747F68"/>
    <w:rsid w:val="18B45306"/>
    <w:rsid w:val="19011E15"/>
    <w:rsid w:val="198A768D"/>
    <w:rsid w:val="19CF129D"/>
    <w:rsid w:val="1C32075E"/>
    <w:rsid w:val="1D170C45"/>
    <w:rsid w:val="1DAB2D62"/>
    <w:rsid w:val="209645DC"/>
    <w:rsid w:val="20C95327"/>
    <w:rsid w:val="20FD17BE"/>
    <w:rsid w:val="222D7E81"/>
    <w:rsid w:val="22B831FC"/>
    <w:rsid w:val="22C76548"/>
    <w:rsid w:val="231E77CA"/>
    <w:rsid w:val="23641680"/>
    <w:rsid w:val="2372556B"/>
    <w:rsid w:val="245F3F2B"/>
    <w:rsid w:val="27BF46F2"/>
    <w:rsid w:val="283F665E"/>
    <w:rsid w:val="28B904BB"/>
    <w:rsid w:val="29466370"/>
    <w:rsid w:val="2A8C323E"/>
    <w:rsid w:val="2B261D99"/>
    <w:rsid w:val="2CBE3592"/>
    <w:rsid w:val="2D0C6875"/>
    <w:rsid w:val="2D5052F3"/>
    <w:rsid w:val="2DB94B12"/>
    <w:rsid w:val="2F360439"/>
    <w:rsid w:val="31D420C7"/>
    <w:rsid w:val="31FC517A"/>
    <w:rsid w:val="322D57A6"/>
    <w:rsid w:val="32881493"/>
    <w:rsid w:val="33635E53"/>
    <w:rsid w:val="34A051A4"/>
    <w:rsid w:val="34AF1B39"/>
    <w:rsid w:val="34F30A97"/>
    <w:rsid w:val="367D6FE3"/>
    <w:rsid w:val="36DF5796"/>
    <w:rsid w:val="3A3E6C77"/>
    <w:rsid w:val="3A5B5BCB"/>
    <w:rsid w:val="3A754579"/>
    <w:rsid w:val="3B7F4F21"/>
    <w:rsid w:val="3D417C86"/>
    <w:rsid w:val="3D911F56"/>
    <w:rsid w:val="3E5227DD"/>
    <w:rsid w:val="3E624E5E"/>
    <w:rsid w:val="3EB069CD"/>
    <w:rsid w:val="3FE10F6A"/>
    <w:rsid w:val="40BC7671"/>
    <w:rsid w:val="457647B9"/>
    <w:rsid w:val="45C94BD2"/>
    <w:rsid w:val="46D1677D"/>
    <w:rsid w:val="489D100D"/>
    <w:rsid w:val="49023556"/>
    <w:rsid w:val="4A351DE1"/>
    <w:rsid w:val="4A58343D"/>
    <w:rsid w:val="4B076C12"/>
    <w:rsid w:val="4BB963B8"/>
    <w:rsid w:val="4BC915C7"/>
    <w:rsid w:val="4C6B6080"/>
    <w:rsid w:val="4D0D1AA9"/>
    <w:rsid w:val="4DF34EB8"/>
    <w:rsid w:val="4F196F13"/>
    <w:rsid w:val="4F4A681D"/>
    <w:rsid w:val="4F835269"/>
    <w:rsid w:val="50F3175D"/>
    <w:rsid w:val="526D3CDE"/>
    <w:rsid w:val="53034396"/>
    <w:rsid w:val="53114E01"/>
    <w:rsid w:val="53EF7110"/>
    <w:rsid w:val="541838D2"/>
    <w:rsid w:val="5418471B"/>
    <w:rsid w:val="55BD684B"/>
    <w:rsid w:val="5658685E"/>
    <w:rsid w:val="56886B05"/>
    <w:rsid w:val="56A51578"/>
    <w:rsid w:val="570D735E"/>
    <w:rsid w:val="58184BBF"/>
    <w:rsid w:val="59593DC0"/>
    <w:rsid w:val="5D700646"/>
    <w:rsid w:val="5EAB2F1D"/>
    <w:rsid w:val="60B66CB8"/>
    <w:rsid w:val="60D60260"/>
    <w:rsid w:val="61CA73E7"/>
    <w:rsid w:val="625A5F5B"/>
    <w:rsid w:val="62606EDB"/>
    <w:rsid w:val="633678D4"/>
    <w:rsid w:val="635E57B0"/>
    <w:rsid w:val="64DB4EA9"/>
    <w:rsid w:val="65AC6501"/>
    <w:rsid w:val="661C6631"/>
    <w:rsid w:val="66DE2AC5"/>
    <w:rsid w:val="66DE2D42"/>
    <w:rsid w:val="681933C3"/>
    <w:rsid w:val="68394457"/>
    <w:rsid w:val="688A35F9"/>
    <w:rsid w:val="6A077F06"/>
    <w:rsid w:val="6A641A9E"/>
    <w:rsid w:val="6B7F72CE"/>
    <w:rsid w:val="6BB22C67"/>
    <w:rsid w:val="6BE568CA"/>
    <w:rsid w:val="6C691082"/>
    <w:rsid w:val="6D930DA6"/>
    <w:rsid w:val="6E133415"/>
    <w:rsid w:val="6E984EA8"/>
    <w:rsid w:val="6F6C6759"/>
    <w:rsid w:val="6FFF6470"/>
    <w:rsid w:val="70903082"/>
    <w:rsid w:val="70DF72B6"/>
    <w:rsid w:val="71B713C9"/>
    <w:rsid w:val="720D24B0"/>
    <w:rsid w:val="73F47DE9"/>
    <w:rsid w:val="76750C6D"/>
    <w:rsid w:val="77602701"/>
    <w:rsid w:val="78967CE1"/>
    <w:rsid w:val="794359F5"/>
    <w:rsid w:val="79F118BB"/>
    <w:rsid w:val="7AC350BA"/>
    <w:rsid w:val="7AF3424C"/>
    <w:rsid w:val="7DA41F1A"/>
    <w:rsid w:val="7E7A0325"/>
    <w:rsid w:val="8BBA6298"/>
    <w:rsid w:val="F2DE46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name="annotation text"/>
    <w:lsdException w:qFormat="1" w:uiPriority="99" w:semiHidden="0" w:name="header"/>
    <w:lsdException w:uiPriority="99"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paragraph" w:styleId="2">
    <w:name w:val="heading 3"/>
    <w:basedOn w:val="1"/>
    <w:next w:val="1"/>
    <w:qFormat/>
    <w:uiPriority w:val="9"/>
    <w:pPr>
      <w:spacing w:before="100" w:beforeAutospacing="1" w:after="100" w:afterAutospacing="1"/>
      <w:jc w:val="left"/>
      <w:outlineLvl w:val="2"/>
    </w:pPr>
    <w:rPr>
      <w:rFonts w:hint="eastAsia" w:ascii="宋体" w:hAnsi="宋体"/>
      <w:b/>
      <w:bCs/>
      <w:sz w:val="27"/>
      <w:szCs w:val="27"/>
    </w:rPr>
  </w:style>
  <w:style w:type="paragraph" w:styleId="3">
    <w:name w:val="heading 4"/>
    <w:basedOn w:val="1"/>
    <w:next w:val="1"/>
    <w:qFormat/>
    <w:uiPriority w:val="9"/>
    <w:pPr>
      <w:spacing w:before="100" w:beforeAutospacing="1" w:after="100" w:afterAutospacing="1"/>
      <w:jc w:val="left"/>
      <w:outlineLvl w:val="3"/>
    </w:pPr>
    <w:rPr>
      <w:rFonts w:hint="eastAsia" w:ascii="宋体" w:hAnsi="宋体"/>
      <w:b/>
      <w:bCs/>
      <w:sz w:val="24"/>
      <w:szCs w:val="24"/>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4">
    <w:name w:val="caption"/>
    <w:basedOn w:val="1"/>
    <w:next w:val="1"/>
    <w:qFormat/>
    <w:uiPriority w:val="35"/>
    <w:rPr>
      <w:rFonts w:ascii="Arial" w:hAnsi="Arial" w:eastAsia="黑体"/>
      <w:sz w:val="20"/>
    </w:rPr>
  </w:style>
  <w:style w:type="paragraph" w:styleId="5">
    <w:name w:val="Document Map"/>
    <w:basedOn w:val="1"/>
    <w:semiHidden/>
    <w:qFormat/>
    <w:uiPriority w:val="0"/>
    <w:pPr>
      <w:shd w:val="clear" w:color="auto" w:fill="000080"/>
    </w:pPr>
  </w:style>
  <w:style w:type="paragraph" w:styleId="6">
    <w:name w:val="annotation text"/>
    <w:basedOn w:val="1"/>
    <w:semiHidden/>
    <w:qFormat/>
    <w:uiPriority w:val="0"/>
    <w:pPr>
      <w:jc w:val="left"/>
    </w:pPr>
  </w:style>
  <w:style w:type="paragraph" w:styleId="7">
    <w:name w:val="Body Text Indent"/>
    <w:basedOn w:val="1"/>
    <w:qFormat/>
    <w:uiPriority w:val="0"/>
    <w:pPr>
      <w:spacing w:line="440" w:lineRule="exact"/>
      <w:ind w:left="299"/>
    </w:pPr>
    <w:rPr>
      <w:sz w:val="24"/>
    </w:rPr>
  </w:style>
  <w:style w:type="paragraph" w:styleId="8">
    <w:name w:val="Date"/>
    <w:basedOn w:val="1"/>
    <w:next w:val="1"/>
    <w:qFormat/>
    <w:uiPriority w:val="0"/>
    <w:pPr>
      <w:ind w:left="100" w:leftChars="2500"/>
    </w:pPr>
  </w:style>
  <w:style w:type="paragraph" w:styleId="9">
    <w:name w:val="header"/>
    <w:basedOn w:val="1"/>
    <w:link w:val="19"/>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sz w:val="24"/>
      <w:szCs w:val="24"/>
    </w:rPr>
  </w:style>
  <w:style w:type="paragraph" w:styleId="11">
    <w:name w:val="Normal (Web)"/>
    <w:basedOn w:val="1"/>
    <w:unhideWhenUsed/>
    <w:qFormat/>
    <w:uiPriority w:val="99"/>
    <w:pPr>
      <w:spacing w:before="100" w:beforeAutospacing="1" w:after="100" w:afterAutospacing="1"/>
      <w:jc w:val="left"/>
    </w:pPr>
    <w:rPr>
      <w:sz w:val="24"/>
    </w:rPr>
  </w:style>
  <w:style w:type="paragraph" w:styleId="12">
    <w:name w:val="annotation subject"/>
    <w:basedOn w:val="6"/>
    <w:next w:val="6"/>
    <w:semiHidden/>
    <w:qFormat/>
    <w:uiPriority w:val="0"/>
    <w:rPr>
      <w:b/>
      <w:bCs/>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qFormat/>
    <w:uiPriority w:val="22"/>
    <w:rPr>
      <w:b/>
    </w:rPr>
  </w:style>
  <w:style w:type="character" w:styleId="17">
    <w:name w:val="page number"/>
    <w:qFormat/>
    <w:uiPriority w:val="0"/>
  </w:style>
  <w:style w:type="character" w:styleId="18">
    <w:name w:val="annotation reference"/>
    <w:semiHidden/>
    <w:qFormat/>
    <w:uiPriority w:val="0"/>
    <w:rPr>
      <w:sz w:val="21"/>
      <w:szCs w:val="21"/>
    </w:rPr>
  </w:style>
  <w:style w:type="character" w:customStyle="1" w:styleId="19">
    <w:name w:val="页眉 字符"/>
    <w:link w:val="9"/>
    <w:qFormat/>
    <w:uiPriority w:val="99"/>
    <w:rPr>
      <w:sz w:val="18"/>
      <w:szCs w:val="18"/>
    </w:rPr>
  </w:style>
  <w:style w:type="paragraph" w:customStyle="1" w:styleId="20">
    <w:name w:val="cjk"/>
    <w:basedOn w:val="1"/>
    <w:qFormat/>
    <w:uiPriority w:val="0"/>
    <w:pPr>
      <w:widowControl/>
      <w:suppressAutoHyphens/>
      <w:adjustRightInd/>
      <w:spacing w:before="280" w:line="360" w:lineRule="auto"/>
      <w:jc w:val="left"/>
      <w:textAlignment w:val="auto"/>
    </w:pPr>
    <w:rPr>
      <w:rFonts w:ascii="Arial Unicode MS" w:hAnsi="Arial Unicode MS"/>
      <w:kern w:val="1"/>
      <w:sz w:val="28"/>
      <w:szCs w:val="28"/>
      <w:lang w:eastAsia="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767</Words>
  <Characters>847</Characters>
  <Lines>514</Lines>
  <Paragraphs>476</Paragraphs>
  <TotalTime>11</TotalTime>
  <ScaleCrop>false</ScaleCrop>
  <LinksUpToDate>false</LinksUpToDate>
  <CharactersWithSpaces>860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2026-04-16T13:51:00Z</dcterms:created>
  <dc:creator>xw</dc:creator>
  <cp:lastModifiedBy>张瀚元</cp:lastModifiedBy>
  <cp:lastPrinted>2026-04-01T02:00:00Z</cp:lastPrinted>
  <dcterms:modified xsi:type="dcterms:W3CDTF">2026-04-16T23:36:45Z</dcterms:modified>
  <dc:title>项目类别</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FFC317D9F0C64B36889DED9AB5C55DDF_13</vt:lpwstr>
  </property>
  <property fmtid="{D5CDD505-2E9C-101B-9397-08002B2CF9AE}" pid="4" name="commondata">
    <vt:lpwstr>eyJoZGlkIjoiNDRmNDBlYWQxNTQwMmYxYjlkYWEyMGNiMTBlNzBjMzYifQ==</vt:lpwstr>
  </property>
  <property fmtid="{D5CDD505-2E9C-101B-9397-08002B2CF9AE}" pid="5" name="KSOTemplateDocerSaveRecord">
    <vt:lpwstr>eyJoZGlkIjoiYmVjYzMwZDk0MWI2Y2Q2MmI5YWJhOTA1ZjRjODIyOTIiLCJ1c2VySWQiOiIxNjkxOTYxNzQ2In0=</vt:lpwstr>
  </property>
</Properties>
</file>