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EFD5B">
      <w:pPr>
        <w:spacing w:after="240"/>
        <w:jc w:val="center"/>
      </w:pPr>
      <w:r>
        <w:rPr>
          <w:rFonts w:ascii="黑体" w:hAnsi="黑体" w:eastAsia="黑体"/>
          <w:sz w:val="28"/>
        </w:rPr>
        <w:t>基于博弈论强化的多智能体协同模拟法庭系统研究</w:t>
      </w:r>
    </w:p>
    <w:p w14:paraId="721B0882">
      <w:pPr>
        <w:spacing w:after="60"/>
      </w:pPr>
      <w:r>
        <w:rPr>
          <w:rFonts w:ascii="宋体" w:hAnsi="宋体" w:eastAsia="宋体"/>
          <w:b/>
          <w:sz w:val="21"/>
        </w:rPr>
        <w:t>关键词：</w:t>
      </w:r>
      <w:r>
        <w:rPr>
          <w:rFonts w:ascii="宋体" w:hAnsi="宋体" w:eastAsia="宋体"/>
          <w:sz w:val="21"/>
        </w:rPr>
        <w:t xml:space="preserve"> 大语言模型；多智能体协同；博弈论强化；演化博弈；扩展式博弈；模拟法庭</w:t>
      </w:r>
    </w:p>
    <w:p w14:paraId="386392D4">
      <w:pPr>
        <w:spacing w:before="120" w:after="120"/>
      </w:pPr>
      <w:r>
        <w:rPr>
          <w:rFonts w:ascii="Times New Roman" w:hAnsi="Times New Roman" w:eastAsia="黑体"/>
          <w:b/>
          <w:sz w:val="24"/>
        </w:rPr>
        <w:t>（一）研究初衷</w:t>
      </w:r>
    </w:p>
    <w:p w14:paraId="33BAA684">
      <w:pPr>
        <w:spacing w:after="60"/>
        <w:ind w:firstLine="420"/>
      </w:pPr>
      <w:r>
        <w:rPr>
          <w:rFonts w:ascii="Times New Roman" w:hAnsi="Times New Roman" w:eastAsia="宋体"/>
          <w:b w:val="0"/>
          <w:sz w:val="21"/>
        </w:rPr>
        <w:t>民事纠纷案件数量的持续攀升对我国司法体系形成了严峻挑战。据2026年3月最高人民法院工作报告，2025年全国民商事一审案件超过2000万件，同比上升逾11%[1]。最高人民法院于2024年发布的《人民法院第六个五年改革纲要》[2]进一步强调“强化大语言模型等技术应用，充分发挥人工智能辅助办案作用”。然而，将大语言模型（LLM）直接应用于民事诉讼实务场景时，仍面临深层次的技术瓶颈：Yu等人的系统评测[3]显示GPT-4o在中文法律知识基准上仅得59.4%，推理增强模型在高难度法律推理基准中亦表现不佳[3]。现有研究暴露了两个亟待突破的关键瓶颈：</w:t>
      </w:r>
    </w:p>
    <w:p w14:paraId="5A46F5DF">
      <w:pPr>
        <w:spacing w:after="60"/>
        <w:ind w:firstLine="420"/>
      </w:pPr>
      <w:r>
        <w:rPr>
          <w:rFonts w:ascii="Times New Roman" w:hAnsi="Times New Roman" w:eastAsia="宋体"/>
          <w:b w:val="0"/>
          <w:sz w:val="21"/>
        </w:rPr>
        <w:t>第一，交互动态性不足。现有法律AI系统主要采用静态问答范式，无法模拟真实庭审中多轮质证、举证、辩论的动态交互。J1-EVAL评测发现GPT-4o在动态法律场景中整体得分不足60%，尤其在程序执行（PFS）方面严重不足[4]，表明LLM在“知道法律知识”与“正确执行法律程序”之间存在结构性鸿沟。</w:t>
      </w:r>
    </w:p>
    <w:p w14:paraId="478B5012">
      <w:pPr>
        <w:spacing w:after="60"/>
        <w:ind w:firstLine="420"/>
      </w:pPr>
      <w:r>
        <w:rPr>
          <w:rFonts w:ascii="Times New Roman" w:hAnsi="Times New Roman" w:eastAsia="宋体"/>
          <w:b w:val="0"/>
          <w:sz w:val="21"/>
        </w:rPr>
        <w:t>第二，策略博弈维度缺失。民事诉讼属多阶段序贯博弈而非一次性静态决策：原告先择起诉策略，被告阅状后择答辩策略，法官据双方策略组合裁判。“先行动者—后行动者观察后响应”对应扩展式博弈（extensive-form game）；Selten的子博弈精炼纳什均衡（Subgame Perfect Nash Equilibrium, SPNE）[11]是求解序贯决策的经典工具；SPNE以反向归纳排除不可信威胁，较纳什均衡（NE）更能刻画序贯策略。</w:t>
        <w:br/>
        <w:br/>
        <w:t>然而，现有法律AI普遍忽视序贯结构。Chen等人的AgentMediation[6]在330案逾14000次模拟中，基于Thomas-Kilmann冲突模型（TKI）[5]验证行为策略对调解结果的显著非线性影响；但其仅单阶段静态标签并以正规形式博弈求NE，未建模起诉—答辩序贯与跨阶段传导。例如原告以“竞争型”激进主张全额赔偿后，被告若仍全面否认（同级“竞争型”）反可能劣于部分承认（“妥协型”）——法官常质疑过度否认的可信度；该序贯依赖被静态NE忽略。</w:t>
        <w:br/>
        <w:br/>
        <w:t>Sun等人的系统综述[7]将研究归为四象限：当前多集中于“用博弈论评测LLM”（象限1），而将博弈论机制嵌入LLM多智能体系统以驱动策略优化（象限2与4的交叉）的工作极为稀缺；扩展式SPNE用于法律多智能体模拟仍极罕见。若SPNE与NE预测分歧，还需追问群体层面序贯均衡稳定性——Maynard Smith的演化稳定策略（Evolutionarily Stable Strategy, ESS）理论[8]与复制者动态可作验证工具，亦未进入法律AI领域。</w:t>
      </w:r>
    </w:p>
    <w:p w14:paraId="7F560EBF">
      <w:pPr>
        <w:spacing w:after="60"/>
        <w:ind w:firstLine="420"/>
      </w:pPr>
      <w:r>
        <w:rPr>
          <w:rFonts w:ascii="Times New Roman" w:hAnsi="Times New Roman" w:eastAsia="宋体"/>
          <w:b w:val="0"/>
          <w:sz w:val="21"/>
        </w:rPr>
        <w:t>基于上述分析，本研究拟构建一个基于扩展式博弈建模的多智能体协同模拟法庭系统（LegalFlow），在LLM多智能体框架下将民事诉讼的起诉（CD）→答辩（DD）→审判（CI）全流程管道建模为扩展式博弈，引入SPNE求解序贯策略，通过与传统NE的系统性对照实验验证序贯建模在法律AI策略预测中的有效性，并借助演化博弈理论在群体层面检验序贯均衡的稳定性。系统由原告律师智能体、被告律师智能体、审判长智能体和当事人模拟器四个角色在博弈框架下协同运作，底层辅以渐进式法条检索增强（P-RAG）保障判决质量，旨在为法律AI领域提供一个兼具博弈论理论深度和工程可用性的模拟法庭研究平台。</w:t>
      </w:r>
    </w:p>
    <w:p w14:paraId="35906E2E">
      <w:pPr>
        <w:spacing w:before="120" w:after="120"/>
      </w:pPr>
      <w:r>
        <w:rPr>
          <w:rFonts w:ascii="黑体" w:hAnsi="黑体" w:eastAsia="黑体"/>
          <w:b/>
          <w:sz w:val="21"/>
        </w:rPr>
        <w:t>（二）前期工作</w:t>
      </w:r>
    </w:p>
    <w:p w14:paraId="1E2F2732">
      <w:pPr>
        <w:spacing w:before="60" w:after="60"/>
      </w:pPr>
      <w:r>
        <w:rPr>
          <w:rFonts w:ascii="黑体" w:hAnsi="黑体" w:eastAsia="黑体"/>
          <w:b/>
          <w:sz w:val="21"/>
        </w:rPr>
        <w:t>1. 文献调研与理论框架</w:t>
      </w:r>
    </w:p>
    <w:p w14:paraId="397661DA">
      <w:pPr>
        <w:spacing w:after="60"/>
        <w:ind w:firstLine="420"/>
      </w:pPr>
      <w:r>
        <w:rPr>
          <w:rFonts w:ascii="宋体" w:hAnsi="宋体" w:eastAsia="宋体"/>
          <w:sz w:val="21"/>
        </w:rPr>
        <w:t>本研究系统梳理了法律AI领域的5篇代表性前沿论文及经典博弈论文献，构建了"评测—博弈—检索"三维理论框架：</w:t>
      </w:r>
    </w:p>
    <w:p w14:paraId="4C0B4F74">
      <w:pPr>
        <w:spacing w:after="60"/>
        <w:ind w:firstLine="420"/>
      </w:pPr>
      <w:r>
        <w:rPr>
          <w:rFonts w:ascii="宋体" w:hAnsi="宋体" w:eastAsia="宋体"/>
          <w:sz w:val="21"/>
        </w:rPr>
        <w:t>（1）</w:t>
      </w:r>
      <w:r>
        <w:rPr>
          <w:rFonts w:ascii="宋体" w:hAnsi="宋体" w:eastAsia="宋体"/>
          <w:b/>
          <w:sz w:val="21"/>
        </w:rPr>
        <w:t>评测维度。</w:t>
      </w:r>
      <w:r>
        <w:rPr>
          <w:rFonts w:ascii="宋体" w:hAnsi="宋体" w:eastAsia="宋体"/>
          <w:sz w:val="21"/>
        </w:rPr>
        <w:t xml:space="preserve"> LexEval[10]建立了六层法律认知能力分类体系（23项任务/14150题）；J1-EVAL[4]首次构建交互式动态法律环境，提出PFS/JUD/REA/LAW等细粒度指标，其核心发现——模型在程序执行层面严重不足——直接启发了本研究的庭审状态机设计。</w:t>
      </w:r>
    </w:p>
    <w:p w14:paraId="660AAE36">
      <w:pPr>
        <w:spacing w:after="60"/>
        <w:ind w:firstLine="420"/>
      </w:pPr>
      <w:r>
        <w:rPr>
          <w:rFonts w:ascii="宋体" w:hAnsi="宋体" w:eastAsia="宋体"/>
          <w:sz w:val="21"/>
        </w:rPr>
        <w:t>（2）</w:t>
      </w:r>
      <w:r>
        <w:rPr>
          <w:rFonts w:ascii="宋体" w:hAnsi="宋体" w:eastAsia="宋体"/>
          <w:b/>
          <w:sz w:val="21"/>
        </w:rPr>
        <w:t>博弈维度。</w:t>
      </w:r>
      <w:r>
        <w:rPr>
          <w:rFonts w:ascii="宋体" w:hAnsi="宋体" w:eastAsia="宋体"/>
          <w:sz w:val="21"/>
        </w:rPr>
        <w:t xml:space="preserve"> AgentMediation[6]基于TKI五策略在330个民事案件上验证了策略对调解结果的非线性影响和群体极化效应。Sun等人的综述[7]指出博弈论×LLM的交叉研究主要集中在"评测"象限，将博弈论嵌入LLM系统实现策略进化的工作极为稀缺。本研究进一步调研了三个经典博弈论基础：Selten的SPNE[11]为序贯决策提供精确分析工具；Nash讨价还价解[12]和Rubinstein出价模型[9]为调解提供公平参考点；Maynard Smith的ESS理论[8]和复制者动态方程为群体层面的策略演化提供数学框架。</w:t>
      </w:r>
    </w:p>
    <w:p w14:paraId="68FDDB5F">
      <w:pPr>
        <w:spacing w:after="60"/>
        <w:ind w:firstLine="420"/>
      </w:pPr>
      <w:r>
        <w:rPr>
          <w:rFonts w:ascii="宋体" w:hAnsi="宋体" w:eastAsia="宋体"/>
          <w:sz w:val="21"/>
        </w:rPr>
        <w:t>（3）</w:t>
      </w:r>
      <w:r>
        <w:rPr>
          <w:rFonts w:ascii="宋体" w:hAnsi="宋体" w:eastAsia="宋体"/>
          <w:b/>
          <w:sz w:val="21"/>
        </w:rPr>
        <w:t>检索维度。</w:t>
      </w:r>
      <w:r>
        <w:rPr>
          <w:rFonts w:ascii="宋体" w:hAnsi="宋体" w:eastAsia="宋体"/>
          <w:sz w:val="21"/>
        </w:rPr>
        <w:t xml:space="preserve"> 渐进式检索增强（P-RAG）方法直接影响了本系统的证据与法条检索设计，确保了长周期庭审中信息的有效召回。</w:t>
      </w:r>
    </w:p>
    <w:p w14:paraId="62A78436">
      <w:pPr>
        <w:spacing w:before="60" w:after="60"/>
      </w:pPr>
      <w:r>
        <w:rPr>
          <w:rFonts w:ascii="黑体" w:hAnsi="黑体" w:eastAsia="黑体"/>
          <w:b/>
          <w:sz w:val="21"/>
        </w:rPr>
        <w:t>2. 系统原型开发</w:t>
      </w:r>
    </w:p>
    <w:p w14:paraId="4C59F497">
      <w:pPr>
        <w:spacing w:after="60"/>
        <w:ind w:firstLine="420"/>
      </w:pPr>
      <w:r>
        <w:rPr>
          <w:rFonts w:ascii="宋体" w:hAnsi="宋体" w:eastAsia="宋体"/>
          <w:sz w:val="21"/>
        </w:rPr>
        <w:t>受J1-ENVS[4]多层级环境架构的启发，本研究以"角色分离—引擎驱动—评测闭环"为设计原则，已完成LegalFlow系统v1.0的开发，总体架构如图1所示，包含28个功能Python模块（core层23个、agents层5个）、65个FastAPI端点。</w:t>
      </w:r>
    </w:p>
    <w:p w14:paraId="738E6E69">
      <w:r>
        <w:drawing>
          <wp:inline distT="0" distB="0" distL="114300" distR="114300">
            <wp:extent cx="5039995" cy="275717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2757275"/>
                    </a:xfrm>
                    <a:prstGeom prst="rect">
                      <a:avLst/>
                    </a:prstGeom>
                  </pic:spPr>
                </pic:pic>
              </a:graphicData>
            </a:graphic>
          </wp:inline>
        </w:drawing>
      </w:r>
    </w:p>
    <w:p w14:paraId="765872C7"/>
    <w:p w14:paraId="42437A0D">
      <w:pPr>
        <w:spacing w:after="60"/>
        <w:ind w:firstLine="420"/>
      </w:pPr>
      <w:r>
        <w:rPr>
          <w:rFonts w:ascii="宋体" w:hAnsi="宋体" w:eastAsia="宋体"/>
          <w:b/>
          <w:sz w:val="21"/>
        </w:rPr>
        <w:t>图1 LegalFlow系统架构：数据输入→三层博弈论框架驱动的多智能体管道（CD→DD→CI）→评测输出。微观层扩展式博弈建模序贯决策，中观层讨价还价博弈驱动调解引擎，宏观层演化动力学模拟群体策略演化，底层辅以P-RAG工程增强模块</w:t>
      </w:r>
    </w:p>
    <w:p w14:paraId="720818FE">
      <w:pPr>
        <w:spacing w:after="60"/>
        <w:ind w:firstLine="420"/>
      </w:pPr>
      <w:r>
        <w:rPr>
          <w:rFonts w:ascii="宋体" w:hAnsi="宋体" w:eastAsia="宋体"/>
          <w:sz w:val="21"/>
        </w:rPr>
        <w:t>系统包含四个核心层次。</w:t>
      </w:r>
      <w:r>
        <w:rPr>
          <w:rFonts w:ascii="宋体" w:hAnsi="宋体" w:eastAsia="宋体"/>
          <w:b/>
          <w:sz w:val="21"/>
        </w:rPr>
        <w:t>智能体层</w:t>
      </w:r>
      <w:r>
        <w:rPr>
          <w:rFonts w:ascii="宋体" w:hAnsi="宋体" w:eastAsia="宋体"/>
          <w:sz w:val="21"/>
        </w:rPr>
        <w:t>包括CDAgent（起诉状律师）、DDAgent（答辩状律师）、CIAgent（审判长，内置26项必经步骤的有限状态机）和SimAgent（当事人模拟器，支持TKI五策略动态注入）。与AgentMediation[6]的全局共享模拟器不同，本系统为原被告分别创建独立SimAgent实例（per-party），使策略可独立进化。四个智能体通过FullCaseOrchestrator串联为CD→DD→CI完整管道。</w:t>
      </w:r>
      <w:r>
        <w:rPr>
          <w:rFonts w:ascii="宋体" w:hAnsi="宋体" w:eastAsia="宋体"/>
          <w:b/>
          <w:sz w:val="21"/>
        </w:rPr>
        <w:t>引擎层</w:t>
      </w:r>
      <w:r>
        <w:rPr>
          <w:rFonts w:ascii="宋体" w:hAnsi="宋体" w:eastAsia="宋体"/>
          <w:sz w:val="21"/>
        </w:rPr>
        <w:t>包括三层博弈论引擎（微观SPNE/中观NBS/宏观ESS）、纳什均衡追踪器、HDR五阶段调解引擎和</w:t>
      </w:r>
      <w:r>
        <w:rPr>
          <w:rFonts w:ascii="宋体" w:hAnsi="宋体" w:eastAsia="宋体"/>
          <w:b/>
          <w:sz w:val="21"/>
        </w:rPr>
        <w:t>P-RAG检索引擎</w:t>
      </w:r>
      <w:r>
        <w:rPr>
          <w:rFonts w:ascii="宋体" w:hAnsi="宋体" w:eastAsia="宋体"/>
          <w:sz w:val="21"/>
        </w:rPr>
        <w:t>。</w:t>
      </w:r>
      <w:r>
        <w:rPr>
          <w:rFonts w:ascii="宋体" w:hAnsi="宋体" w:eastAsia="宋体"/>
          <w:b/>
          <w:sz w:val="21"/>
        </w:rPr>
        <w:t>评测层</w:t>
      </w:r>
      <w:r>
        <w:rPr>
          <w:rFonts w:ascii="宋体" w:hAnsi="宋体" w:eastAsia="宋体"/>
          <w:sz w:val="21"/>
        </w:rPr>
        <w:t>融合LexEval/J1-EVAL/AgentMediation等多维评测。</w:t>
      </w:r>
      <w:r>
        <w:rPr>
          <w:rFonts w:ascii="宋体" w:hAnsi="宋体" w:eastAsia="宋体"/>
          <w:b/>
          <w:sz w:val="21"/>
        </w:rPr>
        <w:t>数据层</w:t>
      </w:r>
      <w:r>
        <w:rPr>
          <w:rFonts w:ascii="宋体" w:hAnsi="宋体" w:eastAsia="宋体"/>
          <w:sz w:val="21"/>
        </w:rPr>
        <w:t>包含法条数据库（135条法条的FAISS+BM25三路混合检索）和LegalFlow-1K数据集。</w:t>
      </w:r>
    </w:p>
    <w:p w14:paraId="7C0F2E40">
      <w:pPr>
        <w:spacing w:after="60"/>
        <w:ind w:firstLine="420"/>
        <w:rPr>
          <w:rFonts w:ascii="宋体" w:hAnsi="宋体" w:eastAsia="宋体"/>
          <w:sz w:val="21"/>
        </w:rPr>
      </w:pPr>
      <w:r>
        <w:rPr>
          <w:rFonts w:ascii="宋体" w:hAnsi="宋体" w:eastAsia="宋体"/>
          <w:b/>
          <w:sz w:val="21"/>
        </w:rPr>
        <w:t>基座模型选择。</w:t>
      </w:r>
      <w:r>
        <w:rPr>
          <w:rFonts w:ascii="宋体" w:hAnsi="宋体" w:eastAsia="宋体"/>
          <w:sz w:val="21"/>
        </w:rPr>
        <w:t xml:space="preserve"> 本系统采用</w:t>
      </w:r>
      <w:r>
        <w:rPr>
          <w:rFonts w:ascii="宋体" w:hAnsi="宋体" w:eastAsia="宋体"/>
          <w:b/>
          <w:sz w:val="21"/>
        </w:rPr>
        <w:t>多模型运行时切换</w:t>
      </w:r>
      <w:r>
        <w:rPr>
          <w:rFonts w:ascii="宋体" w:hAnsi="宋体" w:eastAsia="宋体"/>
          <w:sz w:val="21"/>
        </w:rPr>
        <w:t>架构，默认基座模型为</w:t>
      </w:r>
      <w:r>
        <w:rPr>
          <w:rFonts w:ascii="宋体" w:hAnsi="宋体" w:eastAsia="宋体"/>
          <w:b/>
          <w:sz w:val="21"/>
        </w:rPr>
        <w:t>DeepSeek-V3</w:t>
      </w:r>
      <w:r>
        <w:rPr>
          <w:rFonts w:ascii="宋体" w:hAnsi="宋体" w:eastAsia="宋体"/>
          <w:sz w:val="21"/>
        </w:rPr>
        <w:t>（用于CDAgent/DDAgent/SimAgent的文书生成与策略推理，性价比最优）和</w:t>
      </w:r>
      <w:r>
        <w:rPr>
          <w:rFonts w:ascii="宋体" w:hAnsi="宋体" w:eastAsia="宋体"/>
          <w:b/>
          <w:sz w:val="21"/>
        </w:rPr>
        <w:t>GPT-4o</w:t>
      </w:r>
      <w:r>
        <w:rPr>
          <w:rFonts w:ascii="宋体" w:hAnsi="宋体" w:eastAsia="宋体"/>
          <w:sz w:val="21"/>
        </w:rPr>
        <w:t>（用于CIAgent的</w:t>
      </w:r>
      <w:r>
        <w:rPr>
          <w:rFonts w:ascii="宋体" w:hAnsi="宋体" w:eastAsia="宋体"/>
          <w:b/>
          <w:sz w:val="21"/>
        </w:rPr>
        <w:t>核心判决生成</w:t>
      </w:r>
      <w:r>
        <w:rPr>
          <w:rFonts w:ascii="宋体" w:hAnsi="宋体" w:eastAsia="宋体"/>
          <w:sz w:val="21"/>
        </w:rPr>
        <w:t>，推理能力最强）。P-RAG检索阶段使用</w:t>
      </w:r>
      <w:r>
        <w:rPr>
          <w:rFonts w:ascii="宋体" w:hAnsi="宋体" w:eastAsia="宋体"/>
          <w:b/>
          <w:sz w:val="21"/>
        </w:rPr>
        <w:t>BGE-M3</w:t>
      </w:r>
      <w:r>
        <w:rPr>
          <w:rFonts w:ascii="宋体" w:hAnsi="宋体" w:eastAsia="宋体"/>
          <w:sz w:val="21"/>
        </w:rPr>
        <w:t>嵌入模型（本地部署，无API费用）。</w:t>
      </w:r>
    </w:p>
    <w:p w14:paraId="73468B43">
      <w:pPr>
        <w:spacing w:after="60"/>
        <w:ind w:firstLine="420"/>
      </w:pPr>
      <w:bookmarkStart w:id="0" w:name="_GoBack"/>
      <w:bookmarkEnd w:id="0"/>
      <w:r>
        <w:rPr>
          <w:rFonts w:ascii="宋体" w:hAnsi="宋体" w:eastAsia="宋体"/>
          <w:sz w:val="21"/>
        </w:rPr>
        <w:t>模型选择依据：（1）DeepSeek-V3在中文法律任务上性能接近GPT-4o但API成本约为其1/10；（2）GPT-4o在J1-EVAL[4]的JUD维度表现最优，适合关键判决环节；（3）系统支持一键切换至其他模型（Qwen-Max、Claude等），实验中将对比至少两种基座模型以排除模型特异性。</w:t>
      </w:r>
    </w:p>
    <w:p w14:paraId="75786305">
      <w:pPr>
        <w:spacing w:before="60" w:after="60"/>
      </w:pPr>
      <w:r>
        <w:rPr>
          <w:rFonts w:ascii="黑体" w:hAnsi="黑体" w:eastAsia="黑体"/>
          <w:b/>
          <w:sz w:val="21"/>
        </w:rPr>
        <w:t>3. 数据集构建</w:t>
      </w:r>
    </w:p>
    <w:p w14:paraId="0AA3DAB6">
      <w:pPr>
        <w:spacing w:after="60"/>
        <w:ind w:firstLine="420"/>
      </w:pPr>
      <w:r>
        <w:rPr>
          <w:rFonts w:ascii="宋体" w:hAnsi="宋体" w:eastAsia="宋体"/>
          <w:sz w:val="21"/>
        </w:rPr>
        <w:t>面向民事诉讼全流程的结构化评测数据集尚属空白。本研究基于公开的ClaimGen-CN语料[13]（源自中国裁判文书网207748条真实民事判决书），自行构建了</w:t>
      </w:r>
      <w:r>
        <w:rPr>
          <w:rFonts w:ascii="宋体" w:hAnsi="宋体" w:eastAsia="宋体"/>
          <w:b/>
          <w:sz w:val="21"/>
        </w:rPr>
        <w:t>多角色对抗结构化衍生数据集</w:t>
      </w:r>
      <w:r>
        <w:rPr>
          <w:rFonts w:ascii="宋体" w:hAnsi="宋体" w:eastAsia="宋体"/>
          <w:sz w:val="21"/>
        </w:rPr>
        <w:t>LegalFlow-1K。原始数据仅含案由、原告事实陈述段和诉讼请求三个扁平字段，不具备多角色对抗结构。本研究的核心数据贡献在于将其重构为面向多智能体博弈的三场景结构化数据。</w:t>
      </w:r>
    </w:p>
    <w:p w14:paraId="1E810BB3">
      <w:pPr>
        <w:spacing w:after="60"/>
        <w:ind w:firstLine="420"/>
      </w:pPr>
      <w:r>
        <w:rPr>
          <w:rFonts w:ascii="宋体" w:hAnsi="宋体" w:eastAsia="宋体"/>
          <w:sz w:val="21"/>
        </w:rPr>
        <w:t>构建流程包括：（1）</w:t>
      </w:r>
      <w:r>
        <w:rPr>
          <w:rFonts w:ascii="宋体" w:hAnsi="宋体" w:eastAsia="宋体"/>
          <w:b/>
          <w:sz w:val="21"/>
        </w:rPr>
        <w:t>三层过滤</w:t>
      </w:r>
      <w:r>
        <w:rPr>
          <w:rFonts w:ascii="宋体" w:hAnsi="宋体" w:eastAsia="宋体"/>
          <w:sz w:val="21"/>
        </w:rPr>
        <w:t>——依次过滤事实描述不足50字的缺席判决、诉讼请求为空的不完整记录、以及缺乏对抗基础的案件；（2）</w:t>
      </w:r>
      <w:r>
        <w:rPr>
          <w:rFonts w:ascii="宋体" w:hAnsi="宋体" w:eastAsia="宋体"/>
          <w:b/>
          <w:sz w:val="21"/>
        </w:rPr>
        <w:t>分层采样</w:t>
      </w:r>
      <w:r>
        <w:rPr>
          <w:rFonts w:ascii="宋体" w:hAnsi="宋体" w:eastAsia="宋体"/>
          <w:sz w:val="21"/>
        </w:rPr>
        <w:t>——从20种目标案由中按比例采样，最终选取1000条（29种案由），按3:1:1划分为训练/验证/测试集；（3）</w:t>
      </w:r>
      <w:r>
        <w:rPr>
          <w:rFonts w:ascii="宋体" w:hAnsi="宋体" w:eastAsia="宋体"/>
          <w:b/>
          <w:sz w:val="21"/>
        </w:rPr>
        <w:t>三场景重构</w:t>
      </w:r>
      <w:r>
        <w:rPr>
          <w:rFonts w:ascii="宋体" w:hAnsi="宋体" w:eastAsia="宋体"/>
          <w:sz w:val="21"/>
        </w:rPr>
        <w:t>——CD场景通过规则引擎和正则表达式提取诉讼主张与涉案金额，结合案由生成证据清单模板；DD场景通过规则引擎针对每项诉讼请求生成逐条反驳（包括事实否认、法律适用争议和证据质疑三类反驳模板），模拟对抗逻辑结构，确保答辩与起诉的</w:t>
      </w:r>
      <w:r>
        <w:rPr>
          <w:rFonts w:ascii="宋体" w:hAnsi="宋体" w:eastAsia="宋体"/>
          <w:b/>
          <w:sz w:val="21"/>
        </w:rPr>
        <w:t>逻辑对齐</w:t>
      </w:r>
      <w:r>
        <w:rPr>
          <w:rFonts w:ascii="宋体" w:hAnsi="宋体" w:eastAsia="宋体"/>
          <w:sz w:val="21"/>
        </w:rPr>
        <w:t>；CI场景基于案由映射适用法条（覆盖13类案由40余条法条），生成裁判理由和判决主文；（4）</w:t>
      </w:r>
      <w:r>
        <w:rPr>
          <w:rFonts w:ascii="宋体" w:hAnsi="宋体" w:eastAsia="宋体"/>
          <w:b/>
          <w:sz w:val="21"/>
        </w:rPr>
        <w:t>对齐校验</w:t>
      </w:r>
      <w:r>
        <w:rPr>
          <w:rFonts w:ascii="宋体" w:hAnsi="宋体" w:eastAsia="宋体"/>
          <w:sz w:val="21"/>
        </w:rPr>
        <w:t>——验证CD每项诉请在DD中有对应答辩回应，CI判决主文覆盖全部诉请。需说明，DD场景的答辩为</w:t>
      </w:r>
      <w:r>
        <w:rPr>
          <w:rFonts w:ascii="宋体" w:hAnsi="宋体" w:eastAsia="宋体"/>
          <w:b/>
          <w:sz w:val="21"/>
        </w:rPr>
        <w:t>合成对抗</w:t>
      </w:r>
      <w:r>
        <w:rPr>
          <w:rFonts w:ascii="宋体" w:hAnsi="宋体" w:eastAsia="宋体"/>
          <w:sz w:val="21"/>
        </w:rPr>
        <w:t>（synthetic adversarial）而非真实被告的自然语言答辩；其对抗充分性通过以下指标验证：（1）答辩覆盖率——DD答辩是否涵盖CD全部诉请（目标100%）；（2）反驳多样性——每项诉请的反驳是否覆盖事实/法律/证据三个维度。</w:t>
      </w:r>
    </w:p>
    <w:p w14:paraId="2C70A0B7">
      <w:pPr>
        <w:spacing w:before="60" w:after="60"/>
      </w:pPr>
      <w:r>
        <w:rPr>
          <w:rFonts w:ascii="黑体" w:hAnsi="黑体" w:eastAsia="黑体"/>
          <w:b/>
          <w:sz w:val="21"/>
        </w:rPr>
        <w:t>4. 初步实验验证</w:t>
      </w:r>
    </w:p>
    <w:p w14:paraId="1257E7F2">
      <w:pPr>
        <w:spacing w:after="60"/>
        <w:ind w:firstLine="420"/>
      </w:pPr>
      <w:r>
        <w:rPr>
          <w:rFonts w:ascii="宋体" w:hAnsi="宋体" w:eastAsia="宋体"/>
          <w:sz w:val="21"/>
        </w:rPr>
        <w:t>为验证系统设计的可行性，已基于AgentMediation[6]经验数据和系统先验收益矩阵完成5组预备性模拟实验，核心结果如图2所示（与第三部分实验1中</w:t>
      </w:r>
      <w:r>
        <w:rPr>
          <w:rFonts w:ascii="宋体" w:hAnsi="宋体" w:eastAsia="宋体"/>
          <w:b/>
          <w:sz w:val="21"/>
        </w:rPr>
        <w:t>图5</w:t>
      </w:r>
      <w:r>
        <w:rPr>
          <w:rFonts w:ascii="宋体" w:hAnsi="宋体" w:eastAsia="宋体"/>
          <w:sz w:val="21"/>
        </w:rPr>
        <w:t>为同一组预备模拟结论的展开）。</w:t>
      </w:r>
      <w:r>
        <w:rPr>
          <w:rFonts w:ascii="宋体" w:hAnsi="宋体" w:eastAsia="宋体"/>
          <w:b/>
          <w:sz w:val="21"/>
        </w:rPr>
        <w:t>以下数据基于先验参数的模拟估算，正式实验将在后续阶段在完整测试集上运行端到端评测后获得。</w:t>
      </w:r>
    </w:p>
    <w:p w14:paraId="7D2F9558">
      <w:pPr>
        <w:spacing w:after="60"/>
        <w:ind w:firstLine="420"/>
      </w:pPr>
      <w:r>
        <w:rPr>
          <w:rFonts w:ascii="宋体" w:hAnsi="宋体" w:eastAsia="宋体"/>
          <w:b/>
          <w:sz w:val="21"/>
        </w:rPr>
        <w:t>实验1（TKI策略博弈效应，预备模拟）。</w:t>
      </w:r>
      <w:r>
        <w:rPr>
          <w:rFonts w:ascii="宋体" w:hAnsi="宋体" w:eastAsia="宋体"/>
          <w:sz w:val="21"/>
        </w:rPr>
        <w:t xml:space="preserve"> 基于AgentMediation[6] Table 5的经验数据构建先验收益矩阵，预备模拟显示TKI策略对结果有显著非线性影响，5×5策略空间存在唯一纯策略纳什均衡点（合作型, 合作型）。详细数据与分析见第三部分实验1。</w:t>
      </w:r>
      <w:r>
        <w:rPr>
          <w:rFonts w:ascii="宋体" w:hAnsi="宋体" w:eastAsia="宋体"/>
          <w:b/>
          <w:sz w:val="21"/>
        </w:rPr>
        <w:t>实验2-4预备模拟摘要</w:t>
      </w:r>
      <w:r>
        <w:rPr>
          <w:rFonts w:ascii="宋体" w:hAnsi="宋体" w:eastAsia="宋体"/>
          <w:sz w:val="21"/>
        </w:rPr>
        <w:t>见第三部分实验4。正式实验数据将在200条测试案件上运行端到端评测后获得。</w:t>
      </w:r>
    </w:p>
    <w:p w14:paraId="6697D46A">
      <w:pPr>
        <w:spacing w:before="120" w:after="120"/>
      </w:pPr>
      <w:r>
        <w:rPr>
          <w:rFonts w:ascii="黑体" w:hAnsi="黑体" w:eastAsia="黑体"/>
          <w:b/>
          <w:sz w:val="21"/>
        </w:rPr>
        <w:t>（三）研究内容</w:t>
      </w:r>
    </w:p>
    <w:p w14:paraId="1E9E0EC5">
      <w:pPr>
        <w:spacing w:before="60" w:after="60"/>
      </w:pPr>
      <w:r>
        <w:rPr>
          <w:rFonts w:ascii="黑体" w:hAnsi="黑体" w:eastAsia="黑体"/>
          <w:b/>
          <w:sz w:val="21"/>
        </w:rPr>
        <w:t>1. 研究目标与拟解决的关键问题</w:t>
      </w:r>
    </w:p>
    <w:p w14:paraId="10927486">
      <w:pPr>
        <w:spacing w:after="60"/>
        <w:ind w:firstLine="420"/>
      </w:pPr>
      <w:r>
        <w:rPr>
          <w:rFonts w:ascii="宋体" w:hAnsi="宋体" w:eastAsia="宋体"/>
          <w:sz w:val="21"/>
        </w:rPr>
        <w:t>本研究的总体目标是构建一个以博弈论为理论骨架、多智能体协同为实现手段的民事诉讼模拟与社会实验平台，并通过系统实验回答以下四个核心研究问题：</w:t>
      </w:r>
    </w:p>
    <w:p w14:paraId="522DB469">
      <w:pPr>
        <w:spacing w:after="60"/>
        <w:ind w:firstLine="420"/>
      </w:pPr>
      <w:r>
        <w:rPr>
          <w:rFonts w:ascii="宋体" w:hAnsi="宋体" w:eastAsia="宋体"/>
          <w:b/>
          <w:sz w:val="21"/>
        </w:rPr>
        <w:t>RQ1（微观博弈）：SPNE与NE的策略预测是否存在显著差异？</w:t>
      </w:r>
      <w:r>
        <w:rPr>
          <w:rFonts w:ascii="宋体" w:hAnsi="宋体" w:eastAsia="宋体"/>
          <w:sz w:val="21"/>
        </w:rPr>
        <w:t xml:space="preserve"> 真实诉讼是序贯决策过程——原告先选起诉策略，被告观察后选答辩策略。这种序贯结构使正规形式NE的预测可能偏离实际最优，SPNE通过排除不可信威胁给出更精确的预测。通过比较两者差异，验证序贯建模的必要性并揭示策略跨阶段传导机制。</w:t>
      </w:r>
    </w:p>
    <w:p w14:paraId="4FE0EADA">
      <w:pPr>
        <w:spacing w:after="60"/>
        <w:ind w:firstLine="420"/>
      </w:pPr>
      <w:r>
        <w:rPr>
          <w:rFonts w:ascii="宋体" w:hAnsi="宋体" w:eastAsia="宋体"/>
          <w:b/>
          <w:sz w:val="21"/>
        </w:rPr>
        <w:t>RQ2（宏观博弈）：TKI策略的演化动态是否收敛到ESS，ESS与NE是否一致？</w:t>
      </w:r>
      <w:r>
        <w:rPr>
          <w:rFonts w:ascii="宋体" w:hAnsi="宋体" w:eastAsia="宋体"/>
          <w:sz w:val="21"/>
        </w:rPr>
        <w:t xml:space="preserve"> NE回答"理性个体应选什么策略"，ESS回答"群体层面什么策略能存活"。若NE不是ESS则理性策略在群体中不稳定，对法律制度设计有重要启示。本研究通过复制者动态方程追踪200+案件的策略演化轨迹。需明确的是，本研究的"演化动态"由复制者动态方程</w:t>
      </w: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d>
          <m:dPr>
            <m:begChr m:val="["/>
            <m:endChr m:val="]"/>
            <m:ctrlPr>
              <w:rPr>
                <w:rFonts w:hint="default" w:ascii="Cambria Math" w:hAnsi="Cambria Math" w:eastAsia="宋体"/>
                <w:i/>
                <w:sz w:val="21"/>
              </w:rPr>
            </m:ctrlPr>
          </m:dPr>
          <m:e>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(x)−</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(x)</m:t>
            </m:r>
            <m:ctrlPr>
              <w:rPr>
                <w:rFonts w:hint="default" w:ascii="Cambria Math" w:hAnsi="Cambria Math" w:eastAsia="宋体"/>
                <w:sz w:val="21"/>
              </w:rPr>
            </m:ctrlPr>
          </m:e>
        </m:d>
      </m:oMath>
      <w:r>
        <w:rPr>
          <w:rFonts w:ascii="宋体" w:hAnsi="宋体" w:eastAsia="宋体"/>
          <w:sz w:val="21"/>
        </w:rPr>
        <w:t>驱动，是基于经验收益矩阵的</w:t>
      </w:r>
      <w:r>
        <w:rPr>
          <w:rFonts w:ascii="宋体" w:hAnsi="宋体" w:eastAsia="宋体"/>
          <w:b/>
          <w:sz w:val="21"/>
        </w:rPr>
        <w:t>确定性数学模拟</w:t>
      </w:r>
      <w:r>
        <w:rPr>
          <w:rFonts w:ascii="宋体" w:hAnsi="宋体" w:eastAsia="宋体"/>
          <w:sz w:val="21"/>
        </w:rPr>
        <w:t>，旨在检验LLM智能体的实际博弈收益是否导致与经典ESS理论一致的均衡结构，而非声称LLM智能体在自由交互中自发涌现演化行为。</w:t>
      </w:r>
    </w:p>
    <w:p w14:paraId="4C0496D0">
      <w:pPr>
        <w:spacing w:after="60"/>
        <w:ind w:firstLine="420"/>
      </w:pPr>
      <w:r>
        <w:rPr>
          <w:rFonts w:ascii="宋体" w:hAnsi="宋体" w:eastAsia="宋体"/>
          <w:b/>
          <w:sz w:val="21"/>
        </w:rPr>
        <w:t>RQ3（中观博弈）：将NBS引入调解引擎后，调解成功率和公平性是否显著提升？</w:t>
      </w:r>
      <w:r>
        <w:rPr>
          <w:rFonts w:ascii="宋体" w:hAnsi="宋体" w:eastAsia="宋体"/>
          <w:sz w:val="21"/>
        </w:rPr>
        <w:t xml:space="preserve"> 当前调解方案完全依赖LLM自由输出。纳什讨价还价解作为唯一满足四条公理的协商解，可作为"公平参考点"注入调解引擎。</w:t>
      </w:r>
    </w:p>
    <w:p w14:paraId="4AD8E0C6">
      <w:pPr>
        <w:spacing w:after="60"/>
        <w:ind w:firstLine="420"/>
      </w:pPr>
      <w:r>
        <w:rPr>
          <w:rFonts w:ascii="宋体" w:hAnsi="宋体" w:eastAsia="宋体"/>
          <w:b/>
          <w:sz w:val="21"/>
        </w:rPr>
        <w:t>RQ4（工程支撑）：P-RAG渐进式检索增强对判决适用法条的准确率（Recall）有多大提升？</w:t>
      </w:r>
      <w:r>
        <w:rPr>
          <w:rFonts w:ascii="宋体" w:hAnsi="宋体" w:eastAsia="宋体"/>
          <w:sz w:val="21"/>
        </w:rPr>
        <w:t xml:space="preserve"> 通过消融实验量化动态检索在复杂博弈环境中的边际贡献。</w:t>
      </w:r>
    </w:p>
    <w:p w14:paraId="1824B5C3">
      <w:pPr>
        <w:spacing w:before="60" w:after="60"/>
      </w:pPr>
      <w:r>
        <w:rPr>
          <w:rFonts w:ascii="黑体" w:hAnsi="黑体" w:eastAsia="黑体"/>
          <w:b/>
          <w:sz w:val="21"/>
        </w:rPr>
        <w:t>2. 研究方法与技术路线</w:t>
      </w:r>
    </w:p>
    <w:p w14:paraId="0CD33525">
      <w:pPr>
        <w:spacing w:after="60"/>
        <w:ind w:firstLine="420"/>
      </w:pPr>
      <w:r>
        <w:rPr>
          <w:rFonts w:ascii="宋体" w:hAnsi="宋体" w:eastAsia="宋体"/>
          <w:sz w:val="21"/>
        </w:rPr>
        <w:t>本研究采用"系统构建—对照实验—消融分析—理论凝练"的四段式技术路线。</w:t>
      </w:r>
      <w:r>
        <w:rPr>
          <w:rFonts w:ascii="宋体" w:hAnsi="宋体" w:eastAsia="宋体"/>
          <w:b/>
          <w:sz w:val="21"/>
        </w:rPr>
        <w:t>阶段一（核心架构已完成，博弈引擎待完善）</w:t>
      </w:r>
      <w:r>
        <w:rPr>
          <w:rFonts w:ascii="宋体" w:hAnsi="宋体" w:eastAsia="宋体"/>
          <w:sz w:val="21"/>
        </w:rPr>
        <w:t>：已完成LegalFlow系统核心架构开发，包括四角色智能体、博弈引擎v1.0、</w:t>
      </w:r>
      <w:r>
        <w:rPr>
          <w:rFonts w:ascii="宋体" w:hAnsi="宋体" w:eastAsia="宋体"/>
          <w:b/>
          <w:sz w:val="21"/>
        </w:rPr>
        <w:t>P-RAG核心增强模块</w:t>
      </w:r>
      <w:r>
        <w:rPr>
          <w:rFonts w:ascii="宋体" w:hAnsi="宋体" w:eastAsia="宋体"/>
          <w:sz w:val="21"/>
        </w:rPr>
        <w:t>及融合多篇代表性文献的综合评测框架；后续需完善三层博弈论框架的集成联调和数据集质量。</w:t>
      </w:r>
      <w:r>
        <w:rPr>
          <w:rFonts w:ascii="宋体" w:hAnsi="宋体" w:eastAsia="宋体"/>
          <w:b/>
          <w:sz w:val="21"/>
        </w:rPr>
        <w:t>阶段二</w:t>
      </w:r>
      <w:r>
        <w:rPr>
          <w:rFonts w:ascii="宋体" w:hAnsi="宋体" w:eastAsia="宋体"/>
          <w:sz w:val="21"/>
        </w:rPr>
        <w:t>：设计5组严格的对照实验（策略博弈/P-RAG消融/综合评测等），在测试集200条案件上系统验证四个RQ。</w:t>
      </w:r>
      <w:r>
        <w:rPr>
          <w:rFonts w:ascii="宋体" w:hAnsi="宋体" w:eastAsia="宋体"/>
          <w:b/>
          <w:sz w:val="21"/>
        </w:rPr>
        <w:t>阶段三</w:t>
      </w:r>
      <w:r>
        <w:rPr>
          <w:rFonts w:ascii="宋体" w:hAnsi="宋体" w:eastAsia="宋体"/>
          <w:sz w:val="21"/>
        </w:rPr>
        <w:t>：通过消融分析验证P-RAG对法条Recall等指标的边际贡献，确认该模块设计的必要性。</w:t>
      </w:r>
      <w:r>
        <w:rPr>
          <w:rFonts w:ascii="宋体" w:hAnsi="宋体" w:eastAsia="宋体"/>
          <w:b/>
          <w:sz w:val="21"/>
        </w:rPr>
        <w:t>阶段四</w:t>
      </w:r>
      <w:r>
        <w:rPr>
          <w:rFonts w:ascii="宋体" w:hAnsi="宋体" w:eastAsia="宋体"/>
          <w:sz w:val="21"/>
        </w:rPr>
        <w:t>：基于实验数据进行纳什均衡收敛分析、群体极化与表面共识的社会学理论验证、</w:t>
      </w:r>
      <w:r>
        <w:rPr>
          <w:rFonts w:ascii="宋体" w:hAnsi="宋体" w:eastAsia="宋体"/>
          <w:b/>
          <w:sz w:val="21"/>
        </w:rPr>
        <w:t>P-RAG阶段性增益规律总结</w:t>
      </w:r>
      <w:r>
        <w:rPr>
          <w:rFonts w:ascii="宋体" w:hAnsi="宋体" w:eastAsia="宋体"/>
          <w:sz w:val="21"/>
        </w:rPr>
        <w:t>。</w:t>
      </w:r>
    </w:p>
    <w:p w14:paraId="7E2FE85E">
      <w:pPr>
        <w:spacing w:before="60" w:after="60"/>
      </w:pPr>
      <w:r>
        <w:rPr>
          <w:rFonts w:ascii="黑体" w:hAnsi="黑体" w:eastAsia="黑体"/>
          <w:b/>
          <w:sz w:val="21"/>
        </w:rPr>
        <w:t>3. 关键技术与数学形式化</w:t>
      </w:r>
    </w:p>
    <w:p w14:paraId="7DBE2A6C">
      <w:pPr>
        <w:spacing w:before="60" w:after="60"/>
      </w:pPr>
      <w:r>
        <w:rPr>
          <w:rFonts w:ascii="黑体" w:hAnsi="黑体" w:eastAsia="黑体"/>
          <w:b/>
          <w:sz w:val="21"/>
        </w:rPr>
        <w:t>3.1 三层博弈论框架</w:t>
      </w:r>
    </w:p>
    <w:p w14:paraId="6C2F0BC0">
      <w:pPr>
        <w:spacing w:after="60"/>
        <w:ind w:firstLine="420"/>
      </w:pPr>
      <w:r>
        <w:rPr>
          <w:rFonts w:ascii="宋体" w:hAnsi="宋体" w:eastAsia="宋体"/>
          <w:sz w:val="21"/>
        </w:rPr>
        <w:t>本研究的核心理论贡献是提出"微观—中观—宏观"三层博弈论框架，将民事诉讼建模为三种不同粒度的博弈并分别求解均衡。</w:t>
      </w:r>
    </w:p>
    <w:p w14:paraId="7DAD220A">
      <w:pPr>
        <w:spacing w:after="60"/>
        <w:ind w:firstLine="420"/>
      </w:pPr>
      <w:r>
        <w:rPr>
          <w:rFonts w:ascii="宋体" w:hAnsi="宋体" w:eastAsia="宋体"/>
          <w:b/>
          <w:sz w:val="21"/>
        </w:rPr>
        <w:t>（1）微观层：扩展式博弈与子博弈精炼均衡。</w:t>
      </w:r>
      <w:r>
        <w:rPr>
          <w:rFonts w:ascii="宋体" w:hAnsi="宋体" w:eastAsia="宋体"/>
          <w:sz w:val="21"/>
        </w:rPr>
        <w:t xml:space="preserve"> 将CD→DD管道建模为两阶段序贯决策的扩展式博弈</w:t>
      </w:r>
      <m:oMath>
        <m:r>
          <m:rPr>
            <m:sty m:val="p"/>
          </m:rPr>
          <w:rPr>
            <w:rFonts w:hint="default" w:ascii="Cambria Math" w:hAnsi="Cambria Math" w:eastAsia="宋体"/>
            <w:sz w:val="21"/>
          </w:rPr>
          <m:t>Γ</m:t>
        </m:r>
        <m:r>
          <m:rPr/>
          <w:rPr>
            <w:rFonts w:hint="default" w:ascii="Cambria Math" w:hAnsi="Cambria Math" w:eastAsia="宋体"/>
            <w:sz w:val="21"/>
          </w:rPr>
          <m:t>=</m:t>
        </m:r>
        <m:r>
          <m:rPr>
            <m:sty m:val="p"/>
          </m:rPr>
          <w:rPr>
            <w:rFonts w:hint="default" w:ascii="Cambria Math" w:hAnsi="Cambria Math" w:eastAsia="宋体"/>
            <w:sz w:val="21"/>
          </w:rPr>
          <m:t>⟨</m:t>
        </m:r>
        <m:r>
          <m:rPr/>
          <w:rPr>
            <w:rFonts w:hint="default" w:ascii="Cambria Math" w:hAnsi="Cambria Math" w:eastAsia="宋体"/>
            <w:sz w:val="21"/>
          </w:rPr>
          <m:t>N,H,P,u</m:t>
        </m:r>
        <m:r>
          <m:rPr>
            <m:sty m:val="p"/>
          </m:rPr>
          <w:rPr>
            <w:rFonts w:hint="default" w:ascii="Cambria Math" w:hAnsi="Cambria Math" w:eastAsia="宋体"/>
            <w:sz w:val="21"/>
          </w:rPr>
          <m:t>⟩</m:t>
        </m:r>
      </m:oMath>
      <w:r>
        <w:rPr>
          <w:rFonts w:ascii="宋体" w:hAnsi="宋体" w:eastAsia="宋体"/>
          <w:sz w:val="21"/>
        </w:rPr>
        <w:t>，其中</w:t>
      </w:r>
      <m:oMath>
        <m:r>
          <m:rPr/>
          <w:rPr>
            <w:rFonts w:hint="default" w:ascii="Cambria Math" w:hAnsi="Cambria Math" w:eastAsia="宋体"/>
            <w:sz w:val="21"/>
          </w:rPr>
          <m:t>N={P,D}</m:t>
        </m:r>
      </m:oMath>
      <w:r>
        <w:rPr>
          <w:rFonts w:ascii="宋体" w:hAnsi="宋体" w:eastAsia="宋体"/>
          <w:sz w:val="21"/>
        </w:rPr>
        <w:t xml:space="preserve"> 为参与人集合，H 为博弈历史集合，</w:t>
      </w:r>
      <m:oMath>
        <m:r>
          <m:rPr/>
          <w:rPr>
            <w:rFonts w:hint="default" w:ascii="Cambria Math" w:hAnsi="Cambria Math" w:eastAsia="宋体"/>
            <w:sz w:val="21"/>
          </w:rPr>
          <m:t>P:H→N</m:t>
        </m:r>
      </m:oMath>
      <w:r>
        <w:rPr>
          <w:rFonts w:ascii="宋体" w:hAnsi="宋体" w:eastAsia="宋体"/>
          <w:sz w:val="21"/>
        </w:rPr>
        <w:t>为行动人函数，u 为终端收益函数。本研究采用完美信息假设作为一阶近似——即被告在答辩阶段可观察原告的起诉策略类型。此假设在模拟法庭场景中合理（起诉状在答辩前已送达被告），但在真实诉讼中原告的完整证据策略可能存在私有信息，后续研究可扩展至贝叶斯博弈框架。博弈树结构如下：</w:t>
      </w:r>
    </w:p>
    <w:p w14:paraId="6CC62451">
      <w:pPr>
        <w:spacing w:after="60"/>
        <w:ind w:left="420"/>
      </w:pPr>
      <w:r>
        <w:rPr>
          <w:rFonts w:ascii="宋体" w:hAnsi="宋体" w:eastAsia="宋体"/>
          <w:sz w:val="21"/>
        </w:rPr>
        <w:t xml:space="preserve">• 第1阶段（CD）：原告选择起诉策略 </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∈S</m:t>
        </m:r>
      </m:oMath>
    </w:p>
    <w:p w14:paraId="2C8280B8">
      <w:pPr>
        <w:spacing w:after="60"/>
        <w:ind w:left="420"/>
      </w:pPr>
      <w:r>
        <w:rPr>
          <w:rFonts w:ascii="宋体" w:hAnsi="宋体" w:eastAsia="宋体"/>
          <w:sz w:val="21"/>
        </w:rPr>
        <w:t xml:space="preserve">• 第2阶段（DD）：被告观察起诉状后选择答辩策略 </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DD</m:t>
            </m:r>
            <m:ctrlPr>
              <w:rPr>
                <w:rFonts w:ascii="Cambria Math" w:hAnsi="Cambria Math" w:eastAsia="宋体"/>
                <w:sz w:val="21"/>
              </w:rPr>
            </m:ctrlPr>
          </m:sup>
        </m:sSubSup>
        <m:r>
          <m:rPr/>
          <w:rPr>
            <w:rFonts w:hint="default" w:ascii="Cambria Math" w:hAnsi="Cambria Math" w:eastAsia="宋体"/>
            <w:sz w:val="21"/>
          </w:rPr>
          <m:t>∈S</m:t>
        </m:r>
      </m:oMath>
    </w:p>
    <w:p w14:paraId="40FA5B8B">
      <w:pPr>
        <w:spacing w:after="60"/>
        <w:ind w:left="420"/>
      </w:pPr>
      <w:r>
        <w:rPr>
          <w:rFonts w:ascii="宋体" w:hAnsi="宋体" w:eastAsia="宋体"/>
          <w:sz w:val="21"/>
        </w:rPr>
        <w:t xml:space="preserve">• 终端收益：CI阶段作为收益实现机制，法官基于双方策略组合裁判产生终端收益 </w:t>
      </w:r>
      <m:oMath>
        <m:r>
          <m:rPr/>
          <w:rPr>
            <w:rFonts w:hint="default" w:ascii="Cambria Math" w:hAnsi="Cambria Math" w:eastAsia="宋体"/>
            <w:sz w:val="21"/>
          </w:rPr>
          <m:t>u(</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DD</m:t>
            </m:r>
            <m:ctrlPr>
              <w:rPr>
                <w:rFonts w:ascii="Cambria Math" w:hAnsi="Cambria Math" w:eastAsia="宋体"/>
                <w:sz w:val="21"/>
              </w:rPr>
            </m:ctrlPr>
          </m:sup>
        </m:sSubSup>
        <m:r>
          <m:rPr/>
          <w:rPr>
            <w:rFonts w:hint="default" w:ascii="Cambria Math" w:hAnsi="Cambria Math" w:eastAsia="宋体"/>
            <w:sz w:val="21"/>
          </w:rPr>
          <m:t>)</m:t>
        </m:r>
      </m:oMath>
    </w:p>
    <w:p w14:paraId="25C232B0">
      <w:pPr>
        <w:spacing w:after="60"/>
        <w:ind w:firstLine="420"/>
      </w:pPr>
      <w:r>
        <w:rPr>
          <w:rFonts w:ascii="宋体" w:hAnsi="宋体" w:eastAsia="宋体"/>
          <w:sz w:val="21"/>
        </w:rPr>
        <w:t>子博弈精炼纳什均衡通过反向归纳法求解：</w:t>
      </w:r>
    </w:p>
    <w:p w14:paraId="0F75711F">
      <w:pPr>
        <w:spacing w:after="60"/>
        <w:ind w:left="283"/>
      </w:pP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DD∗</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m:t>
        </m:r>
        <m:func>
          <m:funcPr>
            <m:ctrlPr>
              <w:rPr>
                <w:rFonts w:hint="default" w:ascii="Cambria Math" w:hAnsi="Cambria Math" w:eastAsia="宋体"/>
                <w:sz w:val="21"/>
              </w:rPr>
            </m:ctrlPr>
          </m:funcPr>
          <m:fName>
            <m:r>
              <m:rPr/>
              <w:rPr>
                <w:rFonts w:hint="default" w:ascii="Cambria Math" w:hAnsi="Cambria Math" w:eastAsia="宋体"/>
                <w:sz w:val="21"/>
              </w:rPr>
              <m:t>arg</m:t>
            </m:r>
            <m:ctrlPr>
              <w:rPr>
                <w:rFonts w:ascii="Cambria Math" w:hAnsi="Cambria Math" w:eastAsia="宋体"/>
                <w:sz w:val="21"/>
              </w:rPr>
            </m:ctrlPr>
          </m:fName>
          <m:e>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lim>
                </m:limLow>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u</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e>
        </m:func>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up>
            <m:r>
              <m:rPr/>
              <w:rPr>
                <w:rFonts w:hint="default" w:ascii="Cambria Math" w:hAnsi="Cambria Math" w:eastAsia="宋体"/>
                <w:sz w:val="21"/>
              </w:rPr>
              <m:t>CD</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(1)</w:t>
      </w:r>
    </w:p>
    <w:p w14:paraId="45A54D74">
      <w:pPr>
        <w:spacing w:after="60"/>
        <w:ind w:left="283"/>
      </w:pP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m:t>
        </m:r>
        <m:func>
          <m:funcPr>
            <m:ctrlPr>
              <w:rPr>
                <w:rFonts w:hint="default" w:ascii="Cambria Math" w:hAnsi="Cambria Math" w:eastAsia="宋体"/>
                <w:sz w:val="21"/>
              </w:rPr>
            </m:ctrlPr>
          </m:funcPr>
          <m:fName>
            <m:r>
              <m:rPr/>
              <w:rPr>
                <w:rFonts w:hint="default" w:ascii="Cambria Math" w:hAnsi="Cambria Math" w:eastAsia="宋体"/>
                <w:sz w:val="21"/>
              </w:rPr>
              <m:t>arg</m:t>
            </m:r>
            <m:ctrlPr>
              <w:rPr>
                <w:rFonts w:ascii="Cambria Math" w:hAnsi="Cambria Math" w:eastAsia="宋体"/>
                <w:sz w:val="21"/>
              </w:rPr>
            </m:ctrlPr>
          </m:fName>
          <m:e>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ctrlPr>
                      <w:rPr>
                        <w:rFonts w:hint="default" w:ascii="Cambria Math" w:hAnsi="Cambria Math" w:eastAsia="宋体"/>
                        <w:sz w:val="21"/>
                      </w:rPr>
                    </m:ctrlPr>
                  </m:lim>
                </m:limLow>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u</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e>
        </m:fun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up>
            <m:r>
              <m:rPr/>
              <w:rPr>
                <w:rFonts w:hint="default" w:ascii="Cambria Math" w:hAnsi="Cambria Math" w:eastAsia="宋体"/>
                <w:sz w:val="21"/>
              </w:rPr>
              <m:t>DD∗</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(2)</w:t>
      </w:r>
    </w:p>
    <w:p w14:paraId="4387EB6B">
      <w:pPr>
        <w:spacing w:after="60"/>
        <w:ind w:firstLine="420"/>
      </w:pPr>
      <w:r>
        <w:rPr>
          <w:rFonts w:ascii="宋体" w:hAnsi="宋体" w:eastAsia="宋体"/>
          <w:sz w:val="21"/>
        </w:rPr>
        <w:t>与正规形式NE的关键区别在于：SPNE通过反向归纳排除了不可信威胁，给出更精确的序贯策略预测。</w:t>
      </w:r>
    </w:p>
    <w:p w14:paraId="2E17ECB3">
      <w:pPr>
        <w:spacing w:after="60"/>
        <w:ind w:firstLine="420"/>
      </w:pPr>
      <w:r>
        <w:rPr>
          <w:rFonts w:ascii="宋体" w:hAnsi="宋体" w:eastAsia="宋体"/>
          <w:b/>
          <w:sz w:val="21"/>
        </w:rPr>
        <w:t>（2）宏观层：演化博弈动力学。</w:t>
      </w:r>
      <w:r>
        <w:rPr>
          <w:rFonts w:ascii="宋体" w:hAnsi="宋体" w:eastAsia="宋体"/>
          <w:sz w:val="21"/>
        </w:rPr>
        <w:t xml:space="preserve"> 将大量案件中的策略选择建模为演化博弈系统。设种群中采用策略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 xml:space="preserve"> 的比例为 </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m:sty m:val="p"/>
          </m:rPr>
          <w:rPr>
            <w:rFonts w:hint="default" w:ascii="Cambria Math" w:hAnsi="Cambria Math" w:eastAsia="宋体"/>
            <w:sz w:val="21"/>
          </w:rPr>
          <m:t>（</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i</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=1</m:t>
        </m:r>
        <m:r>
          <m:rPr>
            <m:sty m:val="p"/>
          </m:rPr>
          <w:rPr>
            <w:rFonts w:hint="default" w:ascii="Cambria Math" w:hAnsi="Cambria Math" w:eastAsia="宋体"/>
            <w:sz w:val="21"/>
          </w:rPr>
          <m:t>）</m:t>
        </m:r>
      </m:oMath>
      <w:r>
        <w:rPr>
          <w:rFonts w:ascii="宋体" w:hAnsi="宋体" w:eastAsia="宋体"/>
          <w:sz w:val="21"/>
        </w:rPr>
        <w:t>，策略</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的期望适应度为：</w:t>
      </w:r>
    </w:p>
    <w:p w14:paraId="11B95829">
      <w:pPr>
        <w:spacing w:after="60"/>
        <w:ind w:left="283"/>
      </w:pP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(x)=</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⋅u(</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 xml:space="preserve"> (3)</w:t>
      </w:r>
    </w:p>
    <w:p w14:paraId="5C8448C9">
      <w:pPr>
        <w:spacing w:after="60"/>
        <w:ind w:firstLine="420"/>
      </w:pPr>
      <w:r>
        <w:rPr>
          <w:rFonts w:ascii="宋体" w:hAnsi="宋体" w:eastAsia="宋体"/>
          <w:sz w:val="21"/>
        </w:rPr>
        <w:t>种群平均适应度为</w:t>
      </w:r>
      <m:oMath>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(x)=</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i</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f</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(x)</m:t>
        </m:r>
      </m:oMath>
      <w:r>
        <w:rPr>
          <w:rFonts w:ascii="宋体" w:hAnsi="宋体" w:eastAsia="宋体"/>
          <w:sz w:val="21"/>
        </w:rPr>
        <w:t>。策略比例的演化遵循复制者动态方程：</w:t>
      </w:r>
    </w:p>
    <w:p w14:paraId="4A0BD5B5">
      <w:pPr>
        <w:spacing w:after="60"/>
        <w:ind w:left="283"/>
      </w:pP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d>
          <m:dPr>
            <m:begChr m:val="["/>
            <m:endChr m:val="]"/>
            <m:ctrlPr>
              <w:rPr>
                <w:rFonts w:hint="default" w:ascii="Cambria Math" w:hAnsi="Cambria Math" w:eastAsia="宋体"/>
                <w:i/>
                <w:sz w:val="21"/>
              </w:rPr>
            </m:ctrlPr>
          </m:dPr>
          <m:e>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(x)−</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(x)</m:t>
            </m:r>
            <m:ctrlPr>
              <w:rPr>
                <w:rFonts w:hint="default" w:ascii="Cambria Math" w:hAnsi="Cambria Math" w:eastAsia="宋体"/>
                <w:sz w:val="21"/>
              </w:rPr>
            </m:ctrlPr>
          </m:e>
        </m:d>
        <m:r>
          <m:rPr>
            <m:sty m:val="p"/>
          </m:rPr>
          <w:rPr>
            <w:rFonts w:hint="default" w:ascii="Cambria Math" w:hAnsi="Cambria Math" w:eastAsia="宋体"/>
            <w:sz w:val="21"/>
          </w:rPr>
          <m:t xml:space="preserve">    </m:t>
        </m:r>
      </m:oMath>
      <w:r>
        <w:rPr>
          <w:rFonts w:ascii="Times New Roman" w:hAnsi="Times New Roman" w:eastAsia="宋体"/>
          <w:sz w:val="21"/>
        </w:rPr>
        <w:t xml:space="preserve"> (4)</w:t>
      </w:r>
    </w:p>
    <w:p w14:paraId="1BE7FA86">
      <w:pPr>
        <w:spacing w:after="60"/>
        <w:ind w:firstLine="420"/>
      </w:pPr>
      <w:r>
        <w:rPr>
          <w:rFonts w:ascii="宋体" w:hAnsi="宋体" w:eastAsia="宋体"/>
          <w:sz w:val="21"/>
        </w:rPr>
        <w:t>策略</w:t>
      </w:r>
      <m:oMath>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oMath>
      <w:r>
        <w:rPr>
          <w:rFonts w:ascii="宋体" w:hAnsi="宋体" w:eastAsia="宋体"/>
          <w:sz w:val="21"/>
        </w:rPr>
        <w:t xml:space="preserve">是演化稳定策略（ESS）当且仅当对任意突变策略 </w:t>
      </w:r>
      <m:oMath>
        <m:r>
          <m:rPr/>
          <w:rPr>
            <w:rFonts w:hint="default" w:ascii="Cambria Math" w:hAnsi="Cambria Math" w:eastAsia="宋体"/>
            <w:sz w:val="21"/>
          </w:rPr>
          <m:t>s'≠</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oMath>
      <w:r>
        <w:rPr>
          <w:rFonts w:ascii="宋体" w:hAnsi="宋体" w:eastAsia="宋体"/>
          <w:sz w:val="21"/>
        </w:rPr>
        <w:t>：（i）</w:t>
      </w:r>
      <m:oMath>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)≥u(s',</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oMath>
      <w:r>
        <w:rPr>
          <w:rFonts w:ascii="宋体" w:hAnsi="宋体" w:eastAsia="宋体"/>
          <w:sz w:val="21"/>
        </w:rPr>
        <w:t xml:space="preserve">；（ii）若等号成立，则 </w:t>
      </w:r>
      <m:oMath>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,s')&gt;u(s',s')</m:t>
        </m:r>
      </m:oMath>
      <w:r>
        <w:rPr>
          <w:rFonts w:ascii="宋体" w:hAnsi="宋体" w:eastAsia="宋体"/>
          <w:sz w:val="21"/>
        </w:rPr>
        <w:t>。ESS的存在性保证了均衡在群体环境中对微小扰动的鲁棒性。</w:t>
      </w:r>
    </w:p>
    <w:p w14:paraId="715BE002">
      <w:pPr>
        <w:spacing w:after="60"/>
        <w:ind w:firstLine="420"/>
      </w:pPr>
      <w:r>
        <w:rPr>
          <w:rFonts w:ascii="宋体" w:hAnsi="宋体" w:eastAsia="宋体"/>
          <w:b/>
          <w:sz w:val="21"/>
        </w:rPr>
        <w:t>（3）中观层：纳什讨价还价博弈。</w:t>
      </w:r>
      <w:r>
        <w:rPr>
          <w:rFonts w:ascii="宋体" w:hAnsi="宋体" w:eastAsia="宋体"/>
          <w:sz w:val="21"/>
        </w:rPr>
        <w:t xml:space="preserve"> 将调解建模为二人讨价还价问题 </w:t>
      </w:r>
      <m:oMath>
        <m:r>
          <m:rPr/>
          <w:rPr>
            <w:rFonts w:hint="default" w:ascii="Cambria Math" w:hAnsi="Cambria Math" w:eastAsia="宋体"/>
            <w:sz w:val="21"/>
          </w:rPr>
          <m:t>(F,d)</m:t>
        </m:r>
      </m:oMath>
      <w:r>
        <w:rPr>
          <w:rFonts w:ascii="宋体" w:hAnsi="宋体" w:eastAsia="宋体"/>
          <w:sz w:val="21"/>
        </w:rPr>
        <w:t>，其中</w:t>
      </w:r>
      <m:oMath>
        <m:r>
          <m:rPr/>
          <w:rPr>
            <w:rFonts w:hint="default" w:ascii="Cambria Math" w:hAnsi="Cambria Math" w:eastAsia="宋体"/>
            <w:sz w:val="21"/>
          </w:rPr>
          <m:t>F⊂</m:t>
        </m:r>
        <m:sSup>
          <m:sSupPr>
            <m:ctrlPr>
              <w:rPr>
                <w:rFonts w:hint="default" w:ascii="Cambria Math" w:hAnsi="Cambria Math" w:eastAsia="宋体"/>
                <w:sz w:val="21"/>
              </w:rPr>
            </m:ctrlPr>
          </m:sSupPr>
          <m:e>
            <m:r>
              <m:rPr>
                <m:scr m:val="double-struck"/>
              </m:rPr>
              <w:rPr>
                <w:rFonts w:hint="default" w:ascii="Cambria Math" w:hAnsi="Cambria Math" w:eastAsia="MS Mincho"/>
                <w:sz w:val="21"/>
              </w:rPr>
              <m:t>ℝ</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oMath>
      <w:r>
        <w:rPr>
          <w:rFonts w:ascii="宋体" w:hAnsi="宋体" w:eastAsia="宋体"/>
          <w:sz w:val="21"/>
        </w:rPr>
        <w:t xml:space="preserve"> 为可行收益集合（调解可能达成的各种方案对应的收益对），</w:t>
      </w:r>
      <m:oMath>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oMath>
      <w:r>
        <w:rPr>
          <w:rFonts w:ascii="宋体" w:hAnsi="宋体" w:eastAsia="宋体"/>
          <w:sz w:val="21"/>
        </w:rPr>
        <w:t xml:space="preserve"> 为谈判破裂点——定义为调解失败后转入诉讼的预期收益（由扩展式博弈的SPNE收益给出）。纳什讨价还价解为：</w:t>
      </w:r>
    </w:p>
    <w:p w14:paraId="6B3278AF">
      <w:pPr>
        <w:spacing w:after="60"/>
        <w:ind w:left="283"/>
      </w:pPr>
      <m:oMath>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y</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func>
          <m:funcPr>
            <m:ctrlPr>
              <w:rPr>
                <w:rFonts w:hint="default" w:ascii="Cambria Math" w:hAnsi="Cambria Math" w:eastAsia="宋体"/>
                <w:sz w:val="21"/>
              </w:rPr>
            </m:ctrlPr>
          </m:funcPr>
          <m:fName>
            <m:r>
              <m:rPr/>
              <w:rPr>
                <w:rFonts w:hint="default" w:ascii="Cambria Math" w:hAnsi="Cambria Math" w:eastAsia="宋体"/>
                <w:sz w:val="21"/>
              </w:rPr>
              <m:t>arg</m:t>
            </m:r>
            <m:ctrlPr>
              <w:rPr>
                <w:rFonts w:ascii="Cambria Math" w:hAnsi="Cambria Math" w:eastAsia="宋体"/>
                <w:sz w:val="21"/>
              </w:rPr>
            </m:ctrlPr>
          </m:fName>
          <m:e>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r>
                      <m:rPr/>
                      <w:rPr>
                        <w:rFonts w:hint="default" w:ascii="Cambria Math" w:hAnsi="Cambria Math" w:eastAsia="宋体"/>
                        <w:sz w:val="21"/>
                      </w:rPr>
                      <m:t>(x,y)∈F, x≥</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 y≥</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ctrlPr>
              <w:rPr>
                <w:rFonts w:hint="default" w:ascii="Cambria Math" w:hAnsi="Cambria Math" w:eastAsia="宋体"/>
                <w:sz w:val="21"/>
              </w:rPr>
            </m:ctrlPr>
          </m:e>
        </m:func>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)(y−</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 xml:space="preserve"> (5)</w:t>
      </w:r>
    </w:p>
    <w:p w14:paraId="744518B9">
      <w:pPr>
        <w:spacing w:after="60"/>
        <w:ind w:firstLine="420"/>
      </w:pPr>
      <w:r>
        <w:rPr>
          <w:rFonts w:ascii="宋体" w:hAnsi="宋体" w:eastAsia="宋体"/>
          <w:sz w:val="21"/>
        </w:rPr>
        <w:t>NBS是唯一满足帕累托最优、对称性、独立于无关选项和仿射不变性四条公理的解。</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oMath>
      <w:r>
        <w:rPr>
          <w:rFonts w:ascii="宋体" w:hAnsi="宋体" w:eastAsia="宋体"/>
          <w:sz w:val="21"/>
        </w:rPr>
        <w:t>通过锦标赛历史估计，F 通过LLM生成候选方案的收益评分构建，NBS作为"公平参考点"注入调解方案生成阶段。</w:t>
      </w:r>
    </w:p>
    <w:p w14:paraId="7D37E1DF">
      <w:pPr>
        <w:spacing w:after="60"/>
        <w:ind w:firstLine="420"/>
      </w:pPr>
      <w:r>
        <w:rPr>
          <w:rFonts w:ascii="宋体" w:hAnsi="宋体" w:eastAsia="宋体"/>
          <w:sz w:val="21"/>
        </w:rPr>
        <w:t>三层框架形成理论闭环：SPNE收益→讨价还价破裂点，收益矩阵→演化适应度矩阵，ESS群体分布→单案件先验策略。博弈树结构如图3所示：</w:t>
      </w:r>
    </w:p>
    <w:p w14:paraId="75426213">
      <w:r>
        <w:drawing>
          <wp:inline distT="0" distB="0" distL="114300" distR="114300">
            <wp:extent cx="5039995" cy="310959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3109598"/>
                    </a:xfrm>
                    <a:prstGeom prst="rect">
                      <a:avLst/>
                    </a:prstGeom>
                  </pic:spPr>
                </pic:pic>
              </a:graphicData>
            </a:graphic>
          </wp:inline>
        </w:drawing>
      </w:r>
    </w:p>
    <w:p w14:paraId="5654DAD4"/>
    <w:p w14:paraId="1B9C2CC8">
      <w:pPr>
        <w:spacing w:after="60"/>
        <w:ind w:firstLine="420"/>
      </w:pPr>
      <w:r>
        <w:rPr>
          <w:rFonts w:ascii="宋体" w:hAnsi="宋体" w:eastAsia="宋体"/>
          <w:b/>
          <w:sz w:val="21"/>
        </w:rPr>
        <w:t>图3 CD→DD→CI扩展式博弈树与SPNE均衡路径（红色粗线）。通过反向归纳法，被告在每个子博弈中选择最优响应，原告预期被告响应后选择全局最优策略</w:t>
      </w:r>
    </w:p>
    <w:p w14:paraId="0F239D7A">
      <w:pPr>
        <w:spacing w:before="60" w:after="60"/>
      </w:pPr>
      <w:r>
        <w:rPr>
          <w:rFonts w:ascii="黑体" w:hAnsi="黑体" w:eastAsia="黑体"/>
          <w:b/>
          <w:sz w:val="21"/>
        </w:rPr>
        <w:t>3.2 三层框架的基础设施：正规形式博弈与收益矩阵</w:t>
      </w:r>
    </w:p>
    <w:p w14:paraId="0DF2B610">
      <w:pPr>
        <w:spacing w:after="60"/>
        <w:ind w:firstLine="420"/>
      </w:pPr>
      <w:r>
        <w:rPr>
          <w:rFonts w:ascii="宋体" w:hAnsi="宋体" w:eastAsia="宋体"/>
          <w:sz w:val="21"/>
        </w:rPr>
        <w:t>作为上述三层博弈论框架的共享基础设施，系统维护一张5×5经验收益矩阵——三层框架均以此矩阵为输入：微观层用于构建博弈树终端收益，宏观层用于演化适应度计算，中观层用于估算谈判破裂点。将民事诉讼建模为双人正则形式博弈</w:t>
      </w:r>
      <m:oMath>
        <m:r>
          <m:rPr/>
          <w:rPr>
            <w:rFonts w:hint="default" w:ascii="Cambria Math" w:hAnsi="Cambria Math" w:eastAsia="宋体"/>
            <w:sz w:val="21"/>
          </w:rPr>
          <m:t>G=</m:t>
        </m:r>
        <m:r>
          <m:rPr>
            <m:sty m:val="p"/>
          </m:rPr>
          <w:rPr>
            <w:rFonts w:hint="default" w:ascii="Cambria Math" w:hAnsi="Cambria Math" w:eastAsia="宋体"/>
            <w:sz w:val="21"/>
          </w:rPr>
          <m:t>⟨</m:t>
        </m:r>
        <m:r>
          <m:rPr/>
          <w:rPr>
            <w:rFonts w:hint="default" w:ascii="Cambria Math" w:hAnsi="Cambria Math" w:eastAsia="宋体"/>
            <w:sz w:val="21"/>
          </w:rPr>
          <m:t>N,S,u</m:t>
        </m:r>
        <m:r>
          <m:rPr>
            <m:sty m:val="p"/>
          </m:rPr>
          <w:rPr>
            <w:rFonts w:hint="default" w:ascii="Cambria Math" w:hAnsi="Cambria Math" w:eastAsia="宋体"/>
            <w:sz w:val="21"/>
          </w:rPr>
          <m:t>⟩</m:t>
        </m:r>
      </m:oMath>
      <w:r>
        <w:rPr>
          <w:rFonts w:ascii="宋体" w:hAnsi="宋体" w:eastAsia="宋体"/>
          <w:sz w:val="21"/>
        </w:rPr>
        <w:t xml:space="preserve">，其中参与人 </w:t>
      </w:r>
      <m:oMath>
        <m:r>
          <m:rPr/>
          <w:rPr>
            <w:rFonts w:hint="default" w:ascii="Cambria Math" w:hAnsi="Cambria Math" w:eastAsia="宋体"/>
            <w:sz w:val="21"/>
          </w:rPr>
          <m:t>N={P,D}</m:t>
        </m:r>
      </m:oMath>
      <w:r>
        <w:rPr>
          <w:rFonts w:ascii="宋体" w:hAnsi="宋体" w:eastAsia="宋体"/>
          <w:sz w:val="21"/>
        </w:rPr>
        <w:t xml:space="preserve">（原告、被告），策略集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5</m:t>
            </m:r>
            <m:ctrlPr>
              <w:rPr>
                <w:rFonts w:ascii="Cambria Math" w:hAnsi="Cambria Math" w:eastAsia="宋体"/>
                <w:sz w:val="21"/>
              </w:rPr>
            </m:ctrlPr>
          </m:sub>
        </m:sSub>
        <m:r>
          <m:rPr/>
          <w:rPr>
            <w:rFonts w:hint="default" w:ascii="Cambria Math" w:hAnsi="Cambria Math" w:eastAsia="宋体"/>
            <w:sz w:val="21"/>
          </w:rPr>
          <m:t>}</m:t>
        </m:r>
      </m:oMath>
      <w:r>
        <w:rPr>
          <w:rFonts w:ascii="宋体" w:hAnsi="宋体" w:eastAsia="宋体"/>
          <w:sz w:val="21"/>
        </w:rPr>
        <w:t xml:space="preserve"> 对应TKI五策略。收益函数定义为：</w:t>
      </w:r>
    </w:p>
    <w:p w14:paraId="498DA586">
      <w:pPr>
        <w:spacing w:after="60"/>
        <w:ind w:left="283"/>
      </w:pPr>
      <m:oMath>
        <m:sSub>
          <m:sSubPr>
            <m:ctrlPr>
              <w:rPr>
                <w:rFonts w:hint="default" w:ascii="Cambria Math" w:hAnsi="Cambria Math" w:eastAsia="宋体"/>
                <w:sz w:val="21"/>
              </w:rPr>
            </m:ctrlPr>
          </m:sSubPr>
          <m:e>
            <m:r>
              <m:rPr/>
              <w:rPr>
                <w:rFonts w:hint="default" w:ascii="Cambria Math" w:hAnsi="Cambria Math" w:eastAsia="宋体"/>
                <w:sz w:val="21"/>
              </w:rPr>
              <m:t>u</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)=0.5⋅</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+0.25⋅</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+0.25⋅</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m:sty m:val="p"/>
          </m:rPr>
          <w:rPr>
            <w:rFonts w:hint="default" w:ascii="Cambria Math" w:hAnsi="Cambria Math" w:eastAsia="宋体"/>
            <w:sz w:val="21"/>
          </w:rPr>
          <m:t xml:space="preserve">    </m:t>
        </m:r>
      </m:oMath>
      <w:r>
        <w:rPr>
          <w:rFonts w:ascii="Times New Roman" w:hAnsi="Times New Roman" w:eastAsia="宋体"/>
          <w:sz w:val="21"/>
        </w:rPr>
        <w:t>(6)</w:t>
      </w:r>
    </w:p>
    <w:p w14:paraId="133F8D5C">
      <w:pPr>
        <w:spacing w:after="60"/>
        <w:ind w:firstLine="420"/>
      </w:pPr>
      <w:r>
        <w:rPr>
          <w:rFonts w:ascii="宋体" w:hAnsi="宋体" w:eastAsia="宋体"/>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 xml:space="preserve"> 为原告胜率，</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 xml:space="preserve"> 为原告论证质量，</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 xml:space="preserve"> 为原告证据强度。为避免"LLM评分循环自证"的方法论缺陷，本系统采用</w:t>
      </w:r>
      <w:r>
        <w:rPr>
          <w:rFonts w:ascii="宋体" w:hAnsi="宋体" w:eastAsia="宋体"/>
          <w:b/>
          <w:sz w:val="21"/>
        </w:rPr>
        <w:t>LLM评分与规则指标双路校验</w:t>
      </w:r>
      <w:r>
        <w:rPr>
          <w:rFonts w:ascii="宋体" w:hAnsi="宋体" w:eastAsia="宋体"/>
          <w:sz w:val="21"/>
        </w:rPr>
        <w:t>机制：（1）原告胜率</w:t>
      </w:r>
      <m:oMath>
        <m:r>
          <m:rPr/>
          <w:rPr>
            <w:rFonts w:hint="default" w:ascii="Cambria Math" w:hAnsi="Cambria Math" w:eastAsia="宋体"/>
            <w:sz w:val="21"/>
          </w:rPr>
          <m:t>w</m:t>
        </m:r>
      </m:oMath>
      <w:r>
        <w:rPr>
          <w:rFonts w:ascii="宋体" w:hAnsi="宋体" w:eastAsia="宋体"/>
          <w:sz w:val="21"/>
        </w:rPr>
        <w:t xml:space="preserve">以ground truth诉请支持率为基准——即基于原始裁判文书中法院对各项诉讼请求的实际支持/驳回记录计算，定义为 </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rule</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m:sty m:val="p"/>
              </m:rPr>
              <w:rPr>
                <w:rFonts w:hint="default" w:ascii="Cambria Math" w:hAnsi="Cambria Math" w:eastAsia="宋体"/>
                <w:sz w:val="21"/>
              </w:rPr>
              <m:t>被支持诉请数</m:t>
            </m:r>
            <m:ctrlPr>
              <w:rPr>
                <w:rFonts w:ascii="Cambria Math" w:hAnsi="Cambria Math" w:eastAsia="宋体"/>
                <w:sz w:val="21"/>
              </w:rPr>
            </m:ctrlPr>
          </m:num>
          <m:den>
            <m:r>
              <m:rPr>
                <m:sty m:val="p"/>
              </m:rPr>
              <w:rPr>
                <w:rFonts w:hint="default" w:ascii="Cambria Math" w:hAnsi="Cambria Math" w:eastAsia="宋体"/>
                <w:sz w:val="21"/>
              </w:rPr>
              <m:t>全部诉请数</m:t>
            </m:r>
            <m:ctrlPr>
              <w:rPr>
                <w:rFonts w:ascii="Cambria Math" w:hAnsi="Cambria Math" w:eastAsia="宋体"/>
                <w:sz w:val="21"/>
              </w:rPr>
            </m:ctrlPr>
          </m:den>
        </m:f>
      </m:oMath>
      <w:r>
        <w:rPr>
          <w:rFonts w:ascii="宋体" w:hAnsi="宋体" w:eastAsia="宋体"/>
          <w:sz w:val="21"/>
        </w:rPr>
        <w:t xml:space="preserve">，LLM评分 </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llm</m:t>
            </m:r>
            <m:ctrlPr>
              <w:rPr>
                <w:rFonts w:ascii="Cambria Math" w:hAnsi="Cambria Math" w:eastAsia="宋体"/>
                <w:sz w:val="21"/>
              </w:rPr>
            </m:ctrlPr>
          </m:sub>
        </m:sSub>
      </m:oMath>
      <w:r>
        <w:rPr>
          <w:rFonts w:ascii="宋体" w:hAnsi="宋体" w:eastAsia="宋体"/>
          <w:sz w:val="21"/>
        </w:rPr>
        <w:t xml:space="preserve"> 仅作为辅助参考，最终取加权融合并代入式(6)中的 </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=α⋅</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rule</m:t>
            </m:r>
            <m:ctrlPr>
              <w:rPr>
                <w:rFonts w:ascii="Cambria Math" w:hAnsi="Cambria Math" w:eastAsia="宋体"/>
                <w:sz w:val="21"/>
              </w:rPr>
            </m:ctrlPr>
          </m:sub>
        </m:sSub>
        <m:r>
          <m:rPr/>
          <w:rPr>
            <w:rFonts w:hint="default" w:ascii="Cambria Math" w:hAnsi="Cambria Math" w:eastAsia="宋体"/>
            <w:sz w:val="21"/>
          </w:rPr>
          <m:t>+(1−α)⋅</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llm</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α=0.7</m:t>
        </m:r>
      </m:oMath>
      <w:r>
        <w:rPr>
          <w:rFonts w:ascii="宋体" w:hAnsi="宋体" w:eastAsia="宋体"/>
          <w:sz w:val="21"/>
        </w:rPr>
        <w:t>）；（2）</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（原告论证质量）通过规则指标校验，包括法条引用准确率（引用法条是否存在于法条数据库）、推理链完整性（是否覆盖构成要件的所有要素）；（3）</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（原告证据强度）以证据清单中各项证据与事实陈述的文本覆盖率（BM25得分）作为规则基准。当LLM评分与规则指标偏差超过阈值（</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llm</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rule</m:t>
            </m:r>
            <m:ctrlPr>
              <w:rPr>
                <w:rFonts w:ascii="Cambria Math" w:hAnsi="Cambria Math" w:eastAsia="宋体"/>
                <w:sz w:val="21"/>
              </w:rPr>
            </m:ctrlPr>
          </m:sub>
        </m:sSub>
        <m:r>
          <m:rPr/>
          <w:rPr>
            <w:rFonts w:hint="default" w:ascii="Cambria Math" w:hAnsi="Cambria Math" w:eastAsia="宋体"/>
            <w:sz w:val="21"/>
          </w:rPr>
          <m:t>|&gt;δ</m:t>
        </m:r>
      </m:oMath>
      <w:r>
        <w:rPr>
          <w:rFonts w:ascii="宋体" w:hAnsi="宋体" w:eastAsia="宋体"/>
          <w:sz w:val="21"/>
        </w:rPr>
        <w:t>，</w:t>
      </w:r>
      <m:oMath>
        <m:r>
          <m:rPr/>
          <w:rPr>
            <w:rFonts w:hint="default" w:ascii="Cambria Math" w:hAnsi="Cambria Math" w:eastAsia="宋体"/>
            <w:sz w:val="21"/>
          </w:rPr>
          <m:t>δ=0.2</m:t>
        </m:r>
      </m:oMath>
      <w:r>
        <w:rPr>
          <w:rFonts w:ascii="宋体" w:hAnsi="宋体" w:eastAsia="宋体"/>
          <w:sz w:val="21"/>
        </w:rPr>
        <w:t>）时触发人工复核。权重(0.5, 0.25, 0.25)参考诉讼实务中"胜负结果"对当事人效用的主导地位设定，后续将通过灵敏度分析验证权重选择的鲁棒性。先验收益基于AgentMediation[6]的经验数据构建：</w:t>
      </w:r>
    </w:p>
    <w:p w14:paraId="34C57F1C">
      <w:pPr>
        <w:spacing w:after="60"/>
        <w:ind w:left="283"/>
      </w:pPr>
      <m:oMath>
        <m:sSub>
          <m:sSubPr>
            <m:ctrlPr>
              <w:rPr>
                <w:rFonts w:hint="default" w:ascii="Cambria Math" w:hAnsi="Cambria Math" w:eastAsia="宋体"/>
                <w:sz w:val="21"/>
              </w:rPr>
            </m:ctrlPr>
          </m:sSubPr>
          <m:e>
            <m:acc>
              <m:accPr>
                <m:ctrlPr>
                  <w:rPr>
                    <w:rFonts w:hint="default" w:ascii="Cambria Math" w:hAnsi="Cambria Math" w:eastAsia="宋体"/>
                    <w:sz w:val="21"/>
                  </w:rPr>
                </m:ctrlPr>
              </m:accPr>
              <m:e>
                <m:r>
                  <m:rPr/>
                  <w:rPr>
                    <w:rFonts w:hint="default" w:ascii="Cambria Math" w:hAnsi="Cambria Math" w:eastAsia="宋体"/>
                    <w:sz w:val="21"/>
                  </w:rPr>
                  <m:t>u</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=0.3⋅S</m:t>
        </m:r>
        <m:sSub>
          <m:sSubPr>
            <m:ctrlPr>
              <w:rPr>
                <w:rFonts w:hint="default" w:ascii="Cambria Math" w:hAnsi="Cambria Math" w:eastAsia="宋体"/>
                <w:sz w:val="21"/>
              </w:rPr>
            </m:ctrlPr>
          </m:sSubPr>
          <m:e>
            <m:r>
              <m:rPr/>
              <w:rPr>
                <w:rFonts w:hint="default" w:ascii="Cambria Math" w:hAnsi="Cambria Math" w:eastAsia="宋体"/>
                <w:sz w:val="21"/>
              </w:rPr>
              <m:t>R</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+0.3⋅</m:t>
        </m:r>
        <m:f>
          <m:fPr>
            <m:ctrlPr>
              <w:rPr>
                <w:rFonts w:hint="default" w:ascii="Cambria Math" w:hAnsi="Cambria Math" w:eastAsia="宋体"/>
                <w:i/>
                <w:sz w:val="21"/>
              </w:rPr>
            </m:ctrlPr>
          </m:fPr>
          <m:num>
            <m:r>
              <m:rPr/>
              <w:rPr>
                <w:rFonts w:hint="default" w:ascii="Cambria Math" w:hAnsi="Cambria Math" w:eastAsia="宋体"/>
                <w:sz w:val="21"/>
              </w:rPr>
              <m:t>Sa</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100</m:t>
            </m:r>
            <m:ctrlPr>
              <w:rPr>
                <w:rFonts w:hint="default" w:ascii="Cambria Math" w:hAnsi="Cambria Math" w:eastAsia="宋体"/>
                <w:sz w:val="21"/>
              </w:rPr>
            </m:ctrlPr>
          </m:den>
        </m:f>
        <m:r>
          <m:rPr/>
          <w:rPr>
            <w:rFonts w:hint="default" w:ascii="Cambria Math" w:hAnsi="Cambria Math" w:eastAsia="宋体"/>
            <w:sz w:val="21"/>
          </w:rPr>
          <m:t>+0.2⋅</m:t>
        </m:r>
        <m:f>
          <m:fPr>
            <m:ctrlPr>
              <w:rPr>
                <w:rFonts w:hint="default" w:ascii="Cambria Math" w:hAnsi="Cambria Math" w:eastAsia="宋体"/>
                <w:i/>
                <w:sz w:val="21"/>
              </w:rPr>
            </m:ctrlPr>
          </m:fPr>
          <m:num>
            <m:r>
              <m:rPr/>
              <w:rPr>
                <w:rFonts w:hint="default" w:ascii="Cambria Math" w:hAnsi="Cambria Math" w:eastAsia="宋体"/>
                <w:sz w:val="21"/>
              </w:rPr>
              <m:t>Co</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100</m:t>
            </m:r>
            <m:ctrlPr>
              <w:rPr>
                <w:rFonts w:hint="default" w:ascii="Cambria Math" w:hAnsi="Cambria Math" w:eastAsia="宋体"/>
                <w:sz w:val="21"/>
              </w:rPr>
            </m:ctrlPr>
          </m:den>
        </m:f>
        <m:r>
          <m:rPr/>
          <w:rPr>
            <w:rFonts w:hint="default" w:ascii="Cambria Math" w:hAnsi="Cambria Math" w:eastAsia="宋体"/>
            <w:sz w:val="21"/>
          </w:rPr>
          <m:t>+0.2⋅(1−</m:t>
        </m:r>
        <m:f>
          <m:fPr>
            <m:ctrlPr>
              <w:rPr>
                <w:rFonts w:hint="default" w:ascii="Cambria Math" w:hAnsi="Cambria Math" w:eastAsia="宋体"/>
                <w:i/>
                <w:sz w:val="21"/>
              </w:rPr>
            </m:ctrlPr>
          </m:fPr>
          <m:num>
            <m:r>
              <m:rPr/>
              <w:rPr>
                <w:rFonts w:hint="default" w:ascii="Cambria Math" w:hAnsi="Cambria Math" w:eastAsia="宋体"/>
                <w:sz w:val="21"/>
              </w:rPr>
              <m:t>L</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100</m:t>
            </m:r>
            <m:ctrlPr>
              <w:rPr>
                <w:rFonts w:hint="default" w:ascii="Cambria Math" w:hAnsi="Cambria Math" w:eastAsia="宋体"/>
                <w:sz w:val="21"/>
              </w:rPr>
            </m:ctrlPr>
          </m:den>
        </m:f>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(7)</w:t>
      </w:r>
    </w:p>
    <w:p w14:paraId="6202046D">
      <w:pPr>
        <w:spacing w:after="60"/>
        <w:ind w:firstLine="420"/>
      </w:pPr>
      <w:r>
        <w:rPr>
          <w:rFonts w:ascii="宋体" w:hAnsi="宋体" w:eastAsia="宋体"/>
          <w:sz w:val="21"/>
        </w:rPr>
        <w:t>其中</w:t>
      </w:r>
      <m:oMath>
        <m:r>
          <m:rPr/>
          <w:rPr>
            <w:rFonts w:hint="default" w:ascii="Cambria Math" w:hAnsi="Cambria Math" w:eastAsia="宋体"/>
            <w:sz w:val="21"/>
          </w:rPr>
          <m:t>S</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Sa</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Co</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L</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 xml:space="preserve"> 分别代表策略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 xml:space="preserve"> 在经验数据中的成功率、满意度、共识度和非诉转化率。</w:t>
      </w:r>
    </w:p>
    <w:p w14:paraId="302B04A1">
      <w:pPr>
        <w:spacing w:after="60"/>
        <w:ind w:firstLine="420"/>
      </w:pPr>
      <w:r>
        <w:rPr>
          <w:rFonts w:ascii="宋体" w:hAnsi="宋体" w:eastAsia="宋体"/>
          <w:sz w:val="21"/>
        </w:rPr>
        <w:t>纯策略</w:t>
      </w:r>
      <m:oMath>
        <m:r>
          <m:rPr/>
          <w:rPr>
            <w:rFonts w:hint="default" w:ascii="Cambria Math" w:hAnsi="Cambria Math" w:eastAsia="宋体"/>
            <w:sz w:val="21"/>
          </w:rPr>
          <m:t>NE(</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oMath>
      <w:r>
        <w:rPr>
          <w:rFonts w:ascii="宋体" w:hAnsi="宋体" w:eastAsia="宋体"/>
          <w:sz w:val="21"/>
        </w:rPr>
        <w:t xml:space="preserve"> 满足双方均无单方面偏离激励。系统同时通过支撑枚举法求解混合策略均衡。对于5×5正规形式博弈的混合策略均衡求解，本系统采用</w:t>
      </w:r>
      <w:r>
        <w:rPr>
          <w:rFonts w:ascii="宋体" w:hAnsi="宋体" w:eastAsia="宋体"/>
          <w:b/>
          <w:sz w:val="21"/>
        </w:rPr>
        <w:t>支撑枚举法</w:t>
      </w:r>
      <w:r>
        <w:rPr>
          <w:rFonts w:ascii="宋体" w:hAnsi="宋体" w:eastAsia="宋体"/>
          <w:sz w:val="21"/>
        </w:rPr>
        <w:t>（support enumeration method）[14]，枚举所有可能的支撑集组合</w:t>
      </w:r>
      <w:r>
        <w:rPr>
          <w:rFonts w:hint="eastAsia"/>
          <w:sz w:val="21"/>
          <w:lang w:eastAsia="zh-CN"/>
        </w:rPr>
        <w:t>（</w:t>
      </w:r>
      <m:oMath>
        <m:r>
          <m:rPr>
            <m:sty m:val="p"/>
          </m:rPr>
          <w:rPr>
            <w:rFonts w:hint="default" w:ascii="Cambria Math" w:hAnsi="Cambria Math" w:eastAsia="宋体"/>
            <w:sz w:val="21"/>
          </w:rPr>
          <m:t>（</m:t>
        </m:r>
        <m:r>
          <m:rPr/>
          <w:rPr>
            <w:rFonts w:hint="default" w:ascii="Cambria Math" w:hAnsi="Cambria Math" w:eastAsia="宋体"/>
            <w:sz w:val="21"/>
          </w:rPr>
          <m:t>(su</m:t>
        </m:r>
        <m:sSubSup>
          <m:sSubSupPr>
            <m:ctrlPr>
              <w:rPr>
                <w:rFonts w:hint="default" w:ascii="Cambria Math" w:hAnsi="Cambria Math" w:eastAsia="宋体"/>
                <w:sz w:val="21"/>
              </w:rPr>
            </m:ctrlPr>
          </m:sSubSupPr>
          <m:e>
            <m:r>
              <m:rPr/>
              <w:rPr>
                <w:rFonts w:hint="default" w:ascii="Cambria Math" w:hAnsi="Cambria Math" w:eastAsia="宋体"/>
                <w:sz w:val="21"/>
              </w:rPr>
              <m:t>m</m:t>
            </m:r>
            <m:ctrlPr>
              <w:rPr>
                <w:rFonts w:ascii="Cambria Math" w:hAnsi="Cambria Math" w:eastAsia="宋体"/>
                <w:sz w:val="21"/>
              </w:rPr>
            </m:ctrlPr>
          </m:e>
          <m:sub>
            <m:r>
              <m:rPr/>
              <w:rPr>
                <w:rFonts w:hint="default" w:ascii="Cambria Math" w:hAnsi="Cambria Math" w:eastAsia="宋体"/>
                <w:sz w:val="21"/>
              </w:rPr>
              <m:t>k=1</m:t>
            </m:r>
            <m:ctrlPr>
              <w:rPr>
                <w:rFonts w:ascii="Cambria Math" w:hAnsi="Cambria Math" w:eastAsia="宋体"/>
                <w:sz w:val="21"/>
              </w:rPr>
            </m:ctrlPr>
          </m:sub>
          <m:sup>
            <m:r>
              <m:rPr/>
              <w:rPr>
                <w:rFonts w:hint="default" w:ascii="Cambria Math" w:hAnsi="Cambria Math" w:eastAsia="宋体"/>
                <w:sz w:val="21"/>
              </w:rPr>
              <m:t>5</m:t>
            </m:r>
            <m:ctrlPr>
              <w:rPr>
                <w:rFonts w:ascii="Cambria Math" w:hAnsi="Cambria Math" w:eastAsia="宋体"/>
                <w:sz w:val="21"/>
              </w:rPr>
            </m:ctrlPr>
          </m:sup>
        </m:sSubSup>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5</m:t>
                </m:r>
                <m:ctrlPr>
                  <w:rPr>
                    <w:rFonts w:ascii="Cambria Math" w:hAnsi="Cambria Math" w:eastAsia="宋体"/>
                    <w:sz w:val="21"/>
                  </w:rPr>
                </m:ctrlPr>
              </m:num>
              <m:den>
                <m:r>
                  <m:rPr/>
                  <w:rPr>
                    <w:rFonts w:hint="default" w:ascii="Cambria Math" w:hAnsi="Cambria Math" w:eastAsia="宋体"/>
                    <w:sz w:val="21"/>
                  </w:rPr>
                  <m:t>k</m:t>
                </m:r>
                <m:ctrlPr>
                  <w:rPr>
                    <w:rFonts w:ascii="Cambria Math" w:hAnsi="Cambria Math" w:eastAsia="宋体"/>
                    <w:sz w:val="21"/>
                  </w:rPr>
                </m:ctrlPr>
              </m:den>
            </m:f>
            <m:ctrlPr>
              <w:rPr>
                <w:rFonts w:hint="default" w:ascii="Cambria Math" w:hAnsi="Cambria Math" w:eastAsia="宋体"/>
                <w:i/>
                <w:sz w:val="21"/>
              </w:rPr>
            </m:ctrlPr>
          </m:e>
        </m:d>
        <m:sSup>
          <m:sSupPr>
            <m:ctrlPr>
              <w:rPr>
                <w:rFonts w:hint="default" w:ascii="Cambria Math" w:hAnsi="Cambria Math" w:eastAsia="宋体"/>
                <w:sz w:val="21"/>
              </w:rPr>
            </m:ctrlPr>
          </m:sSupPr>
          <m:e>
            <m:r>
              <m:rPr/>
              <w:rPr>
                <w:rFonts w:hint="default" w:ascii="Cambria Math" w:hAnsi="Cambria Math" w:eastAsia="宋体"/>
                <w:sz w:val="21"/>
              </w:rPr>
              <m:t>)</m:t>
            </m:r>
            <m:ctrlPr>
              <w:rPr>
                <w:rFonts w:hint="default" w:ascii="Cambria Math" w:hAnsi="Cambria Math" w:eastAsia="宋体"/>
                <w:i/>
                <w:sz w:val="21"/>
              </w:rPr>
            </m:ctrlPr>
          </m:e>
          <m:sup>
            <m:r>
              <m:rPr/>
              <w:rPr>
                <w:rFonts w:hint="default" w:ascii="Cambria Math" w:hAnsi="Cambria Math" w:eastAsia="宋体"/>
                <w:sz w:val="21"/>
              </w:rPr>
              <m:t>2</m:t>
            </m:r>
            <m:ctrlPr>
              <w:rPr>
                <w:rFonts w:hint="default" w:ascii="Cambria Math" w:hAnsi="Cambria Math" w:eastAsia="宋体"/>
                <w:i/>
                <w:sz w:val="21"/>
              </w:rPr>
            </m:ctrlPr>
          </m:sup>
        </m:sSup>
      </m:oMath>
      <w:r>
        <w:rPr>
          <w:rFonts w:ascii="宋体" w:hAnsi="宋体" w:eastAsia="宋体"/>
          <w:sz w:val="21"/>
        </w:rPr>
        <w:t>= 961种），对每种组合求解线性互补问题。该方法在5×5博弈规模下计算开销可忽略（&lt;1秒）。收益矩阵如图4所示：</w:t>
      </w:r>
    </w:p>
    <w:p w14:paraId="06DA0F07">
      <w:r>
        <w:drawing>
          <wp:inline distT="0" distB="0" distL="114300" distR="114300">
            <wp:extent cx="5039995" cy="22834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284016"/>
                    </a:xfrm>
                    <a:prstGeom prst="rect">
                      <a:avLst/>
                    </a:prstGeom>
                  </pic:spPr>
                </pic:pic>
              </a:graphicData>
            </a:graphic>
          </wp:inline>
        </w:drawing>
      </w:r>
    </w:p>
    <w:p w14:paraId="20D72375"/>
    <w:p w14:paraId="5106BD52">
      <w:pPr>
        <w:spacing w:after="60"/>
        <w:ind w:firstLine="420"/>
      </w:pPr>
      <w:r>
        <w:rPr>
          <w:rFonts w:ascii="宋体" w:hAnsi="宋体" w:eastAsia="宋体"/>
          <w:b/>
          <w:sz w:val="21"/>
        </w:rPr>
        <w:t>图4 5×5策略收益矩阵热力图，★标记纯策略纳什均衡点(Collaborating, Collaborating)</w:t>
      </w:r>
    </w:p>
    <w:p w14:paraId="30682031">
      <w:pPr>
        <w:spacing w:after="60"/>
        <w:ind w:firstLine="420"/>
      </w:pPr>
      <w:r>
        <w:rPr>
          <w:rFonts w:ascii="宋体" w:hAnsi="宋体" w:eastAsia="宋体"/>
          <w:sz w:val="21"/>
        </w:rPr>
        <w:t>策略进化通过三种方法实现：LLM反思式进化、最佳响应进化和虚拟博弈进化。博弈锦标赛在每轮运行完整CD→DD→CI管道后，由LLM评分更新收益矩阵，双方策略独立进化，直至收敛（近W=3轮均处于均衡状态）。</w:t>
      </w:r>
    </w:p>
    <w:p w14:paraId="54FF3F66">
      <w:pPr>
        <w:spacing w:before="60" w:after="60"/>
      </w:pPr>
      <w:r>
        <w:rPr>
          <w:rFonts w:ascii="黑体" w:hAnsi="黑体" w:eastAsia="黑体"/>
          <w:b/>
          <w:sz w:val="21"/>
        </w:rPr>
        <w:t>3.3 渐进式检索增强（P-RAG）</w:t>
      </w:r>
    </w:p>
    <w:p w14:paraId="489C1EE3">
      <w:pPr>
        <w:spacing w:after="60"/>
        <w:ind w:firstLine="420"/>
      </w:pPr>
      <w:r>
        <w:rPr>
          <w:rFonts w:ascii="宋体" w:hAnsi="宋体" w:eastAsia="宋体"/>
          <w:sz w:val="21"/>
        </w:rPr>
        <w:t>定义证据池</w:t>
      </w:r>
      <m:oMath>
        <m:r>
          <m:rPr>
            <m:scr m:val="script"/>
          </m:rPr>
          <w:rPr>
            <w:rFonts w:hint="default" w:ascii="Cambria Math" w:hAnsi="Cambria Math" w:eastAsia="MS Mincho"/>
            <w:sz w:val="21"/>
          </w:rPr>
          <m:t>ℒ</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cr m:val="script"/>
              </m:rPr>
              <w:rPr>
                <w:rFonts w:hint="default" w:ascii="Cambria Math" w:hAnsi="Cambria Math" w:eastAsia="MS Mincho"/>
                <w:sz w:val="21"/>
              </w:rPr>
              <m:t>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oMath>
      <w:r>
        <w:rPr>
          <w:rFonts w:ascii="宋体" w:hAnsi="宋体" w:eastAsia="宋体"/>
          <w:sz w:val="21"/>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宋体" w:hAnsi="宋体" w:eastAsia="宋体"/>
          <w:sz w:val="21"/>
        </w:rPr>
        <w:t>为法条ID，</w:t>
      </w:r>
      <m:oMath>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宋体" w:hAnsi="宋体" w:eastAsia="宋体"/>
          <w:sz w:val="21"/>
        </w:rPr>
        <w:t>为相关性分数，</w:t>
      </w:r>
      <m:oMath>
        <m:sSub>
          <m:sSubPr>
            <m:ctrlPr>
              <w:rPr>
                <w:rFonts w:hint="default" w:ascii="Cambria Math" w:hAnsi="Cambria Math" w:eastAsia="宋体"/>
                <w:sz w:val="21"/>
              </w:rPr>
            </m:ctrlPr>
          </m:sSubPr>
          <m:e>
            <m:r>
              <m:rPr>
                <m:scr m:val="script"/>
              </m:rPr>
              <w:rPr>
                <w:rFonts w:hint="default" w:ascii="Cambria Math" w:hAnsi="Cambria Math" w:eastAsia="MS Mincho"/>
                <w:sz w:val="21"/>
              </w:rPr>
              <m:t>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宋体" w:hAnsi="宋体" w:eastAsia="宋体"/>
          <w:sz w:val="21"/>
        </w:rPr>
        <w:t>为该法条被检索到的庭审阶段集合。综合排序分数为：</w:t>
      </w:r>
    </w:p>
    <w:p w14:paraId="3B38756B">
      <w:pPr>
        <w:spacing w:after="60"/>
        <w:ind w:left="283"/>
      </w:pPr>
      <m:oMath>
        <m:r>
          <m:rPr/>
          <w:rPr>
            <w:rFonts w:hint="default" w:ascii="Cambria Math" w:hAnsi="Cambria Math" w:eastAsia="宋体"/>
            <w:sz w:val="21"/>
          </w:rPr>
          <m:t>Score(</m:t>
        </m:r>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cr m:val="script"/>
              </m:rPr>
              <w:rPr>
                <w:rFonts w:hint="default" w:ascii="Cambria Math" w:hAnsi="Cambria Math" w:eastAsia="MS Mincho"/>
                <w:sz w:val="21"/>
              </w:rPr>
              <m:t>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m:sty m:val="p"/>
          </m:rPr>
          <w:rPr>
            <w:rFonts w:hint="default" w:ascii="Cambria Math" w:hAnsi="Cambria Math" w:eastAsia="宋体"/>
            <w:sz w:val="21"/>
          </w:rPr>
          <m:t xml:space="preserve">    </m:t>
        </m:r>
      </m:oMath>
      <w:r>
        <w:rPr>
          <w:rFonts w:ascii="Times New Roman" w:hAnsi="Times New Roman" w:eastAsia="宋体"/>
          <w:sz w:val="21"/>
        </w:rPr>
        <w:t>(8)</w:t>
      </w:r>
    </w:p>
    <w:p w14:paraId="5D8F6F94">
      <w:pPr>
        <w:spacing w:after="60"/>
        <w:ind w:firstLine="420"/>
      </w:pPr>
      <w:r>
        <w:rPr>
          <w:rFonts w:ascii="宋体" w:hAnsi="宋体" w:eastAsia="宋体"/>
          <w:sz w:val="21"/>
        </w:rPr>
        <w:t>即跨阶段重复命中次数越多、相关性分数越高的法条排名越靠前。P-RAG在庭审六个主状态中的四个阶段执行法条检索（Opening/Investigation/Debate/Judgment，分别对应开庭准备、法庭调查、法庭辩论与判决生成），调解（Mediation）阶段不触发法条检索而由讨价还价引擎驱动，结案（Closed）阶段为归档阶段无需检索。消融实验结果如图6所示：</w:t>
      </w:r>
    </w:p>
    <w:p w14:paraId="7D90719C">
      <w:r>
        <w:drawing>
          <wp:inline distT="0" distB="0" distL="114300" distR="114300">
            <wp:extent cx="5039995" cy="3247390"/>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3247763"/>
                    </a:xfrm>
                    <a:prstGeom prst="rect">
                      <a:avLst/>
                    </a:prstGeom>
                  </pic:spPr>
                </pic:pic>
              </a:graphicData>
            </a:graphic>
          </wp:inline>
        </w:drawing>
      </w:r>
    </w:p>
    <w:p w14:paraId="632498D4"/>
    <w:p w14:paraId="4B94B06E">
      <w:pPr>
        <w:spacing w:after="60"/>
        <w:ind w:firstLine="420"/>
      </w:pPr>
      <w:r>
        <w:rPr>
          <w:rFonts w:ascii="宋体" w:hAnsi="宋体" w:eastAsia="宋体"/>
          <w:b/>
          <w:sz w:val="21"/>
        </w:rPr>
        <w:t>图6 Progressive RAG消融实验：四阶段累计提升法条Recall达24.7个百分点</w:t>
      </w:r>
    </w:p>
    <w:p w14:paraId="28D3C2C3">
      <w:pPr>
        <w:spacing w:before="60" w:after="60"/>
      </w:pPr>
      <w:r>
        <w:rPr>
          <w:rFonts w:ascii="黑体" w:hAnsi="黑体" w:eastAsia="黑体"/>
          <w:b/>
          <w:sz w:val="21"/>
        </w:rPr>
        <w:t>3.4 庭审状态机与程序合规追踪</w:t>
      </w:r>
    </w:p>
    <w:p w14:paraId="451678E4">
      <w:pPr>
        <w:spacing w:after="60"/>
        <w:ind w:firstLine="420"/>
      </w:pPr>
      <w:r>
        <w:rPr>
          <w:rFonts w:ascii="宋体" w:hAnsi="宋体" w:eastAsia="宋体"/>
          <w:sz w:val="21"/>
        </w:rPr>
        <w:t xml:space="preserve">CIAgent内置庭审有限状态机，包含六个主状态（Opening→Investigation→Debate→Mediation→Judgment→Closed），共定义26项必经动作。系统实时追踪每项动作的完成状态，计算程序合规分 </w:t>
      </w:r>
      <m:oMath>
        <m:r>
          <m:rPr/>
          <w:rPr>
            <w:rFonts w:hint="default" w:ascii="Cambria Math" w:hAnsi="Cambria Math" w:eastAsia="宋体"/>
            <w:sz w:val="21"/>
          </w:rPr>
          <m:t>PFS=</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k</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completed</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k</m:t>
            </m:r>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required</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ctrlPr>
              <w:rPr>
                <w:rFonts w:hint="default" w:ascii="Cambria Math" w:hAnsi="Cambria Math" w:eastAsia="宋体"/>
                <w:sz w:val="21"/>
              </w:rPr>
            </m:ctrlPr>
          </m:e>
        </m:nary>
      </m:oMath>
      <w:r>
        <w:rPr>
          <w:rFonts w:ascii="宋体" w:hAnsi="宋体" w:eastAsia="宋体"/>
          <w:sz w:val="21"/>
        </w:rPr>
        <w:t>，对应J1-EVAL的Procedural-Following Score定义。</w:t>
      </w:r>
    </w:p>
    <w:p w14:paraId="42AB5B4C">
      <w:pPr>
        <w:spacing w:before="60" w:after="60"/>
      </w:pPr>
      <w:r>
        <w:rPr>
          <w:rFonts w:ascii="黑体" w:hAnsi="黑体" w:eastAsia="黑体"/>
          <w:b/>
          <w:sz w:val="21"/>
        </w:rPr>
        <w:t>4. 实验方案与结果</w:t>
      </w:r>
    </w:p>
    <w:p w14:paraId="2BD40862">
      <w:pPr>
        <w:spacing w:before="60" w:after="60"/>
      </w:pPr>
      <w:r>
        <w:rPr>
          <w:rFonts w:ascii="黑体" w:hAnsi="黑体" w:eastAsia="黑体"/>
          <w:b/>
          <w:sz w:val="21"/>
        </w:rPr>
        <w:t>实验1：扩展式博弈与策略跨阶段传导</w:t>
      </w:r>
    </w:p>
    <w:p w14:paraId="51898E09">
      <w:pPr>
        <w:spacing w:after="60"/>
        <w:ind w:firstLine="420"/>
      </w:pPr>
      <w:r>
        <w:rPr>
          <w:rFonts w:ascii="宋体" w:hAnsi="宋体" w:eastAsia="宋体"/>
          <w:sz w:val="21"/>
        </w:rPr>
        <w:t>对5×5策略组合运行全流程模拟得到25个终端收益，构建博弈树求解SPNE，与正规形式NE对比。在200条测试案件上按案由分组分析差异模式，以锦标赛实际收敛策略作为</w:t>
      </w:r>
      <w:r>
        <w:rPr>
          <w:rFonts w:ascii="宋体" w:hAnsi="宋体" w:eastAsia="宋体"/>
          <w:b/>
          <w:sz w:val="21"/>
        </w:rPr>
        <w:t>实证参照</w:t>
      </w:r>
      <w:r>
        <w:rPr>
          <w:rFonts w:ascii="宋体" w:hAnsi="宋体" w:eastAsia="宋体"/>
          <w:sz w:val="21"/>
        </w:rPr>
        <w:t>（empirical reference），比较NE与SPNE两种均衡概念对LLM智能体实际行为的预测能力。</w:t>
      </w:r>
    </w:p>
    <w:p w14:paraId="623F27D1">
      <w:pPr>
        <w:spacing w:after="60"/>
        <w:ind w:firstLine="420"/>
      </w:pPr>
      <w:r>
        <w:rPr>
          <w:rFonts w:ascii="宋体" w:hAnsi="宋体" w:eastAsia="宋体"/>
          <w:b/>
          <w:sz w:val="21"/>
        </w:rPr>
        <w:t>表1 SPNE vs NE策略预测对比（初步结果框架）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130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D375D72">
            <w:pPr>
              <w:spacing w:after="0" w:line="240" w:lineRule="auto"/>
            </w:pPr>
            <w:r>
              <w:rPr>
                <w:rFonts w:ascii="宋体" w:hAnsi="宋体" w:eastAsia="宋体"/>
                <w:sz w:val="21"/>
              </w:rPr>
              <w:t>案由类型</w:t>
            </w:r>
          </w:p>
        </w:tc>
        <w:tc>
          <w:tcPr>
            <w:tcW w:w="1440" w:type="dxa"/>
          </w:tcPr>
          <w:p w14:paraId="01078FD2">
            <w:pPr>
              <w:spacing w:after="0" w:line="240" w:lineRule="auto"/>
            </w:pPr>
            <w:r>
              <w:rPr>
                <w:rFonts w:ascii="宋体" w:hAnsi="宋体" w:eastAsia="宋体"/>
                <w:sz w:val="21"/>
              </w:rPr>
              <w:t>NE预测</w:t>
            </w:r>
          </w:p>
        </w:tc>
        <w:tc>
          <w:tcPr>
            <w:tcW w:w="1440" w:type="dxa"/>
          </w:tcPr>
          <w:p w14:paraId="689ED603">
            <w:pPr>
              <w:spacing w:after="0" w:line="240" w:lineRule="auto"/>
            </w:pPr>
            <w:r>
              <w:rPr>
                <w:rFonts w:ascii="宋体" w:hAnsi="宋体" w:eastAsia="宋体"/>
                <w:sz w:val="21"/>
              </w:rPr>
              <w:t>SPNE预测</w:t>
            </w:r>
          </w:p>
        </w:tc>
        <w:tc>
          <w:tcPr>
            <w:tcW w:w="1440" w:type="dxa"/>
          </w:tcPr>
          <w:p w14:paraId="12A50D93">
            <w:pPr>
              <w:spacing w:after="0" w:line="240" w:lineRule="auto"/>
            </w:pPr>
            <w:r>
              <w:rPr>
                <w:rFonts w:ascii="宋体" w:hAnsi="宋体" w:eastAsia="宋体"/>
                <w:sz w:val="21"/>
              </w:rPr>
              <w:t>实际收敛</w:t>
            </w:r>
          </w:p>
        </w:tc>
        <w:tc>
          <w:tcPr>
            <w:tcW w:w="1440" w:type="dxa"/>
          </w:tcPr>
          <w:p w14:paraId="1AC28782">
            <w:pPr>
              <w:spacing w:after="0" w:line="240" w:lineRule="auto"/>
            </w:pPr>
            <w:r>
              <w:rPr>
                <w:rFonts w:ascii="宋体" w:hAnsi="宋体" w:eastAsia="宋体"/>
                <w:sz w:val="21"/>
              </w:rPr>
              <w:t>NE准确</w:t>
            </w:r>
          </w:p>
        </w:tc>
        <w:tc>
          <w:tcPr>
            <w:tcW w:w="1440" w:type="dxa"/>
          </w:tcPr>
          <w:p w14:paraId="2CB38DA3">
            <w:pPr>
              <w:spacing w:after="0" w:line="240" w:lineRule="auto"/>
            </w:pPr>
            <w:r>
              <w:rPr>
                <w:rFonts w:ascii="宋体" w:hAnsi="宋体" w:eastAsia="宋体"/>
                <w:sz w:val="21"/>
              </w:rPr>
              <w:t>SPNE准确</w:t>
            </w:r>
          </w:p>
        </w:tc>
      </w:tr>
      <w:tr w14:paraId="03A3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27FB4C9">
            <w:pPr>
              <w:spacing w:after="0" w:line="240" w:lineRule="auto"/>
            </w:pPr>
            <w:r>
              <w:rPr>
                <w:rFonts w:ascii="宋体" w:hAnsi="宋体" w:eastAsia="宋体"/>
                <w:sz w:val="21"/>
              </w:rPr>
              <w:t>民间借贷</w:t>
            </w:r>
          </w:p>
        </w:tc>
        <w:tc>
          <w:tcPr>
            <w:tcW w:w="1440" w:type="dxa"/>
          </w:tcPr>
          <w:p w14:paraId="0884D2D0">
            <w:pPr>
              <w:spacing w:after="0" w:line="240" w:lineRule="auto"/>
            </w:pPr>
            <w:r>
              <w:rPr>
                <w:rFonts w:ascii="宋体" w:hAnsi="宋体" w:eastAsia="宋体"/>
                <w:sz w:val="21"/>
              </w:rPr>
              <w:t>(合作,合作)</w:t>
            </w:r>
          </w:p>
        </w:tc>
        <w:tc>
          <w:tcPr>
            <w:tcW w:w="1440" w:type="dxa"/>
          </w:tcPr>
          <w:p w14:paraId="2EBE5EFF">
            <w:pPr>
              <w:spacing w:after="0" w:line="240" w:lineRule="auto"/>
            </w:pPr>
            <w:r>
              <w:rPr>
                <w:rFonts w:ascii="宋体" w:hAnsi="宋体" w:eastAsia="宋体"/>
                <w:sz w:val="21"/>
              </w:rPr>
              <w:t>待完整实验</w:t>
            </w:r>
          </w:p>
        </w:tc>
        <w:tc>
          <w:tcPr>
            <w:tcW w:w="1440" w:type="dxa"/>
          </w:tcPr>
          <w:p w14:paraId="333C21CE">
            <w:pPr>
              <w:spacing w:after="0" w:line="240" w:lineRule="auto"/>
            </w:pPr>
            <w:r>
              <w:rPr>
                <w:rFonts w:ascii="宋体" w:hAnsi="宋体" w:eastAsia="宋体"/>
                <w:sz w:val="21"/>
              </w:rPr>
              <w:t>待完整实验</w:t>
            </w:r>
          </w:p>
        </w:tc>
        <w:tc>
          <w:tcPr>
            <w:tcW w:w="1440" w:type="dxa"/>
          </w:tcPr>
          <w:p w14:paraId="5FF944E5">
            <w:pPr>
              <w:spacing w:after="0" w:line="240" w:lineRule="auto"/>
            </w:pPr>
            <w:r>
              <w:rPr>
                <w:rFonts w:ascii="宋体" w:hAnsi="宋体" w:eastAsia="宋体"/>
                <w:sz w:val="21"/>
              </w:rPr>
              <w:t>—</w:t>
            </w:r>
          </w:p>
        </w:tc>
        <w:tc>
          <w:tcPr>
            <w:tcW w:w="1440" w:type="dxa"/>
          </w:tcPr>
          <w:p w14:paraId="7E51B78B">
            <w:pPr>
              <w:spacing w:after="0" w:line="240" w:lineRule="auto"/>
            </w:pPr>
            <w:r>
              <w:rPr>
                <w:rFonts w:ascii="宋体" w:hAnsi="宋体" w:eastAsia="宋体"/>
                <w:sz w:val="21"/>
              </w:rPr>
              <w:t>—</w:t>
            </w:r>
          </w:p>
        </w:tc>
      </w:tr>
      <w:tr w14:paraId="7A93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0A1F03A">
            <w:pPr>
              <w:spacing w:after="0" w:line="240" w:lineRule="auto"/>
            </w:pPr>
            <w:r>
              <w:rPr>
                <w:rFonts w:ascii="宋体" w:hAnsi="宋体" w:eastAsia="宋体"/>
                <w:sz w:val="21"/>
              </w:rPr>
              <w:t>交通事故</w:t>
            </w:r>
          </w:p>
        </w:tc>
        <w:tc>
          <w:tcPr>
            <w:tcW w:w="1440" w:type="dxa"/>
          </w:tcPr>
          <w:p w14:paraId="5E3A5ACD">
            <w:pPr>
              <w:spacing w:after="0" w:line="240" w:lineRule="auto"/>
            </w:pPr>
            <w:r>
              <w:rPr>
                <w:rFonts w:ascii="宋体" w:hAnsi="宋体" w:eastAsia="宋体"/>
                <w:sz w:val="21"/>
              </w:rPr>
              <w:t>(合作,合作)</w:t>
            </w:r>
          </w:p>
        </w:tc>
        <w:tc>
          <w:tcPr>
            <w:tcW w:w="1440" w:type="dxa"/>
          </w:tcPr>
          <w:p w14:paraId="0D05DA09">
            <w:pPr>
              <w:spacing w:after="0" w:line="240" w:lineRule="auto"/>
            </w:pPr>
            <w:r>
              <w:rPr>
                <w:rFonts w:ascii="宋体" w:hAnsi="宋体" w:eastAsia="宋体"/>
                <w:sz w:val="21"/>
              </w:rPr>
              <w:t>待完整实验</w:t>
            </w:r>
          </w:p>
        </w:tc>
        <w:tc>
          <w:tcPr>
            <w:tcW w:w="1440" w:type="dxa"/>
          </w:tcPr>
          <w:p w14:paraId="7948A6E8">
            <w:pPr>
              <w:spacing w:after="0" w:line="240" w:lineRule="auto"/>
            </w:pPr>
            <w:r>
              <w:rPr>
                <w:rFonts w:ascii="宋体" w:hAnsi="宋体" w:eastAsia="宋体"/>
                <w:sz w:val="21"/>
              </w:rPr>
              <w:t>待完整实验</w:t>
            </w:r>
          </w:p>
        </w:tc>
        <w:tc>
          <w:tcPr>
            <w:tcW w:w="1440" w:type="dxa"/>
          </w:tcPr>
          <w:p w14:paraId="7CE6960C">
            <w:pPr>
              <w:spacing w:after="0" w:line="240" w:lineRule="auto"/>
            </w:pPr>
            <w:r>
              <w:rPr>
                <w:rFonts w:ascii="宋体" w:hAnsi="宋体" w:eastAsia="宋体"/>
                <w:sz w:val="21"/>
              </w:rPr>
              <w:t>—</w:t>
            </w:r>
          </w:p>
        </w:tc>
        <w:tc>
          <w:tcPr>
            <w:tcW w:w="1440" w:type="dxa"/>
          </w:tcPr>
          <w:p w14:paraId="26A5C8F3">
            <w:pPr>
              <w:spacing w:after="0" w:line="240" w:lineRule="auto"/>
            </w:pPr>
            <w:r>
              <w:rPr>
                <w:rFonts w:ascii="宋体" w:hAnsi="宋体" w:eastAsia="宋体"/>
                <w:sz w:val="21"/>
              </w:rPr>
              <w:t>—</w:t>
            </w:r>
          </w:p>
        </w:tc>
      </w:tr>
      <w:tr w14:paraId="0D36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766C4FB">
            <w:pPr>
              <w:spacing w:after="0" w:line="240" w:lineRule="auto"/>
            </w:pPr>
            <w:r>
              <w:rPr>
                <w:rFonts w:ascii="宋体" w:hAnsi="宋体" w:eastAsia="宋体"/>
                <w:sz w:val="21"/>
              </w:rPr>
              <w:t>劳动争议</w:t>
            </w:r>
          </w:p>
        </w:tc>
        <w:tc>
          <w:tcPr>
            <w:tcW w:w="1440" w:type="dxa"/>
          </w:tcPr>
          <w:p w14:paraId="0D7AFF66">
            <w:pPr>
              <w:spacing w:after="0" w:line="240" w:lineRule="auto"/>
            </w:pPr>
            <w:r>
              <w:rPr>
                <w:rFonts w:ascii="宋体" w:hAnsi="宋体" w:eastAsia="宋体"/>
                <w:sz w:val="21"/>
              </w:rPr>
              <w:t>(合作,合作)</w:t>
            </w:r>
          </w:p>
        </w:tc>
        <w:tc>
          <w:tcPr>
            <w:tcW w:w="1440" w:type="dxa"/>
          </w:tcPr>
          <w:p w14:paraId="3418DF19">
            <w:pPr>
              <w:spacing w:after="0" w:line="240" w:lineRule="auto"/>
            </w:pPr>
            <w:r>
              <w:rPr>
                <w:rFonts w:ascii="宋体" w:hAnsi="宋体" w:eastAsia="宋体"/>
                <w:sz w:val="21"/>
              </w:rPr>
              <w:t>待完整实验</w:t>
            </w:r>
          </w:p>
        </w:tc>
        <w:tc>
          <w:tcPr>
            <w:tcW w:w="1440" w:type="dxa"/>
          </w:tcPr>
          <w:p w14:paraId="0BA628AF">
            <w:pPr>
              <w:spacing w:after="0" w:line="240" w:lineRule="auto"/>
            </w:pPr>
            <w:r>
              <w:rPr>
                <w:rFonts w:ascii="宋体" w:hAnsi="宋体" w:eastAsia="宋体"/>
                <w:sz w:val="21"/>
              </w:rPr>
              <w:t>待完整实验</w:t>
            </w:r>
          </w:p>
        </w:tc>
        <w:tc>
          <w:tcPr>
            <w:tcW w:w="1440" w:type="dxa"/>
          </w:tcPr>
          <w:p w14:paraId="4E17C2C0">
            <w:pPr>
              <w:spacing w:after="0" w:line="240" w:lineRule="auto"/>
            </w:pPr>
            <w:r>
              <w:rPr>
                <w:rFonts w:ascii="宋体" w:hAnsi="宋体" w:eastAsia="宋体"/>
                <w:sz w:val="21"/>
              </w:rPr>
              <w:t>—</w:t>
            </w:r>
          </w:p>
        </w:tc>
        <w:tc>
          <w:tcPr>
            <w:tcW w:w="1440" w:type="dxa"/>
          </w:tcPr>
          <w:p w14:paraId="3C6E9F2C">
            <w:pPr>
              <w:spacing w:after="0" w:line="240" w:lineRule="auto"/>
            </w:pPr>
            <w:r>
              <w:rPr>
                <w:rFonts w:ascii="宋体" w:hAnsi="宋体" w:eastAsia="宋体"/>
                <w:sz w:val="21"/>
              </w:rPr>
              <w:t>—</w:t>
            </w:r>
          </w:p>
        </w:tc>
      </w:tr>
    </w:tbl>
    <w:p w14:paraId="4F2B464D"/>
    <w:p w14:paraId="51AAE9F6">
      <w:pPr>
        <w:spacing w:after="60"/>
        <w:ind w:firstLine="420"/>
      </w:pPr>
      <w:r>
        <w:rPr>
          <w:rFonts w:ascii="宋体" w:hAnsi="宋体" w:eastAsia="宋体"/>
          <w:sz w:val="21"/>
        </w:rPr>
        <w:t>选取上述三类案由，是因为它们在事实争议与法律适用的复杂性上具有梯度差异。需说明，锦标赛收敛结果并非外部ground truth，而是系统内生的行为数据；本实验的核心目的不是验证"哪个预测更正确"，而是检验</w:t>
      </w:r>
      <w:r>
        <w:rPr>
          <w:rFonts w:ascii="宋体" w:hAnsi="宋体" w:eastAsia="宋体"/>
          <w:b/>
          <w:sz w:val="21"/>
        </w:rPr>
        <w:t>序贯建模（SPNE）相对于静态建模（NE）是否提供了更高的解释力和预测精度</w:t>
      </w:r>
      <w:r>
        <w:rPr>
          <w:rFonts w:ascii="宋体" w:hAnsi="宋体" w:eastAsia="宋体"/>
          <w:sz w:val="21"/>
        </w:rPr>
        <w:t>——即方法论层面的比较，而非绝对正确性的论证。后续研究将引入真实律师标注的策略偏好数据作为外部校验。</w:t>
      </w:r>
    </w:p>
    <w:p w14:paraId="67B957B8">
      <w:pPr>
        <w:spacing w:after="60"/>
        <w:ind w:firstLine="420"/>
      </w:pPr>
      <w:r>
        <w:rPr>
          <w:rFonts w:ascii="宋体" w:hAnsi="宋体" w:eastAsia="宋体"/>
          <w:sz w:val="21"/>
        </w:rPr>
        <w:t>基于AgentMediation[6]经验数据的预备模拟已初步验证TKI策略对结果的显著非线性影响（图5）：竞争策略下基于ground truth诉请支持率的成功率仅11%、合作策略达99%（此处"成功率"定义为判决结果中诉请被支持的比例，以原始裁判文书标注为基准，非LLM自评），5×5策略空间存在唯一纯策略NE点（合作型, 合作型）。预备模拟还表明，LLM多智能体系统在博弈论框架约束下能产生与社会科学理论（Kelman三阶段态度改变理论[15]）一致的群体行为模式：迁就型策略呈现"表面共识"现象（共识度75.5但满意度仅53.4）。此处的"群体行为模式"由博弈收益矩阵和复制者动态方程显式驱动，属于</w:t>
      </w:r>
      <w:r>
        <w:rPr>
          <w:rFonts w:ascii="宋体" w:hAnsi="宋体" w:eastAsia="宋体"/>
          <w:b/>
          <w:sz w:val="21"/>
        </w:rPr>
        <w:t>数学模拟重现</w:t>
      </w:r>
      <w:r>
        <w:rPr>
          <w:rFonts w:ascii="宋体" w:hAnsi="宋体" w:eastAsia="宋体"/>
          <w:sz w:val="21"/>
        </w:rPr>
        <w:t>而非无预设条件下的自发涌现。正式验证将在测试集200条案件上运行端到端管道后完成。</w:t>
      </w:r>
    </w:p>
    <w:p w14:paraId="65B37ACA">
      <w:r>
        <w:drawing>
          <wp:inline distT="0" distB="0" distL="114300" distR="114300">
            <wp:extent cx="5039995" cy="1309370"/>
            <wp:effectExtent l="0" t="0" r="190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1309473"/>
                    </a:xfrm>
                    <a:prstGeom prst="rect">
                      <a:avLst/>
                    </a:prstGeom>
                  </pic:spPr>
                </pic:pic>
              </a:graphicData>
            </a:graphic>
          </wp:inline>
        </w:drawing>
      </w:r>
    </w:p>
    <w:p w14:paraId="11E306D8"/>
    <w:p w14:paraId="3DE2FCDF">
      <w:pPr>
        <w:spacing w:after="60"/>
        <w:ind w:firstLine="420"/>
      </w:pPr>
      <w:r>
        <w:rPr>
          <w:rFonts w:ascii="宋体" w:hAnsi="宋体" w:eastAsia="宋体"/>
          <w:b/>
          <w:sz w:val="21"/>
        </w:rPr>
        <w:t>图5 TKI五策略在四项指标上的表现（Mann-Whitney U检验，Bonferroni校正后 p&lt;0.05, p&lt;0.01 vs Compromising基线）</w:t>
      </w:r>
    </w:p>
    <w:p w14:paraId="3C0A6563">
      <w:pPr>
        <w:spacing w:before="60" w:after="60"/>
      </w:pPr>
      <w:r>
        <w:rPr>
          <w:rFonts w:ascii="黑体" w:hAnsi="黑体" w:eastAsia="黑体"/>
          <w:b/>
          <w:sz w:val="21"/>
        </w:rPr>
        <w:t>实验2：演化博弈动力学与策略种群演化</w:t>
      </w:r>
    </w:p>
    <w:p w14:paraId="58C83E0E">
      <w:pPr>
        <w:spacing w:after="60"/>
        <w:ind w:firstLine="420"/>
      </w:pPr>
      <w:r>
        <w:rPr>
          <w:rFonts w:ascii="宋体" w:hAnsi="宋体" w:eastAsia="宋体"/>
          <w:sz w:val="21"/>
        </w:rPr>
        <w:t>以200条案件的实际收益更新收益矩阵，基于复制者动态方程模拟策略种群演化（初始均匀分布，100代）。核心验证：（i）是否收敛到ESS；（ii）ESS是否与NE一致；（iii）收敛速度与案由类型的关系。同时计算群体极化指数（Shannon熵）和社会福利函数。初步演化模拟结果如图7所示：</w:t>
      </w:r>
    </w:p>
    <w:p w14:paraId="06A43065">
      <w:r>
        <w:drawing>
          <wp:inline distT="0" distB="0" distL="114300" distR="114300">
            <wp:extent cx="5039995" cy="1978660"/>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1978887"/>
                    </a:xfrm>
                    <a:prstGeom prst="rect">
                      <a:avLst/>
                    </a:prstGeom>
                  </pic:spPr>
                </pic:pic>
              </a:graphicData>
            </a:graphic>
          </wp:inline>
        </w:drawing>
      </w:r>
    </w:p>
    <w:p w14:paraId="49398636"/>
    <w:p w14:paraId="21DE58E6">
      <w:pPr>
        <w:spacing w:after="60"/>
        <w:ind w:firstLine="420"/>
      </w:pPr>
      <w:r>
        <w:rPr>
          <w:rFonts w:ascii="宋体" w:hAnsi="宋体" w:eastAsia="宋体"/>
          <w:b/>
          <w:sz w:val="21"/>
        </w:rPr>
        <w:t>图7 (a)复制者动态下五种TKI策略的种群比例演化轨迹 (b)演化过程中Shannon熵与社会福利的变化趋势</w:t>
      </w:r>
    </w:p>
    <w:p w14:paraId="00A23A8D">
      <w:pPr>
        <w:spacing w:before="60" w:after="60"/>
      </w:pPr>
      <w:r>
        <w:rPr>
          <w:rFonts w:ascii="黑体" w:hAnsi="黑体" w:eastAsia="黑体"/>
          <w:b/>
          <w:sz w:val="21"/>
        </w:rPr>
        <w:t>实验3：讨价还价博弈与调解效率</w:t>
      </w:r>
    </w:p>
    <w:p w14:paraId="65E10C6E">
      <w:pPr>
        <w:spacing w:after="60"/>
        <w:ind w:firstLine="420"/>
      </w:pPr>
      <w:r>
        <w:rPr>
          <w:rFonts w:ascii="宋体" w:hAnsi="宋体" w:eastAsia="宋体"/>
          <w:sz w:val="21"/>
        </w:rPr>
        <w:t>对50个案件运行两种调解模式对比：（A）纯LLM驱动的HDR调解；（B）NBS增强模式——注入纳什讨价还价解作为公平参考点。因变量为SR/Sat/Con和NBS偏离度，同时分析NBS增强效果与当事人策略类型的交互作用。</w:t>
      </w:r>
    </w:p>
    <w:p w14:paraId="515C9E8E">
      <w:pPr>
        <w:spacing w:before="60" w:after="60"/>
      </w:pPr>
      <w:r>
        <w:rPr>
          <w:rFonts w:ascii="黑体" w:hAnsi="黑体" w:eastAsia="黑体"/>
          <w:b/>
          <w:sz w:val="21"/>
        </w:rPr>
        <w:t>实验4：工程模块消融分析</w:t>
      </w:r>
    </w:p>
    <w:p w14:paraId="4C537BB9">
      <w:pPr>
        <w:spacing w:after="60"/>
        <w:ind w:firstLine="420"/>
      </w:pPr>
      <w:r>
        <w:rPr>
          <w:rFonts w:ascii="宋体" w:hAnsi="宋体" w:eastAsia="宋体"/>
          <w:sz w:val="21"/>
        </w:rPr>
        <w:t>对</w:t>
      </w:r>
      <w:r>
        <w:rPr>
          <w:rFonts w:ascii="宋体" w:hAnsi="宋体" w:eastAsia="宋体"/>
          <w:b/>
          <w:sz w:val="21"/>
        </w:rPr>
        <w:t>P-RAG渐进式检索</w:t>
      </w:r>
      <w:r>
        <w:rPr>
          <w:rFonts w:ascii="宋体" w:hAnsi="宋体" w:eastAsia="宋体"/>
          <w:sz w:val="21"/>
        </w:rPr>
        <w:t>进行消融实验，量化其对法条Recall等判决质量指标的边际贡献。</w:t>
      </w:r>
      <w:r>
        <w:rPr>
          <w:rFonts w:ascii="宋体" w:hAnsi="宋体" w:eastAsia="宋体"/>
          <w:b/>
          <w:sz w:val="21"/>
        </w:rPr>
        <w:t>以下为基于模块独立测试和先验参数的预备模拟结果，正式消融实验将在后续阶段于测试集上完成：</w:t>
      </w:r>
    </w:p>
    <w:p w14:paraId="320E3243">
      <w:pPr>
        <w:spacing w:after="60"/>
        <w:ind w:firstLine="420"/>
      </w:pPr>
      <w:r>
        <w:rPr>
          <w:rFonts w:ascii="宋体" w:hAnsi="宋体" w:eastAsia="宋体"/>
          <w:b/>
          <w:sz w:val="21"/>
        </w:rPr>
        <w:t>表2 P-RAG消融实验预备结果（预估值）</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05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5106AA">
            <w:pPr>
              <w:spacing w:after="0" w:line="240" w:lineRule="auto"/>
            </w:pPr>
            <w:r>
              <w:rPr>
                <w:rFonts w:ascii="宋体" w:hAnsi="宋体" w:eastAsia="宋体"/>
                <w:sz w:val="21"/>
              </w:rPr>
              <w:t>配置</w:t>
            </w:r>
          </w:p>
        </w:tc>
        <w:tc>
          <w:tcPr>
            <w:tcW w:w="4320" w:type="dxa"/>
          </w:tcPr>
          <w:p w14:paraId="1EE8FC74">
            <w:pPr>
              <w:spacing w:after="0" w:line="240" w:lineRule="auto"/>
            </w:pPr>
            <w:r>
              <w:rPr>
                <w:rFonts w:ascii="宋体" w:hAnsi="宋体" w:eastAsia="宋体"/>
                <w:sz w:val="21"/>
              </w:rPr>
              <w:t>LAW Recall(%)↑</w:t>
            </w:r>
          </w:p>
        </w:tc>
      </w:tr>
      <w:tr w14:paraId="4888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5DF9AA">
            <w:pPr>
              <w:spacing w:after="0" w:line="240" w:lineRule="auto"/>
            </w:pPr>
            <w:r>
              <w:rPr>
                <w:rFonts w:ascii="宋体" w:hAnsi="宋体" w:eastAsia="宋体"/>
                <w:sz w:val="21"/>
              </w:rPr>
              <w:t>基线（无P-RAG）</w:t>
            </w:r>
          </w:p>
        </w:tc>
        <w:tc>
          <w:tcPr>
            <w:tcW w:w="4320" w:type="dxa"/>
          </w:tcPr>
          <w:p w14:paraId="053E6EEA">
            <w:pPr>
              <w:spacing w:after="0" w:line="240" w:lineRule="auto"/>
            </w:pPr>
            <w:r>
              <w:rPr>
                <w:rFonts w:ascii="宋体" w:hAnsi="宋体" w:eastAsia="宋体"/>
                <w:sz w:val="21"/>
              </w:rPr>
              <w:t>~12.3</w:t>
            </w:r>
          </w:p>
        </w:tc>
      </w:tr>
      <w:tr w14:paraId="7E31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37EF1E">
            <w:pPr>
              <w:spacing w:after="0" w:line="240" w:lineRule="auto"/>
            </w:pPr>
            <w:r>
              <w:rPr>
                <w:rFonts w:ascii="宋体" w:hAnsi="宋体" w:eastAsia="宋体"/>
                <w:sz w:val="21"/>
              </w:rPr>
              <w:t>+P-RAG（四阶段）</w:t>
            </w:r>
          </w:p>
        </w:tc>
        <w:tc>
          <w:tcPr>
            <w:tcW w:w="4320" w:type="dxa"/>
          </w:tcPr>
          <w:p w14:paraId="58EC6091">
            <w:pPr>
              <w:spacing w:after="0" w:line="240" w:lineRule="auto"/>
            </w:pPr>
            <w:r>
              <w:rPr>
                <w:rFonts w:ascii="宋体" w:hAnsi="宋体" w:eastAsia="宋体"/>
                <w:sz w:val="21"/>
              </w:rPr>
              <w:t>~58.4（较基线提升24.7个百分点）</w:t>
            </w:r>
          </w:p>
        </w:tc>
      </w:tr>
    </w:tbl>
    <w:p w14:paraId="6BB08E36"/>
    <w:p w14:paraId="5D9DBFE7">
      <w:pPr>
        <w:spacing w:after="60"/>
      </w:pPr>
      <w:r>
        <w:rPr>
          <w:rFonts w:ascii="宋体" w:hAnsi="宋体" w:eastAsia="宋体"/>
          <w:i/>
          <w:sz w:val="21"/>
        </w:rPr>
        <w:t>注：表中“个百分点”即英文 percentage points（pp），指绝对百分比的差值，非相对增幅。</w:t>
      </w:r>
    </w:p>
    <w:p w14:paraId="0200E0E5">
      <w:pPr>
        <w:spacing w:after="60"/>
        <w:ind w:firstLine="420"/>
      </w:pPr>
      <w:r>
        <w:rPr>
          <w:rFonts w:ascii="宋体" w:hAnsi="宋体" w:eastAsia="宋体"/>
          <w:sz w:val="21"/>
        </w:rPr>
        <w:t>预备模拟揭示的关键机制：P-RAG的增量收益源于跨阶段信息积累——法庭调查阶段增量最大，因该阶段引入最多新事实使检索查询多样化。此假设将在正式实验中进一步验证。</w:t>
      </w:r>
    </w:p>
    <w:p w14:paraId="0A7F8DA8">
      <w:pPr>
        <w:spacing w:before="60" w:after="60"/>
      </w:pPr>
      <w:r>
        <w:rPr>
          <w:rFonts w:ascii="黑体" w:hAnsi="黑体" w:eastAsia="黑体"/>
          <w:b/>
          <w:sz w:val="21"/>
        </w:rPr>
        <w:t>实验5：综合评测与外部基线对比</w:t>
      </w:r>
    </w:p>
    <w:p w14:paraId="18564247">
      <w:pPr>
        <w:spacing w:after="60"/>
        <w:ind w:firstLine="420"/>
      </w:pPr>
      <w:r>
        <w:rPr>
          <w:rFonts w:ascii="宋体" w:hAnsi="宋体" w:eastAsia="宋体"/>
          <w:sz w:val="21"/>
        </w:rPr>
        <w:t>对完整版LegalFlow进行多维综合评测，设置两组外部基线：（A）</w:t>
      </w:r>
      <w:r>
        <w:rPr>
          <w:rFonts w:ascii="宋体" w:hAnsi="宋体" w:eastAsia="宋体"/>
          <w:b/>
          <w:sz w:val="21"/>
        </w:rPr>
        <w:t>纯LLM基线</w:t>
      </w:r>
      <w:r>
        <w:rPr>
          <w:rFonts w:ascii="宋体" w:hAnsi="宋体" w:eastAsia="宋体"/>
          <w:sz w:val="21"/>
        </w:rPr>
        <w:t>——GPT-4o/DeepSeek-V3直接生成判决，不加任何增强模块；（B）</w:t>
      </w:r>
      <w:r>
        <w:rPr>
          <w:rFonts w:ascii="宋体" w:hAnsi="宋体" w:eastAsia="宋体"/>
          <w:b/>
          <w:sz w:val="21"/>
        </w:rPr>
        <w:t>AgentMediation基线</w:t>
      </w:r>
      <w:r>
        <w:rPr>
          <w:rFonts w:ascii="宋体" w:hAnsi="宋体" w:eastAsia="宋体"/>
          <w:sz w:val="21"/>
        </w:rPr>
        <w:t>——在同一数据集上复现AgentMediation[6]的单阶段调解框架。除已有的LexEval六层认知评测、J1-EVAL程序合规追踪外，新增四项博弈论评测指标：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9FC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5F4460">
            <w:pPr>
              <w:spacing w:after="0" w:line="240" w:lineRule="auto"/>
            </w:pPr>
            <w:r>
              <w:rPr>
                <w:rFonts w:ascii="宋体" w:hAnsi="宋体" w:eastAsia="宋体"/>
                <w:sz w:val="21"/>
              </w:rPr>
              <w:t>指标</w:t>
            </w:r>
          </w:p>
        </w:tc>
        <w:tc>
          <w:tcPr>
            <w:tcW w:w="1728" w:type="dxa"/>
          </w:tcPr>
          <w:p w14:paraId="4161C2B5">
            <w:pPr>
              <w:spacing w:after="0" w:line="240" w:lineRule="auto"/>
            </w:pPr>
            <w:r>
              <w:rPr>
                <w:rFonts w:ascii="宋体" w:hAnsi="宋体" w:eastAsia="宋体"/>
                <w:sz w:val="21"/>
              </w:rPr>
              <w:t>定义</w:t>
            </w:r>
          </w:p>
        </w:tc>
        <w:tc>
          <w:tcPr>
            <w:tcW w:w="1728" w:type="dxa"/>
          </w:tcPr>
          <w:p w14:paraId="6A011823">
            <w:pPr>
              <w:spacing w:after="0" w:line="240" w:lineRule="auto"/>
            </w:pPr>
            <w:r>
              <w:rPr>
                <w:rFonts w:ascii="宋体" w:hAnsi="宋体" w:eastAsia="宋体"/>
                <w:sz w:val="21"/>
              </w:rPr>
              <w:t>计算方法</w:t>
            </w:r>
          </w:p>
        </w:tc>
        <w:tc>
          <w:tcPr>
            <w:tcW w:w="1728" w:type="dxa"/>
          </w:tcPr>
          <w:p w14:paraId="6B6125CB">
            <w:pPr>
              <w:spacing w:after="0" w:line="240" w:lineRule="auto"/>
            </w:pPr>
          </w:p>
        </w:tc>
        <w:tc>
          <w:tcPr>
            <w:tcW w:w="1728" w:type="dxa"/>
          </w:tcPr>
          <w:p w14:paraId="374DBE2F">
            <w:pPr>
              <w:spacing w:after="0" w:line="240" w:lineRule="auto"/>
            </w:pPr>
          </w:p>
        </w:tc>
      </w:tr>
      <w:tr w14:paraId="46B0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43EE90">
            <w:pPr>
              <w:spacing w:after="0" w:line="240" w:lineRule="auto"/>
            </w:pPr>
            <w:r>
              <w:rPr>
                <w:rFonts w:ascii="宋体" w:hAnsi="宋体" w:eastAsia="宋体"/>
                <w:sz w:val="21"/>
              </w:rPr>
              <w:t>策略理性度（SR）</w:t>
            </w:r>
          </w:p>
        </w:tc>
        <w:tc>
          <w:tcPr>
            <w:tcW w:w="1728" w:type="dxa"/>
          </w:tcPr>
          <w:p w14:paraId="3BED6D0B">
            <w:pPr>
              <w:spacing w:after="0" w:line="240" w:lineRule="auto"/>
            </w:pPr>
            <w:r>
              <w:rPr>
                <w:rFonts w:ascii="宋体" w:hAnsi="宋体" w:eastAsia="宋体"/>
                <w:sz w:val="21"/>
              </w:rPr>
              <w:t>智能体策略选择与理论最优响应的一致率</w:t>
            </w:r>
          </w:p>
        </w:tc>
        <w:tc>
          <w:tcPr>
            <w:tcW w:w="1728" w:type="dxa"/>
          </w:tcPr>
          <w:p w14:paraId="79130390">
            <w:pPr>
              <w:spacing w:after="0" w:line="240" w:lineRule="auto"/>
            </w:pPr>
            <m:oMathPara>
              <m:oMath>
                <m:r>
                  <m:rPr/>
                  <w:rPr>
                    <w:rFonts w:hint="default" w:ascii="Cambria Math" w:hAnsi="Cambria Math" w:eastAsia="宋体"/>
                    <w:sz w:val="21"/>
                  </w:rPr>
                  <m:t>SR=</m:t>
                </m:r>
                <m:f>
                  <m:fPr>
                    <m:ctrlPr>
                      <w:rPr>
                        <w:rFonts w:hint="default" w:ascii="Cambria Math" w:hAnsi="Cambria Math" w:eastAsia="宋体"/>
                        <w:i/>
                        <w:sz w:val="21"/>
                      </w:rPr>
                    </m:ctrlPr>
                  </m:fPr>
                  <m:num>
                    <m:r>
                      <m:rPr/>
                      <w:rPr>
                        <w:rFonts w:hint="default" w:ascii="Cambria Math" w:hAnsi="Cambria Math" w:eastAsia="宋体"/>
                        <w:sz w:val="21"/>
                      </w:rPr>
                      <m:t>#(s=</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BR</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N</m:t>
                    </m:r>
                    <m:ctrlPr>
                      <w:rPr>
                        <w:rFonts w:hint="default" w:ascii="Cambria Math" w:hAnsi="Cambria Math" w:eastAsia="宋体"/>
                        <w:sz w:val="21"/>
                      </w:rPr>
                    </m:ctrlPr>
                  </m:den>
                </m:f>
              </m:oMath>
            </m:oMathPara>
          </w:p>
        </w:tc>
        <w:tc>
          <w:tcPr>
            <w:tcW w:w="1728" w:type="dxa"/>
          </w:tcPr>
          <w:p w14:paraId="2B0C9C05">
            <w:pPr>
              <w:spacing w:after="0" w:line="240" w:lineRule="auto"/>
            </w:pPr>
          </w:p>
        </w:tc>
        <w:tc>
          <w:tcPr>
            <w:tcW w:w="1728" w:type="dxa"/>
          </w:tcPr>
          <w:p w14:paraId="357E3943">
            <w:pPr>
              <w:spacing w:after="0" w:line="240" w:lineRule="auto"/>
            </w:pPr>
          </w:p>
        </w:tc>
      </w:tr>
      <w:tr w14:paraId="49B3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A391AE">
            <w:pPr>
              <w:spacing w:after="0" w:line="240" w:lineRule="auto"/>
            </w:pPr>
            <w:r>
              <w:rPr>
                <w:rFonts w:ascii="宋体" w:hAnsi="宋体" w:eastAsia="宋体"/>
                <w:sz w:val="21"/>
              </w:rPr>
              <w:t>均衡趋近率（ECR）</w:t>
            </w:r>
          </w:p>
        </w:tc>
        <w:tc>
          <w:tcPr>
            <w:tcW w:w="1728" w:type="dxa"/>
          </w:tcPr>
          <w:p w14:paraId="7E8B629B">
            <w:pPr>
              <w:spacing w:after="0" w:line="240" w:lineRule="auto"/>
            </w:pPr>
            <w:r>
              <w:rPr>
                <w:rFonts w:ascii="宋体" w:hAnsi="宋体" w:eastAsia="宋体"/>
                <w:sz w:val="21"/>
              </w:rPr>
              <w:t>策略序列在W轮窗口内处于均衡的比例</w:t>
            </w:r>
          </w:p>
        </w:tc>
        <w:tc>
          <w:tcPr>
            <w:tcW w:w="1728" w:type="dxa"/>
          </w:tcPr>
          <w:p w14:paraId="0F3F885F">
            <w:pPr>
              <w:spacing w:after="0" w:line="240" w:lineRule="auto"/>
            </w:pPr>
            <m:oMath>
              <m:r>
                <m:rPr/>
                <w:rPr>
                  <w:rFonts w:hint="default" w:ascii="Cambria Math" w:hAnsi="Cambria Math" w:eastAsia="宋体"/>
                  <w:sz w:val="21"/>
                </w:rPr>
                <m:t>ECR=</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W</m:t>
                  </m:r>
                  <m:ctrlPr>
                    <w:rPr>
                      <w:rFonts w:ascii="Cambria Math" w:hAnsi="Cambria Math" w:eastAsia="宋体"/>
                      <w:sz w:val="21"/>
                    </w:rPr>
                  </m:ctrlPr>
                </m:den>
              </m:f>
              <m:nary>
                <m:naryPr>
                  <m:chr m:val="∑"/>
                  <m:limLoc m:val="undOvr"/>
                  <m:ctrlPr>
                    <w:rPr>
                      <w:rFonts w:hint="default" w:ascii="Cambria Math" w:hAnsi="Cambria Math" w:eastAsia="宋体"/>
                      <w:i/>
                      <w:sz w:val="21"/>
                    </w:rPr>
                  </m:ctrlPr>
                </m:naryPr>
                <m:sub>
                  <m:r>
                    <m:rPr/>
                    <w:rPr>
                      <w:rFonts w:hint="default" w:ascii="Cambria Math" w:hAnsi="Cambria Math" w:eastAsia="宋体"/>
                      <w:sz w:val="21"/>
                    </w:rPr>
                    <m:t>t=T−W+1</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e>
                  <m:r>
                    <m:rPr>
                      <m:scr m:val="double-struck"/>
                    </m:rPr>
                    <w:rPr>
                      <w:rFonts w:hint="default" w:ascii="Cambria Math" w:hAnsi="Cambria Math" w:eastAsia="MS Mincho"/>
                      <w:sz w:val="21"/>
                    </w:rPr>
                    <m:t>1</m:t>
                  </m:r>
                  <m:ctrlPr>
                    <w:rPr>
                      <w:rFonts w:ascii="Cambria Math" w:hAnsi="Cambria Math" w:eastAsia="宋体"/>
                      <w:sz w:val="21"/>
                    </w:rPr>
                  </m:ctrlPr>
                </m:e>
              </m:nary>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r>
                <m:rPr/>
                <w:rPr>
                  <w:rFonts w:hint="default" w:ascii="Cambria Math" w:hAnsi="Cambria Math" w:eastAsia="宋体"/>
                  <w:sz w:val="21"/>
                </w:rPr>
                <m:t>)∈NE]</m:t>
              </m:r>
            </m:oMath>
            <w:r>
              <w:rPr>
                <w:rFonts w:ascii="宋体" w:hAnsi="宋体" w:eastAsia="宋体"/>
                <w:sz w:val="21"/>
              </w:rPr>
              <w:t>，窗口W=3</w:t>
            </w:r>
          </w:p>
        </w:tc>
        <w:tc>
          <w:tcPr>
            <w:tcW w:w="1728" w:type="dxa"/>
          </w:tcPr>
          <w:p w14:paraId="1BC2E2DA">
            <w:pPr>
              <w:spacing w:after="0" w:line="240" w:lineRule="auto"/>
            </w:pPr>
          </w:p>
        </w:tc>
        <w:tc>
          <w:tcPr>
            <w:tcW w:w="1728" w:type="dxa"/>
          </w:tcPr>
          <w:p w14:paraId="3FF052E2">
            <w:pPr>
              <w:spacing w:after="0" w:line="240" w:lineRule="auto"/>
            </w:pPr>
          </w:p>
        </w:tc>
      </w:tr>
      <w:tr w14:paraId="48F2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8A2EE70">
            <w:pPr>
              <w:spacing w:after="0" w:line="240" w:lineRule="auto"/>
            </w:pPr>
            <w:r>
              <w:rPr>
                <w:rFonts w:ascii="宋体" w:hAnsi="宋体" w:eastAsia="宋体"/>
                <w:sz w:val="21"/>
              </w:rPr>
              <w:t>演化稳定性（ESS-Score）</w:t>
            </w:r>
          </w:p>
        </w:tc>
        <w:tc>
          <w:tcPr>
            <w:tcW w:w="1728" w:type="dxa"/>
          </w:tcPr>
          <w:p w14:paraId="4CCE5DB6">
            <w:pPr>
              <w:spacing w:after="0" w:line="240" w:lineRule="auto"/>
            </w:pPr>
            <w:r>
              <w:rPr>
                <w:rFonts w:ascii="宋体" w:hAnsi="宋体" w:eastAsia="宋体"/>
                <w:sz w:val="21"/>
              </w:rPr>
              <w:t>收敛不动点满足ESS条件的程度</w:t>
            </w:r>
          </w:p>
        </w:tc>
        <w:tc>
          <w:tcPr>
            <w:tcW w:w="1728" w:type="dxa"/>
          </w:tcPr>
          <w:p w14:paraId="038038B6">
            <w:pPr>
              <w:spacing w:after="0" w:line="240" w:lineRule="auto"/>
            </w:pPr>
            <w:r>
              <w:rPr>
                <w:rFonts w:ascii="宋体" w:hAnsi="宋体" w:eastAsia="宋体"/>
                <w:sz w:val="21"/>
              </w:rPr>
              <w:t xml:space="preserve">入侵壁垒 </w:t>
            </w:r>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r>
                        <m:rPr/>
                        <w:rPr>
                          <w:rFonts w:hint="default" w:ascii="Cambria Math" w:hAnsi="Cambria Math" w:eastAsia="宋体"/>
                          <w:sz w:val="21"/>
                        </w:rPr>
                        <m:t>s'≠</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ctrlPr>
                        <w:rPr>
                          <w:rFonts w:hint="default"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s</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s</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)−u(s',</m:t>
              </m:r>
              <m:sSup>
                <m:sSupPr>
                  <m:ctrlPr>
                    <w:rPr>
                      <w:rFonts w:hint="default" w:ascii="Cambria Math" w:hAnsi="Cambria Math" w:eastAsia="宋体"/>
                      <w:sz w:val="21"/>
                    </w:rPr>
                  </m:ctrlPr>
                </m:sSupPr>
                <m:e>
                  <m:r>
                    <m:rPr/>
                    <w:rPr>
                      <w:rFonts w:hint="default" w:ascii="Cambria Math" w:hAnsi="Cambria Math" w:eastAsia="宋体"/>
                      <w:sz w:val="21"/>
                    </w:rPr>
                    <m:t>s</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m:t>
              </m:r>
            </m:oMath>
          </w:p>
        </w:tc>
        <w:tc>
          <w:tcPr>
            <w:tcW w:w="1728" w:type="dxa"/>
          </w:tcPr>
          <w:p w14:paraId="1AFFC1E8">
            <w:pPr>
              <w:spacing w:after="0" w:line="240" w:lineRule="auto"/>
            </w:pPr>
          </w:p>
        </w:tc>
        <w:tc>
          <w:tcPr>
            <w:tcW w:w="1728" w:type="dxa"/>
          </w:tcPr>
          <w:p w14:paraId="51C64DBB">
            <w:pPr>
              <w:spacing w:after="0" w:line="240" w:lineRule="auto"/>
            </w:pPr>
          </w:p>
        </w:tc>
      </w:tr>
      <w:tr w14:paraId="44B5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F53442">
            <w:pPr>
              <w:spacing w:after="0" w:line="240" w:lineRule="auto"/>
            </w:pPr>
            <w:r>
              <w:rPr>
                <w:rFonts w:ascii="宋体" w:hAnsi="宋体" w:eastAsia="宋体"/>
                <w:sz w:val="21"/>
              </w:rPr>
              <w:t>NBS偏离度（NBS-Dev）</w:t>
            </w:r>
          </w:p>
        </w:tc>
        <w:tc>
          <w:tcPr>
            <w:tcW w:w="1728" w:type="dxa"/>
          </w:tcPr>
          <w:p w14:paraId="797C8ACC">
            <w:pPr>
              <w:spacing w:after="0" w:line="240" w:lineRule="auto"/>
            </w:pPr>
            <w:r>
              <w:rPr>
                <w:rFonts w:ascii="宋体" w:hAnsi="宋体" w:eastAsia="宋体"/>
                <w:sz w:val="21"/>
              </w:rPr>
              <w:t>实际调解方案与纳什讨价还价解的距离</w:t>
            </w:r>
          </w:p>
        </w:tc>
        <w:tc>
          <w:tcPr>
            <w:tcW w:w="1728" w:type="dxa"/>
          </w:tcPr>
          <w:p w14:paraId="6CEF4719">
            <w:pPr>
              <w:spacing w:after="0" w:line="240" w:lineRule="auto"/>
            </w:pPr>
            <w:r>
              <w:rPr>
                <w:rFonts w:ascii="宋体" w:hAnsi="宋体" w:eastAsia="宋体"/>
                <w:sz w:val="21"/>
              </w:rPr>
              <w:t>$\</w:t>
            </w:r>
          </w:p>
        </w:tc>
        <w:tc>
          <w:tcPr>
            <w:tcW w:w="1728" w:type="dxa"/>
          </w:tcPr>
          <w:p w14:paraId="3C70D789">
            <w:pPr>
              <w:spacing w:after="0" w:line="240" w:lineRule="auto"/>
            </w:pPr>
            <m:oMathPara>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actual</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NBS</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oMath>
            </m:oMathPara>
          </w:p>
        </w:tc>
        <w:tc>
          <w:tcPr>
            <w:tcW w:w="1728" w:type="dxa"/>
          </w:tcPr>
          <w:p w14:paraId="0E017CA1">
            <w:pPr>
              <w:spacing w:after="0" w:line="240" w:lineRule="auto"/>
            </w:pPr>
            <w:r>
              <w:rPr>
                <w:rFonts w:ascii="宋体" w:hAnsi="宋体" w:eastAsia="宋体"/>
                <w:sz w:val="21"/>
              </w:rPr>
              <w:t>_2$</w:t>
            </w:r>
          </w:p>
        </w:tc>
      </w:tr>
    </w:tbl>
    <w:p w14:paraId="7B278988"/>
    <w:p w14:paraId="297E56E5">
      <w:pPr>
        <w:spacing w:after="60"/>
        <w:ind w:firstLine="420"/>
      </w:pPr>
      <w:r>
        <w:rPr>
          <w:rFonts w:ascii="宋体" w:hAnsi="宋体" w:eastAsia="宋体"/>
          <w:b/>
          <w:sz w:val="21"/>
        </w:rPr>
        <w:t>评分可信度保障：</w:t>
      </w:r>
      <w:r>
        <w:rPr>
          <w:rFonts w:ascii="宋体" w:hAnsi="宋体" w:eastAsia="宋体"/>
          <w:sz w:val="21"/>
        </w:rPr>
        <w:t xml:space="preserve"> 上述评测指标中，策略理性度（SR）以博弈论求解器的理论最优响应为ground truth，不依赖LLM判断；均衡趋近率（ECR）为纯规则计算；ESS-Score基于入侵壁垒的数学定义；NBS偏离度为数值距离计算。四项博弈论指标均为规则性确定指标，不存在LLM自评循环。对于JUD、LAW Recall等主观评测指标，采用上述双路校验机制。</w:t>
      </w:r>
    </w:p>
    <w:p w14:paraId="052A794A">
      <w:pPr>
        <w:spacing w:after="60"/>
        <w:ind w:firstLine="420"/>
      </w:pPr>
      <w:r>
        <w:rPr>
          <w:rFonts w:ascii="宋体" w:hAnsi="宋体" w:eastAsia="宋体"/>
          <w:sz w:val="21"/>
        </w:rPr>
        <w:t>预备模拟显示，完整版在推理层（Logic Inference）预计提升最为显著（预估5.2→7.8，+50%），L5反事实推理通过率预计从18%提升至42%。上述数据为基于模块独立评测的预估值，博弈论指标与综合性能的正式评测将在后续实验阶段于完整测试集上运行端到端管道后完成。</w:t>
      </w:r>
    </w:p>
    <w:p w14:paraId="54ADF741">
      <w:pPr>
        <w:spacing w:before="60" w:after="60"/>
      </w:pPr>
      <w:r>
        <w:rPr>
          <w:rFonts w:ascii="黑体" w:hAnsi="黑体" w:eastAsia="黑体"/>
          <w:b/>
          <w:sz w:val="21"/>
        </w:rPr>
        <w:t>5. 创新点总结</w:t>
      </w:r>
    </w:p>
    <w:p w14:paraId="3BD5FEF1">
      <w:pPr>
        <w:spacing w:after="60"/>
        <w:ind w:firstLine="420"/>
      </w:pPr>
      <w:r>
        <w:rPr>
          <w:rFonts w:ascii="宋体" w:hAnsi="宋体" w:eastAsia="宋体"/>
          <w:sz w:val="21"/>
        </w:rPr>
        <w:t>本研究的核心创新可归纳为以下三个方面，表3从七个维度展示了与现有代表性工作的系统性差异：</w:t>
      </w:r>
    </w:p>
    <w:p w14:paraId="3A08A425">
      <w:pPr>
        <w:spacing w:after="60"/>
        <w:ind w:firstLine="420"/>
      </w:pPr>
      <w:r>
        <w:rPr>
          <w:rFonts w:ascii="宋体" w:hAnsi="宋体" w:eastAsia="宋体"/>
          <w:b/>
          <w:sz w:val="21"/>
        </w:rPr>
        <w:t>表3 与现有代表性工作的系统对比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D59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3473CC">
            <w:pPr>
              <w:spacing w:after="0" w:line="240" w:lineRule="auto"/>
            </w:pPr>
            <w:r>
              <w:rPr>
                <w:rFonts w:ascii="宋体" w:hAnsi="宋体" w:eastAsia="宋体"/>
                <w:sz w:val="21"/>
              </w:rPr>
              <w:t>特性</w:t>
            </w:r>
          </w:p>
        </w:tc>
        <w:tc>
          <w:tcPr>
            <w:tcW w:w="2160" w:type="dxa"/>
          </w:tcPr>
          <w:p w14:paraId="4F71BE63">
            <w:pPr>
              <w:spacing w:after="0" w:line="240" w:lineRule="auto"/>
            </w:pPr>
            <w:r>
              <w:rPr>
                <w:rFonts w:ascii="宋体" w:hAnsi="宋体" w:eastAsia="宋体"/>
                <w:sz w:val="21"/>
              </w:rPr>
              <w:t>AgentMediation[6]</w:t>
            </w:r>
          </w:p>
        </w:tc>
        <w:tc>
          <w:tcPr>
            <w:tcW w:w="2160" w:type="dxa"/>
          </w:tcPr>
          <w:p w14:paraId="6D2036BC">
            <w:pPr>
              <w:spacing w:after="0" w:line="240" w:lineRule="auto"/>
            </w:pPr>
            <w:r>
              <w:rPr>
                <w:rFonts w:ascii="宋体" w:hAnsi="宋体" w:eastAsia="宋体"/>
                <w:sz w:val="21"/>
              </w:rPr>
              <w:t>J1-ENVS[4]</w:t>
            </w:r>
          </w:p>
        </w:tc>
        <w:tc>
          <w:tcPr>
            <w:tcW w:w="2160" w:type="dxa"/>
          </w:tcPr>
          <w:p w14:paraId="6E90814D">
            <w:pPr>
              <w:spacing w:after="0" w:line="240" w:lineRule="auto"/>
            </w:pPr>
            <w:r>
              <w:rPr>
                <w:rFonts w:ascii="宋体" w:hAnsi="宋体" w:eastAsia="宋体"/>
                <w:sz w:val="21"/>
              </w:rPr>
              <w:t>**LegalFlow**</w:t>
            </w:r>
          </w:p>
        </w:tc>
      </w:tr>
      <w:tr w14:paraId="25D2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01215E">
            <w:pPr>
              <w:spacing w:after="0" w:line="240" w:lineRule="auto"/>
            </w:pPr>
            <w:r>
              <w:rPr>
                <w:rFonts w:ascii="宋体" w:hAnsi="宋体" w:eastAsia="宋体"/>
                <w:sz w:val="21"/>
              </w:rPr>
              <w:t>博弈模型</w:t>
            </w:r>
          </w:p>
        </w:tc>
        <w:tc>
          <w:tcPr>
            <w:tcW w:w="2160" w:type="dxa"/>
          </w:tcPr>
          <w:p w14:paraId="31309BC6">
            <w:pPr>
              <w:spacing w:after="0" w:line="240" w:lineRule="auto"/>
            </w:pPr>
            <w:r>
              <w:rPr>
                <w:rFonts w:ascii="宋体" w:hAnsi="宋体" w:eastAsia="宋体"/>
                <w:sz w:val="21"/>
              </w:rPr>
              <w:t>正规形式(静态)</w:t>
            </w:r>
          </w:p>
        </w:tc>
        <w:tc>
          <w:tcPr>
            <w:tcW w:w="2160" w:type="dxa"/>
          </w:tcPr>
          <w:p w14:paraId="540C8153">
            <w:pPr>
              <w:spacing w:after="0" w:line="240" w:lineRule="auto"/>
            </w:pPr>
            <w:r>
              <w:rPr>
                <w:rFonts w:ascii="宋体" w:hAnsi="宋体" w:eastAsia="宋体"/>
                <w:sz w:val="21"/>
              </w:rPr>
              <w:t>无</w:t>
            </w:r>
          </w:p>
        </w:tc>
        <w:tc>
          <w:tcPr>
            <w:tcW w:w="2160" w:type="dxa"/>
          </w:tcPr>
          <w:p w14:paraId="34999B0A">
            <w:pPr>
              <w:spacing w:after="0" w:line="240" w:lineRule="auto"/>
            </w:pPr>
            <w:r>
              <w:rPr>
                <w:rFonts w:ascii="宋体" w:hAnsi="宋体" w:eastAsia="宋体"/>
                <w:sz w:val="21"/>
              </w:rPr>
              <w:t>**扩展式+演化+讨价还价**</w:t>
            </w:r>
          </w:p>
        </w:tc>
      </w:tr>
      <w:tr w14:paraId="7E69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394E17">
            <w:pPr>
              <w:spacing w:after="0" w:line="240" w:lineRule="auto"/>
            </w:pPr>
            <w:r>
              <w:rPr>
                <w:rFonts w:ascii="宋体" w:hAnsi="宋体" w:eastAsia="宋体"/>
                <w:sz w:val="21"/>
              </w:rPr>
              <w:t>均衡概念</w:t>
            </w:r>
          </w:p>
        </w:tc>
        <w:tc>
          <w:tcPr>
            <w:tcW w:w="2160" w:type="dxa"/>
          </w:tcPr>
          <w:p w14:paraId="7B230AD5">
            <w:pPr>
              <w:spacing w:after="0" w:line="240" w:lineRule="auto"/>
            </w:pPr>
            <w:r>
              <w:rPr>
                <w:rFonts w:ascii="宋体" w:hAnsi="宋体" w:eastAsia="宋体"/>
                <w:sz w:val="21"/>
              </w:rPr>
              <w:t>NE(事后)</w:t>
            </w:r>
          </w:p>
        </w:tc>
        <w:tc>
          <w:tcPr>
            <w:tcW w:w="2160" w:type="dxa"/>
          </w:tcPr>
          <w:p w14:paraId="76858543">
            <w:pPr>
              <w:spacing w:after="0" w:line="240" w:lineRule="auto"/>
            </w:pPr>
            <w:r>
              <w:rPr>
                <w:rFonts w:ascii="宋体" w:hAnsi="宋体" w:eastAsia="宋体"/>
                <w:sz w:val="21"/>
              </w:rPr>
              <w:t>无</w:t>
            </w:r>
          </w:p>
        </w:tc>
        <w:tc>
          <w:tcPr>
            <w:tcW w:w="2160" w:type="dxa"/>
          </w:tcPr>
          <w:p w14:paraId="4E2E69C6">
            <w:pPr>
              <w:spacing w:after="0" w:line="240" w:lineRule="auto"/>
            </w:pPr>
            <w:r>
              <w:rPr>
                <w:rFonts w:ascii="宋体" w:hAnsi="宋体" w:eastAsia="宋体"/>
                <w:sz w:val="21"/>
              </w:rPr>
              <w:t>**SPNE+ESS+NBS**</w:t>
            </w:r>
          </w:p>
        </w:tc>
      </w:tr>
      <w:tr w14:paraId="63E5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42E296">
            <w:pPr>
              <w:spacing w:after="0" w:line="240" w:lineRule="auto"/>
            </w:pPr>
            <w:r>
              <w:rPr>
                <w:rFonts w:ascii="宋体" w:hAnsi="宋体" w:eastAsia="宋体"/>
                <w:sz w:val="21"/>
              </w:rPr>
              <w:t>策略进化</w:t>
            </w:r>
          </w:p>
        </w:tc>
        <w:tc>
          <w:tcPr>
            <w:tcW w:w="2160" w:type="dxa"/>
          </w:tcPr>
          <w:p w14:paraId="4AD85FE6">
            <w:pPr>
              <w:spacing w:after="0" w:line="240" w:lineRule="auto"/>
            </w:pPr>
            <w:r>
              <w:rPr>
                <w:rFonts w:ascii="宋体" w:hAnsi="宋体" w:eastAsia="宋体"/>
                <w:sz w:val="21"/>
              </w:rPr>
              <w:t>无</w:t>
            </w:r>
          </w:p>
        </w:tc>
        <w:tc>
          <w:tcPr>
            <w:tcW w:w="2160" w:type="dxa"/>
          </w:tcPr>
          <w:p w14:paraId="64060BD5">
            <w:pPr>
              <w:spacing w:after="0" w:line="240" w:lineRule="auto"/>
            </w:pPr>
            <w:r>
              <w:rPr>
                <w:rFonts w:ascii="宋体" w:hAnsi="宋体" w:eastAsia="宋体"/>
                <w:sz w:val="21"/>
              </w:rPr>
              <w:t>无</w:t>
            </w:r>
          </w:p>
        </w:tc>
        <w:tc>
          <w:tcPr>
            <w:tcW w:w="2160" w:type="dxa"/>
          </w:tcPr>
          <w:p w14:paraId="4350557F">
            <w:pPr>
              <w:spacing w:after="0" w:line="240" w:lineRule="auto"/>
            </w:pPr>
            <w:r>
              <w:rPr>
                <w:rFonts w:ascii="宋体" w:hAnsi="宋体" w:eastAsia="宋体"/>
                <w:sz w:val="21"/>
              </w:rPr>
              <w:t>**复制者动态+LLM反思**</w:t>
            </w:r>
          </w:p>
        </w:tc>
      </w:tr>
      <w:tr w14:paraId="2A59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26D4FE">
            <w:pPr>
              <w:spacing w:after="0" w:line="240" w:lineRule="auto"/>
            </w:pPr>
            <w:r>
              <w:rPr>
                <w:rFonts w:ascii="宋体" w:hAnsi="宋体" w:eastAsia="宋体"/>
                <w:sz w:val="21"/>
              </w:rPr>
              <w:t>社会模拟</w:t>
            </w:r>
          </w:p>
        </w:tc>
        <w:tc>
          <w:tcPr>
            <w:tcW w:w="2160" w:type="dxa"/>
          </w:tcPr>
          <w:p w14:paraId="288E9D21">
            <w:pPr>
              <w:spacing w:after="0" w:line="240" w:lineRule="auto"/>
            </w:pPr>
            <w:r>
              <w:rPr>
                <w:rFonts w:ascii="宋体" w:hAnsi="宋体" w:eastAsia="宋体"/>
                <w:sz w:val="21"/>
              </w:rPr>
              <w:t>群体极化观察</w:t>
            </w:r>
          </w:p>
        </w:tc>
        <w:tc>
          <w:tcPr>
            <w:tcW w:w="2160" w:type="dxa"/>
          </w:tcPr>
          <w:p w14:paraId="0A53AEE8">
            <w:pPr>
              <w:spacing w:after="0" w:line="240" w:lineRule="auto"/>
            </w:pPr>
            <w:r>
              <w:rPr>
                <w:rFonts w:ascii="宋体" w:hAnsi="宋体" w:eastAsia="宋体"/>
                <w:sz w:val="21"/>
              </w:rPr>
              <w:t>无</w:t>
            </w:r>
          </w:p>
        </w:tc>
        <w:tc>
          <w:tcPr>
            <w:tcW w:w="2160" w:type="dxa"/>
          </w:tcPr>
          <w:p w14:paraId="079583EE">
            <w:pPr>
              <w:spacing w:after="0" w:line="240" w:lineRule="auto"/>
            </w:pPr>
            <w:r>
              <w:rPr>
                <w:rFonts w:ascii="宋体" w:hAnsi="宋体" w:eastAsia="宋体"/>
                <w:sz w:val="21"/>
              </w:rPr>
              <w:t>**演化轨迹+福利分析**</w:t>
            </w:r>
          </w:p>
        </w:tc>
      </w:tr>
      <w:tr w14:paraId="76D6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6A8987">
            <w:pPr>
              <w:spacing w:after="0" w:line="240" w:lineRule="auto"/>
            </w:pPr>
            <w:r>
              <w:rPr>
                <w:rFonts w:ascii="宋体" w:hAnsi="宋体" w:eastAsia="宋体"/>
                <w:sz w:val="21"/>
              </w:rPr>
              <w:t>全流程诉讼</w:t>
            </w:r>
          </w:p>
        </w:tc>
        <w:tc>
          <w:tcPr>
            <w:tcW w:w="2160" w:type="dxa"/>
          </w:tcPr>
          <w:p w14:paraId="17617449">
            <w:pPr>
              <w:spacing w:after="0" w:line="240" w:lineRule="auto"/>
            </w:pPr>
            <w:r>
              <w:rPr>
                <w:rFonts w:ascii="宋体" w:hAnsi="宋体" w:eastAsia="宋体"/>
                <w:sz w:val="21"/>
              </w:rPr>
              <w:t>仅调解</w:t>
            </w:r>
          </w:p>
        </w:tc>
        <w:tc>
          <w:tcPr>
            <w:tcW w:w="2160" w:type="dxa"/>
          </w:tcPr>
          <w:p w14:paraId="54173257">
            <w:pPr>
              <w:spacing w:after="0" w:line="240" w:lineRule="auto"/>
            </w:pPr>
            <w:r>
              <w:rPr>
                <w:rFonts w:ascii="宋体" w:hAnsi="宋体" w:eastAsia="宋体"/>
                <w:sz w:val="21"/>
              </w:rPr>
              <w:t>独立环境</w:t>
            </w:r>
          </w:p>
        </w:tc>
        <w:tc>
          <w:tcPr>
            <w:tcW w:w="2160" w:type="dxa"/>
          </w:tcPr>
          <w:p w14:paraId="2C369CB6">
            <w:pPr>
              <w:spacing w:after="0" w:line="240" w:lineRule="auto"/>
            </w:pPr>
            <w:r>
              <w:rPr>
                <w:rFonts w:ascii="宋体" w:hAnsi="宋体" w:eastAsia="宋体"/>
                <w:sz w:val="21"/>
              </w:rPr>
              <w:t>**CD→DD→CI**</w:t>
            </w:r>
          </w:p>
        </w:tc>
      </w:tr>
      <w:tr w14:paraId="53A8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57BB22">
            <w:pPr>
              <w:spacing w:after="0" w:line="240" w:lineRule="auto"/>
            </w:pPr>
            <w:r>
              <w:rPr>
                <w:rFonts w:ascii="宋体" w:hAnsi="宋体" w:eastAsia="宋体"/>
                <w:sz w:val="21"/>
              </w:rPr>
              <w:t>检索/推理增强</w:t>
            </w:r>
          </w:p>
        </w:tc>
        <w:tc>
          <w:tcPr>
            <w:tcW w:w="2160" w:type="dxa"/>
          </w:tcPr>
          <w:p w14:paraId="7E467C24">
            <w:pPr>
              <w:spacing w:after="0" w:line="240" w:lineRule="auto"/>
            </w:pPr>
            <w:r>
              <w:rPr>
                <w:rFonts w:ascii="宋体" w:hAnsi="宋体" w:eastAsia="宋体"/>
                <w:sz w:val="21"/>
              </w:rPr>
              <w:t>无</w:t>
            </w:r>
          </w:p>
        </w:tc>
        <w:tc>
          <w:tcPr>
            <w:tcW w:w="2160" w:type="dxa"/>
          </w:tcPr>
          <w:p w14:paraId="069E364E">
            <w:pPr>
              <w:spacing w:after="0" w:line="240" w:lineRule="auto"/>
            </w:pPr>
            <w:r>
              <w:rPr>
                <w:rFonts w:ascii="宋体" w:hAnsi="宋体" w:eastAsia="宋体"/>
                <w:sz w:val="21"/>
              </w:rPr>
              <w:t>无</w:t>
            </w:r>
          </w:p>
        </w:tc>
        <w:tc>
          <w:tcPr>
            <w:tcW w:w="2160" w:type="dxa"/>
          </w:tcPr>
          <w:p w14:paraId="00385520">
            <w:pPr>
              <w:spacing w:after="0" w:line="240" w:lineRule="auto"/>
            </w:pPr>
            <w:r>
              <w:rPr>
                <w:rFonts w:ascii="宋体" w:hAnsi="宋体" w:eastAsia="宋体"/>
                <w:sz w:val="21"/>
              </w:rPr>
              <w:t>**P-RAG + CoT推理**</w:t>
            </w:r>
          </w:p>
        </w:tc>
      </w:tr>
      <w:tr w14:paraId="1DBF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84BA03">
            <w:pPr>
              <w:spacing w:after="0" w:line="240" w:lineRule="auto"/>
            </w:pPr>
            <w:r>
              <w:rPr>
                <w:rFonts w:ascii="宋体" w:hAnsi="宋体" w:eastAsia="宋体"/>
                <w:sz w:val="21"/>
              </w:rPr>
              <w:t>博弈论评测</w:t>
            </w:r>
          </w:p>
        </w:tc>
        <w:tc>
          <w:tcPr>
            <w:tcW w:w="2160" w:type="dxa"/>
          </w:tcPr>
          <w:p w14:paraId="62910083">
            <w:pPr>
              <w:spacing w:after="0" w:line="240" w:lineRule="auto"/>
            </w:pPr>
            <w:r>
              <w:rPr>
                <w:rFonts w:ascii="宋体" w:hAnsi="宋体" w:eastAsia="宋体"/>
                <w:sz w:val="21"/>
              </w:rPr>
              <w:t>4指标</w:t>
            </w:r>
          </w:p>
        </w:tc>
        <w:tc>
          <w:tcPr>
            <w:tcW w:w="2160" w:type="dxa"/>
          </w:tcPr>
          <w:p w14:paraId="2BFE9453">
            <w:pPr>
              <w:spacing w:after="0" w:line="240" w:lineRule="auto"/>
            </w:pPr>
            <w:r>
              <w:rPr>
                <w:rFonts w:ascii="宋体" w:hAnsi="宋体" w:eastAsia="宋体"/>
                <w:sz w:val="21"/>
              </w:rPr>
              <w:t>PFS+JUD</w:t>
            </w:r>
          </w:p>
        </w:tc>
        <w:tc>
          <w:tcPr>
            <w:tcW w:w="2160" w:type="dxa"/>
          </w:tcPr>
          <w:p w14:paraId="3DB635CA">
            <w:pPr>
              <w:spacing w:after="0" w:line="240" w:lineRule="auto"/>
            </w:pPr>
            <w:r>
              <w:rPr>
                <w:rFonts w:ascii="宋体" w:hAnsi="宋体" w:eastAsia="宋体"/>
                <w:sz w:val="21"/>
              </w:rPr>
              <w:t>**SR/ECR/ESS-Score/NBS-Dev**</w:t>
            </w:r>
          </w:p>
        </w:tc>
      </w:tr>
    </w:tbl>
    <w:p w14:paraId="55806C02"/>
    <w:p w14:paraId="396D765E">
      <w:pPr>
        <w:spacing w:after="60"/>
        <w:ind w:firstLine="420"/>
      </w:pPr>
      <w:r>
        <w:rPr>
          <w:rFonts w:ascii="宋体" w:hAnsi="宋体" w:eastAsia="宋体"/>
          <w:b/>
          <w:sz w:val="21"/>
        </w:rPr>
        <w:t>创新点一：微观—中观—宏观三层博弈论框架。</w:t>
      </w:r>
      <w:r>
        <w:rPr>
          <w:rFonts w:ascii="宋体" w:hAnsi="宋体" w:eastAsia="宋体"/>
          <w:sz w:val="21"/>
        </w:rPr>
        <w:t xml:space="preserve"> 据我们所知，本研究首次在LLM多智能体框架下将民事诉讼建模为三层嵌套博弈：微观层扩展式博弈+SPNE、中观层纳什讨价还价解、宏观层复制者动态+ESS。三层相互关联构成理论闭环，是博弈论×LLM交叉研究中象限(2)与(4)的首个系统性融合工作[7]。</w:t>
      </w:r>
    </w:p>
    <w:p w14:paraId="7E0C8BBF">
      <w:pPr>
        <w:spacing w:after="60"/>
        <w:ind w:firstLine="420"/>
      </w:pPr>
      <w:r>
        <w:rPr>
          <w:rFonts w:ascii="宋体" w:hAnsi="宋体" w:eastAsia="宋体"/>
          <w:b/>
          <w:sz w:val="21"/>
        </w:rPr>
        <w:t>创新点二：扩展式博弈视角下的策略跨阶段传导机制。</w:t>
      </w:r>
      <w:r>
        <w:rPr>
          <w:rFonts w:ascii="宋体" w:hAnsi="宋体" w:eastAsia="宋体"/>
          <w:sz w:val="21"/>
        </w:rPr>
        <w:t xml:space="preserve"> 通过将CD→DD→CI建模为博弈树并求解SPNE，据我们所知首次在法律AI领域揭示策略效应的序贯传导——SPNE排除不可信威胁，给出比NE更精确的全流程策略预测。</w:t>
      </w:r>
    </w:p>
    <w:p w14:paraId="17EEE3C7">
      <w:pPr>
        <w:spacing w:after="60"/>
        <w:ind w:firstLine="420"/>
      </w:pPr>
      <w:r>
        <w:rPr>
          <w:rFonts w:ascii="宋体" w:hAnsi="宋体" w:eastAsia="宋体"/>
          <w:b/>
          <w:sz w:val="21"/>
        </w:rPr>
        <w:t>创新点三：演化博弈视角下的LLM智能体群体策略动态验证。</w:t>
      </w:r>
      <w:r>
        <w:rPr>
          <w:rFonts w:ascii="宋体" w:hAnsi="宋体" w:eastAsia="宋体"/>
          <w:sz w:val="21"/>
        </w:rPr>
        <w:t xml:space="preserve"> 据我们所知，首次在群体尺度通过复制者动态方程的</w:t>
      </w:r>
      <w:r>
        <w:rPr>
          <w:rFonts w:ascii="宋体" w:hAnsi="宋体" w:eastAsia="宋体"/>
          <w:b/>
          <w:sz w:val="21"/>
        </w:rPr>
        <w:t>数值模拟</w:t>
      </w:r>
      <w:r>
        <w:rPr>
          <w:rFonts w:ascii="宋体" w:hAnsi="宋体" w:eastAsia="宋体"/>
          <w:sz w:val="21"/>
        </w:rPr>
        <w:t>，验证LLM多智能体系统的策略分布演化轨迹是否</w:t>
      </w:r>
      <w:r>
        <w:rPr>
          <w:rFonts w:ascii="宋体" w:hAnsi="宋体" w:eastAsia="宋体"/>
          <w:b/>
          <w:sz w:val="21"/>
        </w:rPr>
        <w:t>符合</w:t>
      </w:r>
      <w:r>
        <w:rPr>
          <w:rFonts w:ascii="宋体" w:hAnsi="宋体" w:eastAsia="宋体"/>
          <w:sz w:val="21"/>
        </w:rPr>
        <w:t>演化博弈论的理论预测（ESS收敛、入侵壁垒等），回答"LLM智能体的群体策略动态是否与经典演化博弈模型一致"。需要说明的是，本研究中的"演化"是指基于复制者动态方程的数学模拟过程，策略比例更新由显式公式驱动，而非LLM智能体在无约束交互中自发涌现的宏观模式。</w:t>
      </w:r>
    </w:p>
    <w:p w14:paraId="17E06672">
      <w:pPr>
        <w:spacing w:before="60" w:after="60"/>
      </w:pPr>
      <w:r>
        <w:rPr>
          <w:rFonts w:ascii="黑体" w:hAnsi="黑体" w:eastAsia="黑体"/>
          <w:b/>
          <w:sz w:val="21"/>
        </w:rPr>
        <w:t>6. 研究进度安排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50C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516CED">
            <w:pPr>
              <w:spacing w:after="0" w:line="240" w:lineRule="auto"/>
            </w:pPr>
            <w:r>
              <w:rPr>
                <w:rFonts w:ascii="宋体" w:hAnsi="宋体" w:eastAsia="宋体"/>
                <w:sz w:val="21"/>
              </w:rPr>
              <w:t>阶段</w:t>
            </w:r>
          </w:p>
        </w:tc>
        <w:tc>
          <w:tcPr>
            <w:tcW w:w="2160" w:type="dxa"/>
          </w:tcPr>
          <w:p w14:paraId="688A0A0D">
            <w:pPr>
              <w:spacing w:after="0" w:line="240" w:lineRule="auto"/>
            </w:pPr>
            <w:r>
              <w:rPr>
                <w:rFonts w:ascii="宋体" w:hAnsi="宋体" w:eastAsia="宋体"/>
                <w:sz w:val="21"/>
              </w:rPr>
              <w:t>时间</w:t>
            </w:r>
          </w:p>
        </w:tc>
        <w:tc>
          <w:tcPr>
            <w:tcW w:w="2160" w:type="dxa"/>
          </w:tcPr>
          <w:p w14:paraId="7639E120">
            <w:pPr>
              <w:spacing w:after="0" w:line="240" w:lineRule="auto"/>
            </w:pPr>
            <w:r>
              <w:rPr>
                <w:rFonts w:ascii="宋体" w:hAnsi="宋体" w:eastAsia="宋体"/>
                <w:sz w:val="21"/>
              </w:rPr>
              <w:t>工作内容</w:t>
            </w:r>
          </w:p>
        </w:tc>
        <w:tc>
          <w:tcPr>
            <w:tcW w:w="2160" w:type="dxa"/>
          </w:tcPr>
          <w:p w14:paraId="390E5031">
            <w:pPr>
              <w:spacing w:after="0" w:line="240" w:lineRule="auto"/>
            </w:pPr>
            <w:r>
              <w:rPr>
                <w:rFonts w:ascii="宋体" w:hAnsi="宋体" w:eastAsia="宋体"/>
                <w:sz w:val="21"/>
              </w:rPr>
              <w:t>预期成果</w:t>
            </w:r>
          </w:p>
        </w:tc>
      </w:tr>
      <w:tr w14:paraId="167B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A70FE8">
            <w:pPr>
              <w:spacing w:after="0" w:line="240" w:lineRule="auto"/>
            </w:pPr>
            <w:r>
              <w:rPr>
                <w:rFonts w:ascii="宋体" w:hAnsi="宋体" w:eastAsia="宋体"/>
                <w:sz w:val="21"/>
              </w:rPr>
              <w:t>一</w:t>
            </w:r>
          </w:p>
        </w:tc>
        <w:tc>
          <w:tcPr>
            <w:tcW w:w="2160" w:type="dxa"/>
          </w:tcPr>
          <w:p w14:paraId="68136C6C">
            <w:pPr>
              <w:spacing w:after="0" w:line="240" w:lineRule="auto"/>
            </w:pPr>
            <w:r>
              <w:rPr>
                <w:rFonts w:ascii="宋体" w:hAnsi="宋体" w:eastAsia="宋体"/>
                <w:sz w:val="21"/>
              </w:rPr>
              <w:t>第1-2月</w:t>
            </w:r>
          </w:p>
        </w:tc>
        <w:tc>
          <w:tcPr>
            <w:tcW w:w="2160" w:type="dxa"/>
          </w:tcPr>
          <w:p w14:paraId="0B0CC371">
            <w:pPr>
              <w:spacing w:after="0" w:line="240" w:lineRule="auto"/>
            </w:pPr>
            <w:r>
              <w:rPr>
                <w:rFonts w:ascii="宋体" w:hAnsi="宋体" w:eastAsia="宋体"/>
                <w:sz w:val="21"/>
              </w:rPr>
              <w:t>完善三层博弈论框架（优化扩展式博弈的SPNE求解、演化动力学的双方不对称建模、讨价还价的可行集构建），开发博弈论评测指标，修复数据集质量问题</w:t>
            </w:r>
          </w:p>
        </w:tc>
        <w:tc>
          <w:tcPr>
            <w:tcW w:w="2160" w:type="dxa"/>
          </w:tcPr>
          <w:p w14:paraId="790C5778">
            <w:pPr>
              <w:spacing w:after="0" w:line="240" w:lineRule="auto"/>
            </w:pPr>
            <w:r>
              <w:rPr>
                <w:rFonts w:ascii="宋体" w:hAnsi="宋体" w:eastAsia="宋体"/>
                <w:sz w:val="21"/>
              </w:rPr>
              <w:t>博弈引擎v2.0+数据集v1.1</w:t>
            </w:r>
          </w:p>
        </w:tc>
      </w:tr>
      <w:tr w14:paraId="612A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68AF36">
            <w:pPr>
              <w:spacing w:after="0" w:line="240" w:lineRule="auto"/>
            </w:pPr>
            <w:r>
              <w:rPr>
                <w:rFonts w:ascii="宋体" w:hAnsi="宋体" w:eastAsia="宋体"/>
                <w:sz w:val="21"/>
              </w:rPr>
              <w:t>二</w:t>
            </w:r>
          </w:p>
        </w:tc>
        <w:tc>
          <w:tcPr>
            <w:tcW w:w="2160" w:type="dxa"/>
          </w:tcPr>
          <w:p w14:paraId="2218727C">
            <w:pPr>
              <w:spacing w:after="0" w:line="240" w:lineRule="auto"/>
            </w:pPr>
            <w:r>
              <w:rPr>
                <w:rFonts w:ascii="宋体" w:hAnsi="宋体" w:eastAsia="宋体"/>
                <w:sz w:val="21"/>
              </w:rPr>
              <w:t>第3-4月</w:t>
            </w:r>
          </w:p>
        </w:tc>
        <w:tc>
          <w:tcPr>
            <w:tcW w:w="2160" w:type="dxa"/>
          </w:tcPr>
          <w:p w14:paraId="1FFC8FE0">
            <w:pPr>
              <w:spacing w:after="0" w:line="240" w:lineRule="auto"/>
            </w:pPr>
            <w:r>
              <w:rPr>
                <w:rFonts w:ascii="宋体" w:hAnsi="宋体" w:eastAsia="宋体"/>
                <w:sz w:val="21"/>
              </w:rPr>
              <w:t>数据集扩充至2000条并引入人工校验，完善P-RAG集成与端到端管道联调</w:t>
            </w:r>
          </w:p>
        </w:tc>
        <w:tc>
          <w:tcPr>
            <w:tcW w:w="2160" w:type="dxa"/>
          </w:tcPr>
          <w:p w14:paraId="644B22AA">
            <w:pPr>
              <w:spacing w:after="0" w:line="240" w:lineRule="auto"/>
            </w:pPr>
            <w:r>
              <w:rPr>
                <w:rFonts w:ascii="宋体" w:hAnsi="宋体" w:eastAsia="宋体"/>
                <w:sz w:val="21"/>
              </w:rPr>
              <w:t>扩展数据集+评测框架</w:t>
            </w:r>
          </w:p>
        </w:tc>
      </w:tr>
      <w:tr w14:paraId="597F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82003B">
            <w:pPr>
              <w:spacing w:after="0" w:line="240" w:lineRule="auto"/>
            </w:pPr>
            <w:r>
              <w:rPr>
                <w:rFonts w:ascii="宋体" w:hAnsi="宋体" w:eastAsia="宋体"/>
                <w:sz w:val="21"/>
              </w:rPr>
              <w:t>三</w:t>
            </w:r>
          </w:p>
        </w:tc>
        <w:tc>
          <w:tcPr>
            <w:tcW w:w="2160" w:type="dxa"/>
          </w:tcPr>
          <w:p w14:paraId="43C75948">
            <w:pPr>
              <w:spacing w:after="0" w:line="240" w:lineRule="auto"/>
            </w:pPr>
            <w:r>
              <w:rPr>
                <w:rFonts w:ascii="宋体" w:hAnsi="宋体" w:eastAsia="宋体"/>
                <w:sz w:val="21"/>
              </w:rPr>
              <w:t>第5-7月</w:t>
            </w:r>
          </w:p>
        </w:tc>
        <w:tc>
          <w:tcPr>
            <w:tcW w:w="2160" w:type="dxa"/>
          </w:tcPr>
          <w:p w14:paraId="75D48E6D">
            <w:pPr>
              <w:spacing w:after="0" w:line="240" w:lineRule="auto"/>
            </w:pPr>
            <w:r>
              <w:rPr>
                <w:rFonts w:ascii="宋体" w:hAnsi="宋体" w:eastAsia="宋体"/>
                <w:sz w:val="21"/>
              </w:rPr>
              <w:t>在测试集上运行5组正式对照实验（3组博弈论+1组工程消融+1组综合评测），获取真实评测数据</w:t>
            </w:r>
          </w:p>
        </w:tc>
        <w:tc>
          <w:tcPr>
            <w:tcW w:w="2160" w:type="dxa"/>
          </w:tcPr>
          <w:p w14:paraId="5F589CFE">
            <w:pPr>
              <w:spacing w:after="0" w:line="240" w:lineRule="auto"/>
            </w:pPr>
            <w:r>
              <w:rPr>
                <w:rFonts w:ascii="宋体" w:hAnsi="宋体" w:eastAsia="宋体"/>
                <w:sz w:val="21"/>
              </w:rPr>
              <w:t>完整实验数据</w:t>
            </w:r>
          </w:p>
        </w:tc>
      </w:tr>
      <w:tr w14:paraId="2B85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C225AA">
            <w:pPr>
              <w:spacing w:after="0" w:line="240" w:lineRule="auto"/>
            </w:pPr>
            <w:r>
              <w:rPr>
                <w:rFonts w:ascii="宋体" w:hAnsi="宋体" w:eastAsia="宋体"/>
                <w:sz w:val="21"/>
              </w:rPr>
              <w:t>四</w:t>
            </w:r>
          </w:p>
        </w:tc>
        <w:tc>
          <w:tcPr>
            <w:tcW w:w="2160" w:type="dxa"/>
          </w:tcPr>
          <w:p w14:paraId="69B0BE92">
            <w:pPr>
              <w:spacing w:after="0" w:line="240" w:lineRule="auto"/>
            </w:pPr>
            <w:r>
              <w:rPr>
                <w:rFonts w:ascii="宋体" w:hAnsi="宋体" w:eastAsia="宋体"/>
                <w:sz w:val="21"/>
              </w:rPr>
              <w:t>第8-9月</w:t>
            </w:r>
          </w:p>
        </w:tc>
        <w:tc>
          <w:tcPr>
            <w:tcW w:w="2160" w:type="dxa"/>
          </w:tcPr>
          <w:p w14:paraId="0A5F91E2">
            <w:pPr>
              <w:spacing w:after="0" w:line="240" w:lineRule="auto"/>
            </w:pPr>
            <w:r>
              <w:rPr>
                <w:rFonts w:ascii="宋体" w:hAnsi="宋体" w:eastAsia="宋体"/>
                <w:sz w:val="21"/>
              </w:rPr>
              <w:t>SPNE/ESS/NBS理论分析与社会模拟结果凝练</w:t>
            </w:r>
          </w:p>
        </w:tc>
        <w:tc>
          <w:tcPr>
            <w:tcW w:w="2160" w:type="dxa"/>
          </w:tcPr>
          <w:p w14:paraId="363C3016">
            <w:pPr>
              <w:spacing w:after="0" w:line="240" w:lineRule="auto"/>
            </w:pPr>
            <w:r>
              <w:rPr>
                <w:rFonts w:ascii="宋体" w:hAnsi="宋体" w:eastAsia="宋体"/>
                <w:sz w:val="21"/>
              </w:rPr>
              <w:t>理论报告</w:t>
            </w:r>
          </w:p>
        </w:tc>
      </w:tr>
      <w:tr w14:paraId="09B6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D0675B">
            <w:pPr>
              <w:spacing w:after="0" w:line="240" w:lineRule="auto"/>
            </w:pPr>
            <w:r>
              <w:rPr>
                <w:rFonts w:ascii="宋体" w:hAnsi="宋体" w:eastAsia="宋体"/>
                <w:sz w:val="21"/>
              </w:rPr>
              <w:t>五</w:t>
            </w:r>
          </w:p>
        </w:tc>
        <w:tc>
          <w:tcPr>
            <w:tcW w:w="2160" w:type="dxa"/>
          </w:tcPr>
          <w:p w14:paraId="19B432F4">
            <w:pPr>
              <w:spacing w:after="0" w:line="240" w:lineRule="auto"/>
            </w:pPr>
            <w:r>
              <w:rPr>
                <w:rFonts w:ascii="宋体" w:hAnsi="宋体" w:eastAsia="宋体"/>
                <w:sz w:val="21"/>
              </w:rPr>
              <w:t>第10-11月</w:t>
            </w:r>
          </w:p>
        </w:tc>
        <w:tc>
          <w:tcPr>
            <w:tcW w:w="2160" w:type="dxa"/>
          </w:tcPr>
          <w:p w14:paraId="313FB619">
            <w:pPr>
              <w:spacing w:after="0" w:line="240" w:lineRule="auto"/>
            </w:pPr>
            <w:r>
              <w:rPr>
                <w:rFonts w:ascii="宋体" w:hAnsi="宋体" w:eastAsia="宋体"/>
                <w:sz w:val="21"/>
              </w:rPr>
              <w:t>论文撰写与投稿</w:t>
            </w:r>
          </w:p>
        </w:tc>
        <w:tc>
          <w:tcPr>
            <w:tcW w:w="2160" w:type="dxa"/>
          </w:tcPr>
          <w:p w14:paraId="1AB7022C">
            <w:pPr>
              <w:spacing w:after="0" w:line="240" w:lineRule="auto"/>
            </w:pPr>
            <w:r>
              <w:rPr>
                <w:rFonts w:ascii="宋体" w:hAnsi="宋体" w:eastAsia="宋体"/>
                <w:sz w:val="21"/>
              </w:rPr>
              <w:t>论文初稿</w:t>
            </w:r>
          </w:p>
        </w:tc>
      </w:tr>
      <w:tr w14:paraId="63F1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80B8DD">
            <w:pPr>
              <w:spacing w:after="0" w:line="240" w:lineRule="auto"/>
            </w:pPr>
            <w:r>
              <w:rPr>
                <w:rFonts w:ascii="宋体" w:hAnsi="宋体" w:eastAsia="宋体"/>
                <w:sz w:val="21"/>
              </w:rPr>
              <w:t>六</w:t>
            </w:r>
          </w:p>
        </w:tc>
        <w:tc>
          <w:tcPr>
            <w:tcW w:w="2160" w:type="dxa"/>
          </w:tcPr>
          <w:p w14:paraId="45B8F790">
            <w:pPr>
              <w:spacing w:after="0" w:line="240" w:lineRule="auto"/>
            </w:pPr>
            <w:r>
              <w:rPr>
                <w:rFonts w:ascii="宋体" w:hAnsi="宋体" w:eastAsia="宋体"/>
                <w:sz w:val="21"/>
              </w:rPr>
              <w:t>第12月</w:t>
            </w:r>
          </w:p>
        </w:tc>
        <w:tc>
          <w:tcPr>
            <w:tcW w:w="2160" w:type="dxa"/>
          </w:tcPr>
          <w:p w14:paraId="578A3E93">
            <w:pPr>
              <w:spacing w:after="0" w:line="240" w:lineRule="auto"/>
            </w:pPr>
            <w:r>
              <w:rPr>
                <w:rFonts w:ascii="宋体" w:hAnsi="宋体" w:eastAsia="宋体"/>
                <w:sz w:val="21"/>
              </w:rPr>
              <w:t>结题汇报</w:t>
            </w:r>
          </w:p>
        </w:tc>
        <w:tc>
          <w:tcPr>
            <w:tcW w:w="2160" w:type="dxa"/>
          </w:tcPr>
          <w:p w14:paraId="584F7F08">
            <w:pPr>
              <w:spacing w:after="0" w:line="240" w:lineRule="auto"/>
            </w:pPr>
            <w:r>
              <w:rPr>
                <w:rFonts w:ascii="宋体" w:hAnsi="宋体" w:eastAsia="宋体"/>
                <w:sz w:val="21"/>
              </w:rPr>
              <w:t>结题报告</w:t>
            </w:r>
          </w:p>
        </w:tc>
      </w:tr>
    </w:tbl>
    <w:p w14:paraId="212D6297"/>
    <w:p w14:paraId="216E75F3">
      <w:pPr>
        <w:spacing w:before="60" w:after="60"/>
      </w:pPr>
      <w:r>
        <w:rPr>
          <w:rFonts w:ascii="黑体" w:hAnsi="黑体" w:eastAsia="黑体"/>
          <w:b/>
          <w:sz w:val="21"/>
        </w:rPr>
        <w:t>7. 可行性分析</w:t>
      </w:r>
    </w:p>
    <w:p w14:paraId="6816189D">
      <w:pPr>
        <w:spacing w:after="60"/>
        <w:ind w:firstLine="420"/>
      </w:pPr>
      <w:r>
        <w:rPr>
          <w:rFonts w:ascii="宋体" w:hAnsi="宋体" w:eastAsia="宋体"/>
          <w:b/>
          <w:sz w:val="21"/>
        </w:rPr>
        <w:t>技术可行性。</w:t>
      </w:r>
      <w:r>
        <w:rPr>
          <w:rFonts w:ascii="宋体" w:hAnsi="宋体" w:eastAsia="宋体"/>
          <w:sz w:val="21"/>
        </w:rPr>
        <w:t xml:space="preserve"> 系统核心模块已全部开发完成（28个功能Python模块/65个FastAPI端点），支持多模型运行时切换，法条检索索引已构建就绪。</w:t>
      </w:r>
      <w:r>
        <w:rPr>
          <w:rFonts w:ascii="宋体" w:hAnsi="宋体" w:eastAsia="宋体"/>
          <w:b/>
          <w:sz w:val="21"/>
        </w:rPr>
        <w:t>数据可行性。</w:t>
      </w:r>
      <w:r>
        <w:rPr>
          <w:rFonts w:ascii="宋体" w:hAnsi="宋体" w:eastAsia="宋体"/>
          <w:sz w:val="21"/>
        </w:rPr>
        <w:t xml:space="preserve"> LegalFlow-1K数据集已构建完成，源自ClaimGen-CN[13]真实判决书，其中CD场景数据直接来源于真实判决书，DD/CI场景数据基于规则引擎生成多角色对抗结构化衍生字段，后续阶段将结合人工校验进一步提升质量。</w:t>
      </w:r>
      <w:r>
        <w:rPr>
          <w:rFonts w:ascii="宋体" w:hAnsi="宋体" w:eastAsia="宋体"/>
          <w:b/>
          <w:sz w:val="21"/>
        </w:rPr>
        <w:t>风险控制。</w:t>
      </w:r>
      <w:r>
        <w:rPr>
          <w:rFonts w:ascii="宋体" w:hAnsi="宋体" w:eastAsia="宋体"/>
          <w:sz w:val="21"/>
        </w:rPr>
        <w:t xml:space="preserve"> LLM API多供应商切换、先验收益矩阵减少冷启动成本、</w:t>
      </w:r>
      <w:r>
        <w:rPr>
          <w:rFonts w:ascii="宋体" w:hAnsi="宋体" w:eastAsia="宋体"/>
          <w:b/>
          <w:sz w:val="21"/>
        </w:rPr>
        <w:t>评分循环自证风险控制</w:t>
      </w:r>
      <w:r>
        <w:rPr>
          <w:rFonts w:ascii="宋体" w:hAnsi="宋体" w:eastAsia="宋体"/>
          <w:sz w:val="21"/>
        </w:rPr>
        <w:t>：本研究采用"LLM-as-a-judge + 规则指标双路校验"机制——关键因变量（原告胜率、法条召回率、程序合规分）均设有基于ground truth或确定性规则的独立校验指标（诉请支持率按裁判文书原文计算、法条Recall按标准答案法条集计算、PFS按状态机必经步骤完成比例计算），LLM评分仅用于难以规则化的主观维度（论证流畅度、说理充分性），且设置偏差阈值触发人工复核。</w:t>
      </w:r>
    </w:p>
    <w:p w14:paraId="76B957D2">
      <w:pPr>
        <w:spacing w:after="60"/>
        <w:ind w:firstLine="420"/>
      </w:pPr>
      <w:r>
        <w:rPr>
          <w:rFonts w:ascii="宋体" w:hAnsi="宋体" w:eastAsia="宋体"/>
          <w:b/>
          <w:sz w:val="21"/>
        </w:rPr>
        <w:t>局限性与伦理声明。</w:t>
      </w:r>
      <w:r>
        <w:rPr>
          <w:rFonts w:ascii="宋体" w:hAnsi="宋体" w:eastAsia="宋体"/>
          <w:sz w:val="21"/>
        </w:rPr>
        <w:t xml:space="preserve"> 本研究存在以下局限性：（1）博弈建模采用完美信息假设作为一阶近似，真实诉讼中当事人存在私有信息，后续可扩展至贝叶斯博弈框架；（2）收益函数中的权重系数（公式6、7）基于经验设定，后续将通过灵敏度分析验证其鲁棒性；（3）LLM评分作为博弈收益的量化手段存在一致性波动，系统通过多次采样求均值和规则指标双路校验来缓解。伦理方面：ClaimGen-CN数据源自中国裁判文书网公开判决书，不涉及非公开个人信息；系统生成的判决仅用于学术研究和法学教育模拟，不构成法律意见，系统界面将明确标注"仅供研究参考"免责声明。</w:t>
      </w:r>
    </w:p>
    <w:p w14:paraId="7B61891B">
      <w:pPr>
        <w:spacing w:before="120" w:after="120"/>
      </w:pPr>
      <w:r>
        <w:rPr>
          <w:rFonts w:ascii="黑体" w:hAnsi="黑体" w:eastAsia="黑体"/>
          <w:b/>
          <w:sz w:val="21"/>
        </w:rPr>
        <w:t>（四）预期结果</w:t>
      </w:r>
    </w:p>
    <w:p w14:paraId="3B45A428">
      <w:pPr>
        <w:spacing w:after="60"/>
        <w:ind w:firstLine="420"/>
      </w:pPr>
      <w:r>
        <w:rPr>
          <w:rFonts w:ascii="宋体" w:hAnsi="宋体" w:eastAsia="宋体"/>
          <w:b/>
          <w:sz w:val="21"/>
        </w:rPr>
        <w:t>系统成果</w:t>
      </w:r>
      <w:r>
        <w:rPr>
          <w:rFonts w:ascii="宋体" w:hAnsi="宋体" w:eastAsia="宋体"/>
          <w:sz w:val="21"/>
        </w:rPr>
        <w:t>：开源LegalFlow系统（含三层博弈论引擎/28功能模块/65个FastAPI端点），融合博弈论的综合法律AI评测框架。</w:t>
      </w:r>
      <w:r>
        <w:rPr>
          <w:rFonts w:ascii="宋体" w:hAnsi="宋体" w:eastAsia="宋体"/>
          <w:b/>
          <w:sz w:val="21"/>
        </w:rPr>
        <w:t>理论成果</w:t>
      </w:r>
      <w:r>
        <w:rPr>
          <w:rFonts w:ascii="宋体" w:hAnsi="宋体" w:eastAsia="宋体"/>
          <w:sz w:val="21"/>
        </w:rPr>
        <w:t>：（1）验证SPNE与NE的策略预测差异及序贯建模必要性；（2）验证LLM智能体群体演化与ESS理论的一致性；（3）论证NBS作为调解公平参考点的有效性。综合评测预期效果如图8所示：</w:t>
      </w:r>
    </w:p>
    <w:p w14:paraId="2368DE1A">
      <w:r>
        <w:drawing>
          <wp:inline distT="0" distB="0" distL="114300" distR="114300">
            <wp:extent cx="5039995" cy="210121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2101321"/>
                    </a:xfrm>
                    <a:prstGeom prst="rect">
                      <a:avLst/>
                    </a:prstGeom>
                  </pic:spPr>
                </pic:pic>
              </a:graphicData>
            </a:graphic>
          </wp:inline>
        </w:drawing>
      </w:r>
    </w:p>
    <w:p w14:paraId="65CCB07A"/>
    <w:p w14:paraId="0060EE28">
      <w:pPr>
        <w:spacing w:after="60"/>
        <w:ind w:firstLine="420"/>
      </w:pPr>
      <w:r>
        <w:rPr>
          <w:rFonts w:ascii="宋体" w:hAnsi="宋体" w:eastAsia="宋体"/>
          <w:b/>
          <w:sz w:val="21"/>
        </w:rPr>
        <w:t>图8 (a)LexEval六层认知能力雷达图——推理层提升最显著(5.2→7.8) (b)法律推理渐进基准——L5反事实推理从18%提升至42%</w:t>
      </w:r>
    </w:p>
    <w:p w14:paraId="228B9B08">
      <w:pPr>
        <w:spacing w:after="60"/>
        <w:ind w:firstLine="420"/>
      </w:pPr>
      <w:r>
        <w:rPr>
          <w:rFonts w:ascii="宋体" w:hAnsi="宋体" w:eastAsia="宋体"/>
          <w:b/>
          <w:sz w:val="21"/>
        </w:rPr>
        <w:t>数据成果</w:t>
      </w:r>
      <w:r>
        <w:rPr>
          <w:rFonts w:ascii="宋体" w:hAnsi="宋体" w:eastAsia="宋体"/>
          <w:sz w:val="21"/>
        </w:rPr>
        <w:t>：1000-2000条民事判决书三场景标准化数据集（29种案由）。</w:t>
      </w:r>
      <w:r>
        <w:rPr>
          <w:rFonts w:ascii="宋体" w:hAnsi="宋体" w:eastAsia="宋体"/>
          <w:b/>
          <w:sz w:val="21"/>
        </w:rPr>
        <w:t>学术产出</w:t>
      </w:r>
      <w:r>
        <w:rPr>
          <w:rFonts w:ascii="宋体" w:hAnsi="宋体" w:eastAsia="宋体"/>
          <w:sz w:val="21"/>
        </w:rPr>
        <w:t>：投稿1篇论文（ACL/EMNLP/AAAI），定位为"博弈论×LLM多智能体×法律AI"的交叉研究。</w:t>
      </w:r>
      <w:r>
        <w:rPr>
          <w:rFonts w:ascii="宋体" w:hAnsi="宋体" w:eastAsia="宋体"/>
          <w:b/>
          <w:sz w:val="21"/>
        </w:rPr>
        <w:t>经费预算</w:t>
      </w:r>
      <w:r>
        <w:rPr>
          <w:rFonts w:ascii="宋体" w:hAnsi="宋体" w:eastAsia="宋体"/>
          <w:sz w:val="21"/>
        </w:rPr>
        <w:t>：LLM API调用费2.5万元（其中核心实验约1.75万元、模型对比与调试约0.75万元，基于DeepSeek-V3约¥1/百万token、GPT-4o约¥60/百万token估算，预计总消耗约5亿token）、云计算资源1.2万元（用于本地嵌入模型部署与FAISS索引构建）、数据与工具0.5万元、学术交流0.8万元，合计5.0万元。</w:t>
      </w:r>
    </w:p>
    <w:p w14:paraId="6E4F232C">
      <w:pPr>
        <w:spacing w:before="120" w:after="120"/>
      </w:pPr>
      <w:r>
        <w:rPr>
          <w:rFonts w:ascii="黑体" w:hAnsi="黑体" w:eastAsia="黑体"/>
          <w:b/>
          <w:sz w:val="21"/>
        </w:rPr>
        <w:t>参考文献</w:t>
      </w:r>
    </w:p>
    <w:p w14:paraId="50A934DD">
      <w:pPr>
        <w:spacing w:after="60"/>
        <w:ind w:firstLine="420"/>
      </w:pPr>
      <w:r>
        <w:rPr>
          <w:rFonts w:ascii="宋体" w:hAnsi="宋体" w:eastAsia="宋体"/>
          <w:b/>
          <w:sz w:val="21"/>
        </w:rPr>
        <w:t>注：</w:t>
      </w:r>
      <w:r>
        <w:rPr>
          <w:rFonts w:ascii="宋体" w:hAnsi="宋体" w:eastAsia="宋体"/>
          <w:sz w:val="21"/>
        </w:rPr>
        <w:t xml:space="preserve"> 标注"arXiv"的文献为预印本，尚未经过同行评审。本研究引用这些工作时侧重其方法论启发和实验设计参考，核心理论基础（博弈论部分）均基于经典期刊发表论文[8][9][11][12]。</w:t>
      </w:r>
    </w:p>
    <w:p w14:paraId="635263FA">
      <w:pPr>
        <w:spacing w:after="60"/>
      </w:pPr>
      <w:r>
        <w:rPr>
          <w:rFonts w:ascii="宋体" w:hAnsi="宋体" w:eastAsia="宋体"/>
          <w:sz w:val="21"/>
        </w:rPr>
        <w:t>[1] 最高人民法院.  最高人民法院工作报告. 2026.</w:t>
      </w:r>
    </w:p>
    <w:p w14:paraId="367F2896">
      <w:pPr>
        <w:spacing w:after="60"/>
      </w:pPr>
      <w:r>
        <w:rPr>
          <w:rFonts w:ascii="宋体" w:hAnsi="宋体" w:eastAsia="宋体"/>
          <w:sz w:val="21"/>
        </w:rPr>
        <w:t>[2] 最高人民法院. 人民法院第六个五年改革纲要（2024—2028年）. 2024.</w:t>
      </w:r>
    </w:p>
    <w:p w14:paraId="3F2869BF">
      <w:pPr>
        <w:spacing w:after="60"/>
      </w:pPr>
      <w:r>
        <w:rPr>
          <w:rFonts w:ascii="宋体" w:hAnsi="宋体" w:eastAsia="宋体"/>
          <w:sz w:val="21"/>
        </w:rPr>
        <w:t>[3] Yu Y, Hu Y, et al. Evaluating Test-Time Scaling LLMs for Legal Reasoning: OpenAI o1, DeepSeek-R1, and Beyond. Findings of EMNLP 2025, arXiv:2503.16040, 2025.</w:t>
      </w:r>
    </w:p>
    <w:p w14:paraId="599DDD83">
      <w:pPr>
        <w:spacing w:after="60"/>
      </w:pPr>
      <w:r>
        <w:rPr>
          <w:rFonts w:ascii="宋体" w:hAnsi="宋体" w:eastAsia="宋体"/>
          <w:sz w:val="21"/>
        </w:rPr>
        <w:t>[4] Jia Z, Yue S, Chen W, et al. Ready Jurist One: Benchmarking Language Agents for Legal Intelligence in Dynamic Environments. arXiv:2507.04037, 2025.</w:t>
      </w:r>
    </w:p>
    <w:p w14:paraId="7C2F296F">
      <w:pPr>
        <w:spacing w:after="60"/>
      </w:pPr>
      <w:r>
        <w:rPr>
          <w:rFonts w:ascii="宋体" w:hAnsi="宋体" w:eastAsia="宋体"/>
          <w:sz w:val="21"/>
        </w:rPr>
        <w:t>[5] Thomas K W. Thomas-Kilmann Conflict Mode Instrument. TKI Profile and Interpretive Report, 2008.</w:t>
      </w:r>
    </w:p>
    <w:p w14:paraId="39E2EDEA">
      <w:pPr>
        <w:spacing w:after="60"/>
      </w:pPr>
      <w:r>
        <w:rPr>
          <w:rFonts w:ascii="宋体" w:hAnsi="宋体" w:eastAsia="宋体"/>
          <w:sz w:val="21"/>
        </w:rPr>
        <w:t>[6] Chen J, Li H, Qin M, et al. Simulating Dispute Mediation with LLM-Based Agents for Legal Research. Proceedings of AAAI 2026, arXiv:2509.06586, 2025.</w:t>
      </w:r>
    </w:p>
    <w:p w14:paraId="3E6B4625">
      <w:pPr>
        <w:spacing w:after="60"/>
      </w:pPr>
      <w:r>
        <w:rPr>
          <w:rFonts w:ascii="宋体" w:hAnsi="宋体" w:eastAsia="宋体"/>
          <w:sz w:val="21"/>
        </w:rPr>
        <w:t>[7] Sun H, Wu Y, Wang P, et al. Game Theory Meets Large Language Models: A Systematic Survey with Taxonomy and New Frontiers. arXiv:2502.09053, 2025.</w:t>
      </w:r>
    </w:p>
    <w:p w14:paraId="74B77DE3">
      <w:pPr>
        <w:spacing w:after="60"/>
      </w:pPr>
      <w:r>
        <w:rPr>
          <w:rFonts w:ascii="宋体" w:hAnsi="宋体" w:eastAsia="宋体"/>
          <w:sz w:val="21"/>
        </w:rPr>
        <w:t>[8] Maynard Smith J, Price G R. The Logic of Animal Conflict. Nature, 1973, 246: 15-18.</w:t>
      </w:r>
    </w:p>
    <w:p w14:paraId="724DFAC8">
      <w:pPr>
        <w:spacing w:after="60"/>
      </w:pPr>
      <w:r>
        <w:rPr>
          <w:rFonts w:ascii="宋体" w:hAnsi="宋体" w:eastAsia="宋体"/>
          <w:sz w:val="21"/>
        </w:rPr>
        <w:t>[9] Rubinstein A. Perfect Equilibrium in a Bargaining Model. Econometrica, 1982, 50(1): 97-109.</w:t>
      </w:r>
    </w:p>
    <w:p w14:paraId="471EA9F2">
      <w:pPr>
        <w:spacing w:after="60"/>
      </w:pPr>
      <w:r>
        <w:rPr>
          <w:rFonts w:ascii="宋体" w:hAnsi="宋体" w:eastAsia="宋体"/>
          <w:sz w:val="21"/>
        </w:rPr>
        <w:t>[10] Li H, Chen Y, Ai Q, et al. LexEval: A Comprehensive Chinese Legal Benchmark for Evaluating Large Language Models. Proceedings of NeurIPS 2024 Datasets and Benchmarks Track, 2024.</w:t>
      </w:r>
    </w:p>
    <w:p w14:paraId="13217FFA">
      <w:pPr>
        <w:spacing w:after="60"/>
      </w:pPr>
      <w:r>
        <w:rPr>
          <w:rFonts w:ascii="宋体" w:hAnsi="宋体" w:eastAsia="宋体"/>
          <w:sz w:val="21"/>
        </w:rPr>
        <w:t>[11] Selten R. Reexamination of the Perfectness Concept for Equilibrium Points in Extensive Games. International Journal of Game Theory, 1975, 4(1): 25-55.</w:t>
      </w:r>
    </w:p>
    <w:p w14:paraId="61087FDD">
      <w:pPr>
        <w:spacing w:after="60"/>
      </w:pPr>
      <w:r>
        <w:rPr>
          <w:rFonts w:ascii="宋体" w:hAnsi="宋体" w:eastAsia="宋体"/>
          <w:sz w:val="21"/>
        </w:rPr>
        <w:t>[12] Nash J F. The Bargaining Problem. Econometrica, 1950, 18(2): 155-162.</w:t>
      </w:r>
    </w:p>
    <w:p w14:paraId="08D6739C">
      <w:pPr>
        <w:spacing w:after="60"/>
      </w:pPr>
      <w:r>
        <w:rPr>
          <w:rFonts w:ascii="宋体" w:hAnsi="宋体" w:eastAsia="宋体"/>
          <w:sz w:val="21"/>
        </w:rPr>
        <w:t>[13] Zhou S, Wu Y, Chen H, et al. ClaimGen-CN: A Large-scale Chinese Dataset for Legal Claim Generation. Findings of EMNLP 2025, 2025.</w:t>
      </w:r>
    </w:p>
    <w:p w14:paraId="299A3FD3">
      <w:pPr>
        <w:spacing w:after="60"/>
      </w:pPr>
      <w:r>
        <w:rPr>
          <w:rFonts w:ascii="宋体" w:hAnsi="宋体" w:eastAsia="宋体"/>
          <w:sz w:val="21"/>
        </w:rPr>
        <w:t>[14] Mangasarian O L. Equilibrium Points of Bimatrix Games. Journal of the Society for Industrial and Applied Mathematics, 1964, 12(4): 778-780.</w:t>
      </w:r>
    </w:p>
    <w:p w14:paraId="3D287CE6">
      <w:pPr>
        <w:spacing w:after="60"/>
      </w:pPr>
      <w:r>
        <w:rPr>
          <w:rFonts w:ascii="宋体" w:hAnsi="宋体" w:eastAsia="宋体"/>
          <w:sz w:val="21"/>
        </w:rPr>
        <w:t>[15] Kelman H C. Compliance, Identification, and Internalization: Three Processes of Attitude Change. Journal of Conflict Resolution, 1958, 2(1): 51-60.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14547C"/>
    <w:rsid w:val="6F4C4F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4669</Words>
  <Characters>5665</Characters>
  <Lines>0</Lines>
  <Paragraphs>0</Paragraphs>
  <TotalTime>62</TotalTime>
  <ScaleCrop>false</ScaleCrop>
  <LinksUpToDate>false</LinksUpToDate>
  <CharactersWithSpaces>5714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张瀚元</cp:lastModifiedBy>
  <dcterms:modified xsi:type="dcterms:W3CDTF">2026-04-14T06:54:49Z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eyJoZGlkIjoiYmVjYzMwZDk0MWI2Y2Q2MmI5YWJhOTA1ZjRjODIyOTIiLCJ1c2VySWQiOiIxNjkxOTYxNzQ2In0=</vt:lpwstr>
  </property>
  <property fmtid="{D5CDD505-2E9C-101B-9397-08002B2CF9AE}" pid="3" name="KSOProductBuildVer">
    <vt:lpwstr>2052-12.1.0.23542</vt:lpwstr>
  </property>
  <property fmtid="{D5CDD505-2E9C-101B-9397-08002B2CF9AE}" pid="4" name="ICV">
    <vt:lpwstr>A953A5F528F14F929E9ACD5BBAAC20D3_12</vt:lpwstr>
  </property>
</Properties>
</file>