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黑体"/>
          <w:b/>
          <w:color w:val="1B2A4A"/>
          <w:sz w:val="28"/>
        </w:rPr>
        <w:t>LexGentium 模拟法庭系统</w:t>
      </w:r>
    </w:p>
    <w:p>
      <w:pPr>
        <w:spacing w:before="240"/>
        <w:jc w:val="center"/>
      </w:pPr>
      <w:r>
        <w:rPr>
          <w:rFonts w:ascii="Calibri" w:hAnsi="Calibri" w:eastAsia="黑体"/>
          <w:b/>
          <w:color w:val="1B2A4A"/>
          <w:sz w:val="44"/>
        </w:rPr>
        <w:t>国际商事仲裁三场景仿真</w:t>
      </w:r>
    </w:p>
    <w:p>
      <w:pPr>
        <w:jc w:val="center"/>
      </w:pPr>
      <w:r>
        <w:rPr>
          <w:rFonts w:ascii="Calibri" w:hAnsi="Calibri" w:eastAsia="黑体"/>
          <w:b/>
          <w:color w:val="8B1E1E"/>
          <w:sz w:val="40"/>
        </w:rPr>
        <w:t>设计专业交付说明书</w:t>
      </w:r>
    </w:p>
    <w:p>
      <w:pPr>
        <w:spacing w:before="200"/>
        <w:jc w:val="center"/>
      </w:pPr>
      <w:r>
        <w:rPr>
          <w:rFonts w:ascii="Calibri" w:hAnsi="Calibri" w:eastAsia="楷体"/>
          <w:b/>
          <w:color w:val="8B1E1E"/>
          <w:sz w:val="26"/>
        </w:rPr>
        <w:t>含任务优先级 · 优先保证仲裁听证厅可正常使用</w:t>
      </w:r>
    </w:p>
    <w:p>
      <w:pPr>
        <w:spacing w:before="40" w:after="40"/>
        <w:jc w:val="center"/>
      </w:pPr>
      <w:r>
        <w:rPr>
          <w:rFonts w:ascii="Calibri" w:hAnsi="Calibri" w:eastAsia="宋体"/>
          <w:b w:val="0"/>
          <w:color w:val="4A4A4A"/>
          <w:sz w:val="21"/>
        </w:rPr>
        <w:t>产品：基于 LexGentium 的国际商事仲裁程序论证与溯源审计智能体</w:t>
      </w:r>
    </w:p>
    <w:p>
      <w:pPr>
        <w:spacing w:before="40" w:after="40"/>
        <w:jc w:val="center"/>
      </w:pPr>
      <w:r>
        <w:rPr>
          <w:rFonts w:ascii="Calibri" w:hAnsi="Calibri" w:eastAsia="宋体"/>
          <w:b w:val="0"/>
          <w:color w:val="4A4A4A"/>
          <w:sz w:val="21"/>
        </w:rPr>
        <w:t>场景：A 国际商事仲裁听证厅　B 内地承认与执行审查庭　C 溯源审计工作台</w:t>
      </w:r>
    </w:p>
    <w:p>
      <w:pPr>
        <w:spacing w:before="40" w:after="40"/>
        <w:jc w:val="center"/>
      </w:pPr>
      <w:r>
        <w:rPr>
          <w:rFonts w:ascii="Calibri" w:hAnsi="Calibri" w:eastAsia="宋体"/>
          <w:b w:val="0"/>
          <w:color w:val="4A4A4A"/>
          <w:sz w:val="21"/>
        </w:rPr>
        <w:t>读者：设计专业同学（视觉 / 场景 / 角色 / 道具 / 动画 / 信息设计）</w:t>
      </w:r>
    </w:p>
    <w:p>
      <w:pPr>
        <w:spacing w:before="40" w:after="40"/>
        <w:jc w:val="center"/>
      </w:pPr>
      <w:r>
        <w:rPr>
          <w:rFonts w:ascii="Calibri" w:hAnsi="Calibri" w:eastAsia="宋体"/>
          <w:b w:val="0"/>
          <w:color w:val="4A4A4A"/>
          <w:sz w:val="21"/>
        </w:rPr>
        <w:t>配套：计算机同学负责代码接入，设计按本文 ID 与文件名交件即可</w:t>
      </w:r>
    </w:p>
    <w:p>
      <w:pPr>
        <w:spacing w:before="40" w:after="40"/>
        <w:jc w:val="center"/>
      </w:pPr>
      <w:r>
        <w:rPr>
          <w:rFonts w:ascii="Calibri" w:hAnsi="Calibri" w:eastAsia="宋体"/>
          <w:b w:val="0"/>
          <w:color w:val="4A4A4A"/>
          <w:sz w:val="21"/>
        </w:rPr>
        <w:t>版本：2026-09-07　优先级策略：听证厅 P0 先行，审查庭与溯源台错后</w:t>
      </w:r>
    </w:p>
    <w:p>
      <w:r>
        <w:br w:type="page"/>
      </w:r>
    </w:p>
    <w:p>
      <w:pPr>
        <w:keepNext/>
        <w:spacing w:before="320" w:after="160"/>
        <w:pBdr>
          <w:bottom w:val="single" w:sz="12" w:space="4" w:color="1B2A4A"/>
        </w:pBdr>
      </w:pPr>
      <w:r>
        <w:rPr>
          <w:rFonts w:ascii="Calibri" w:hAnsi="Calibri" w:eastAsia="黑体"/>
          <w:b/>
          <w:color w:val="1B2A4A"/>
          <w:sz w:val="32"/>
        </w:rPr>
        <w:t>〇、设计任务优先级（先读）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8EDE8" w:val="clear"/>
          </w:tcPr>
          <w:p>
            <w:pPr>
              <w:spacing w:before="120" w:after="40"/>
            </w:pPr>
            <w:r/>
            <w:r>
              <w:rPr>
                <w:rFonts w:ascii="Calibri" w:hAnsi="Calibri" w:eastAsia="黑体"/>
                <w:b/>
                <w:color w:val="8B1E1E"/>
                <w:sz w:val="22"/>
              </w:rPr>
              <w:t>总原则：先让听证厅能正常开庭，再补审查庭和溯源台。</w:t>
            </w:r>
          </w:p>
          <w:p>
            <w:pPr>
              <w:spacing w:before="0" w:after="120" w:line="312" w:lineRule="auto"/>
            </w:pPr>
            <w:r>
              <w:rPr>
                <w:rFonts w:ascii="Calibri" w:hAnsi="Calibri" w:eastAsia="宋体"/>
                <w:b w:val="0"/>
                <w:color w:val="1A1A1A"/>
                <w:sz w:val="21"/>
              </w:rPr>
              <w:t>当前代码已有演出引擎（席位、胶囊人、口型、镜头、字幕）。设计的第一目标不是三场景同时做完，而是交出一套工程师能立刻换上去的「国际商事仲裁听证厅」：房间白模、七个常驻角色的可用外观、关键程序道具、基础坐立手势。审查庭（场景 B）和溯源工作台（场景 C）在听证厅验收通过之前，只做规范，不做完整建模。</w:t>
            </w:r>
          </w:p>
        </w:tc>
      </w:tr>
    </w:tbl>
    <w:p>
      <w:pPr>
        <w:spacing w:after="120"/>
      </w:pPr>
    </w:p>
    <w:p>
      <w:pPr>
        <w:keepNext/>
        <w:spacing w:before="240" w:after="160"/>
      </w:pPr>
      <w:r>
        <w:rPr>
          <w:rFonts w:ascii="Calibri" w:hAnsi="Calibri" w:eastAsia="黑体"/>
          <w:b/>
          <w:color w:val="1B2A4A"/>
          <w:sz w:val="26"/>
        </w:rPr>
        <w:t>0.1 优先级定义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级别</w:t>
            </w:r>
          </w:p>
        </w:tc>
        <w:tc>
          <w:tcPr>
            <w:tcW w:type="dxa" w:w="2296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2296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设计同学怎么做</w:t>
            </w:r>
          </w:p>
        </w:tc>
        <w:tc>
          <w:tcPr>
            <w:tcW w:type="dxa" w:w="2296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未完成的后果</w:t>
            </w:r>
          </w:p>
        </w:tc>
      </w:tr>
      <w:tr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P0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听证厅正常使用所必需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本阶段必须交齐；挡住工程师换厅换人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3D 只能继续用法庭白模 + 胶囊人，无法演示仲裁程序</w:t>
            </w:r>
          </w:p>
        </w:tc>
      </w:tr>
      <w:tr>
        <w:tc>
          <w:tcPr>
            <w:tcW w:type="dxa" w:w="2296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P1</w:t>
            </w:r>
          </w:p>
        </w:tc>
        <w:tc>
          <w:tcPr>
            <w:tcW w:type="dxa" w:w="2296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听证厅完整、可信</w:t>
            </w:r>
          </w:p>
        </w:tc>
        <w:tc>
          <w:tcPr>
            <w:tcW w:type="dxa" w:w="2296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P0 验收后再做；提升学术演示质量</w:t>
            </w:r>
          </w:p>
        </w:tc>
        <w:tc>
          <w:tcPr>
            <w:tcW w:type="dxa" w:w="2296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厅能用，但缺席、边裁、证人、正式模型不齐</w:t>
            </w:r>
          </w:p>
        </w:tc>
      </w:tr>
      <w:tr>
        <w:tc>
          <w:tcPr>
            <w:tcW w:type="dxa" w:w="2296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P2</w:t>
            </w:r>
          </w:p>
        </w:tc>
        <w:tc>
          <w:tcPr>
            <w:tcW w:type="dxa" w:w="2296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审查庭 / 溯源 / 可选房间</w:t>
            </w:r>
          </w:p>
        </w:tc>
        <w:tc>
          <w:tcPr>
            <w:tcW w:type="dxa" w:w="2296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听证厅 P0+P1 完成后再排期</w:t>
            </w:r>
          </w:p>
        </w:tc>
        <w:tc>
          <w:tcPr>
            <w:tcW w:type="dxa" w:w="2296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不影响听证厅日常使用；产品后半段再接入</w:t>
            </w:r>
          </w:p>
        </w:tc>
      </w:tr>
      <w:tr>
        <w:tc>
          <w:tcPr>
            <w:tcW w:type="dxa" w:w="2296"/>
            <w:shd w:fill="F4F1EA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不做</w:t>
            </w:r>
          </w:p>
        </w:tc>
        <w:tc>
          <w:tcPr>
            <w:tcW w:type="dxa" w:w="2296"/>
            <w:shd w:fill="F4F1EA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默认卡司外角色与影视化道具</w:t>
            </w:r>
          </w:p>
        </w:tc>
        <w:tc>
          <w:tcPr>
            <w:tcW w:type="dxa" w:w="2296"/>
            <w:shd w:fill="F4F1EA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不要开工</w:t>
            </w:r>
          </w:p>
        </w:tc>
        <w:tc>
          <w:tcPr>
            <w:tcW w:type="dxa" w:w="2296"/>
            <w:shd w:fill="F4F1EA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做了也会被工程师拒绝进默认包</w:t>
            </w:r>
          </w:p>
        </w:tc>
      </w:tr>
    </w:tbl>
    <w:p>
      <w:pPr>
        <w:spacing w:after="160"/>
      </w:pPr>
    </w:p>
    <w:p>
      <w:pPr>
        <w:keepNext/>
        <w:spacing w:before="240" w:after="160"/>
      </w:pPr>
      <w:r>
        <w:rPr>
          <w:rFonts w:ascii="Calibri" w:hAnsi="Calibri" w:eastAsia="黑体"/>
          <w:b/>
          <w:color w:val="1B2A4A"/>
          <w:sz w:val="26"/>
        </w:rPr>
        <w:t>0.2 阶段排期（设计侧）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296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2296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必须交付</w:t>
            </w:r>
          </w:p>
        </w:tc>
        <w:tc>
          <w:tcPr>
            <w:tcW w:type="dxa" w:w="2296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可以并行但不许抢 P0 人力</w:t>
            </w:r>
          </w:p>
        </w:tc>
      </w:tr>
      <w:tr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第一阶段</w:t>
              <w:br/>
              <w:t>听证厅能用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工程师换上房间即可开庭：七人入座、名牌正确、能发言能倾听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见 0.3 节 P0 清单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场景 C 一页色票与 HUD 线框（信息设计一人即可）</w:t>
            </w:r>
          </w:p>
        </w:tc>
      </w:tr>
      <w:tr>
        <w:tc>
          <w:tcPr>
            <w:tcW w:type="dxa" w:w="2296"/>
            <w:shd w:fill="F7F1E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第二阶段</w:t>
              <w:br/>
              <w:t>听证厅可信</w:t>
            </w:r>
          </w:p>
        </w:tc>
        <w:tc>
          <w:tcPr>
            <w:tcW w:type="dxa" w:w="2296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程序事实可被看见：缺席、关麦、送达、口译、边裁空椅</w:t>
            </w:r>
          </w:p>
        </w:tc>
        <w:tc>
          <w:tcPr>
            <w:tcW w:type="dxa" w:w="2296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见 0.4 节 P1 清单</w:t>
            </w:r>
          </w:p>
        </w:tc>
        <w:tc>
          <w:tcPr>
            <w:tcW w:type="dxa" w:w="2296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审查庭铭牌与法台陈设草图</w:t>
            </w:r>
          </w:p>
        </w:tc>
      </w:tr>
      <w:tr>
        <w:tc>
          <w:tcPr>
            <w:tcW w:type="dxa" w:w="2296"/>
            <w:shd w:fill="EEF0F2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第三阶段</w:t>
              <w:br/>
              <w:t>产品后半段</w:t>
            </w:r>
          </w:p>
        </w:tc>
        <w:tc>
          <w:tcPr>
            <w:tcW w:type="dxa" w:w="2296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内地审查庭换皮 + 溯源台正式视觉</w:t>
            </w:r>
          </w:p>
        </w:tc>
        <w:tc>
          <w:tcPr>
            <w:tcW w:type="dxa" w:w="2296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见 0.5 节 P2 清单</w:t>
            </w:r>
          </w:p>
        </w:tc>
        <w:tc>
          <w:tcPr>
            <w:tcW w:type="dxa" w:w="2296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会见室 / 和解室精修</w:t>
            </w:r>
          </w:p>
        </w:tc>
      </w:tr>
    </w:tbl>
    <w:p>
      <w:pPr>
        <w:spacing w:after="160"/>
      </w:pPr>
    </w:p>
    <w:p>
      <w:pPr>
        <w:keepNext/>
        <w:spacing w:before="240" w:after="160"/>
      </w:pPr>
      <w:r>
        <w:rPr>
          <w:rFonts w:ascii="Calibri" w:hAnsi="Calibri" w:eastAsia="黑体"/>
          <w:b/>
          <w:color w:val="1B2A4A"/>
          <w:sz w:val="26"/>
        </w:rPr>
        <w:t>0.3 第一阶段 P0：听证厅正常使用（现在就做）</w:t>
      </w:r>
    </w:p>
    <w:p>
      <w:pPr>
        <w:spacing w:before="0" w:after="160" w:line="324" w:lineRule="auto"/>
        <w:ind w:firstLine="0"/>
      </w:pPr>
      <w:r>
        <w:rPr>
          <w:rFonts w:ascii="Calibri" w:hAnsi="Calibri" w:eastAsia="宋体"/>
          <w:b w:val="0"/>
          <w:color w:val="1A1A1A"/>
          <w:sz w:val="22"/>
        </w:rPr>
        <w:t>下列任缺一项，听证厅都不能算「能用」。请按表内顺序做：先空间锚点，再七人外观，再基础动作，最后关键道具。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顺序</w:t>
            </w:r>
          </w:p>
        </w:tc>
        <w:tc>
          <w:tcPr>
            <w:tcW w:type="dxa" w:w="2296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交付物</w:t>
            </w:r>
          </w:p>
        </w:tc>
        <w:tc>
          <w:tcPr>
            <w:tcW w:type="dxa" w:w="2296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最低完成标准</w:t>
            </w:r>
          </w:p>
        </w:tc>
        <w:tc>
          <w:tcPr>
            <w:tcW w:type="dxa" w:w="2296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负责人建议</w:t>
            </w:r>
          </w:p>
        </w:tc>
      </w:tr>
      <w:tr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世界观一页 + 禁用清单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写明：无法袍台、无国徽、无法槌、无原被告铭牌；中英职务名确定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美术指导 + 法学会签</w:t>
            </w:r>
          </w:p>
        </w:tc>
      </w:tr>
      <w:tr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听证厅平面与锚点表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单位米；七个常驻席位坐标 + lookAt + 椅面高；与代码 ID 一致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场景</w:t>
            </w:r>
          </w:p>
        </w:tc>
      </w:tr>
      <w:tr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听证厅白模 room_hearing.glb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U 形/三边桌，能单独打开；原点场地中心，+Z 朝仲裁庭；≤80k 三角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场景</w:t>
            </w:r>
          </w:p>
        </w:tc>
      </w:tr>
      <w:tr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中英名牌文案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首席仲裁员 / 庭秘书 / 申请人 / 被申请人 / 口译员，禁止写审判长、原告、被告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美术指导</w:t>
            </w:r>
          </w:p>
        </w:tc>
      </w:tr>
      <w:tr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P0 七人设定图（可先不出绑定模型）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每人 original+swap 三视图或半身；西装，非法袍；连续性五词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角色</w:t>
            </w:r>
          </w:p>
        </w:tc>
      </w:tr>
      <w:tr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6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七人运行时占位或低模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能按文件名替换胶囊人；面数可先放宽，但骨骼/朝向正确；正式面数见第九节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角色</w:t>
            </w:r>
          </w:p>
        </w:tc>
      </w:tr>
      <w:tr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7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基础动作 sit / nod / lean_forward / flip_file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2–4 秒、In-place；全员能坐着听、点头、前倾、翻材料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动画</w:t>
            </w:r>
          </w:p>
        </w:tc>
      </w:tr>
      <w:tr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8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桌面常用道具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双语卷宗、英文合同、笔、细长话筒、单侧耳机（可用低模）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道具</w:t>
            </w:r>
          </w:p>
        </w:tc>
      </w:tr>
      <w:tr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9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HUD 听证用语一页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阶段条改为：核对通知 / 确认出庭 / 申请人陈述 / 被申请人答辩 / 举证 / 询问，不用「法庭调查」「宣判」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信息设计</w:t>
            </w:r>
          </w:p>
        </w:tc>
      </w:tr>
    </w:tbl>
    <w:p>
      <w:pP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8EDE8" w:val="clear"/>
          </w:tcPr>
          <w:p>
            <w:pPr>
              <w:spacing w:before="120" w:after="40"/>
            </w:pPr>
            <w:r/>
            <w:r>
              <w:rPr>
                <w:rFonts w:ascii="Calibri" w:hAnsi="Calibri" w:eastAsia="黑体"/>
                <w:b/>
                <w:color w:val="8B1E1E"/>
                <w:sz w:val="22"/>
              </w:rPr>
              <w:t>P0 验收一句话</w:t>
            </w:r>
          </w:p>
          <w:p>
            <w:pPr>
              <w:spacing w:before="0" w:after="120" w:line="312" w:lineRule="auto"/>
            </w:pPr>
            <w:r>
              <w:rPr>
                <w:rFonts w:ascii="Calibri" w:hAnsi="Calibri" w:eastAsia="宋体"/>
                <w:b w:val="0"/>
                <w:color w:val="1A1A1A"/>
                <w:sz w:val="21"/>
              </w:rPr>
              <w:t>打开 /court3d，房间是国际仲裁听证厅而不是中国审判厅；七个人坐在正确座位上，名牌是仲裁职称；有人说话时镜头和字幕能对上。做到这一句，第一阶段即通过。正式 40k 面角色、边裁、证人、溯源节点都可以后补。</w:t>
            </w:r>
          </w:p>
        </w:tc>
      </w:tr>
    </w:tbl>
    <w:p>
      <w:pPr>
        <w:spacing w:after="120"/>
      </w:pPr>
    </w:p>
    <w:p>
      <w:pPr>
        <w:keepNext/>
        <w:spacing w:before="240" w:after="160"/>
      </w:pPr>
      <w:r>
        <w:rPr>
          <w:rFonts w:ascii="Calibri" w:hAnsi="Calibri" w:eastAsia="黑体"/>
          <w:b/>
          <w:color w:val="1B2A4A"/>
          <w:sz w:val="26"/>
        </w:rPr>
        <w:t>0.4 第二阶段 P1：听证厅完整可信（P0 通过后再做）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交付物</w:t>
            </w:r>
          </w:p>
        </w:tc>
        <w:tc>
          <w:tcPr>
            <w:tcW w:type="dxa" w:w="3061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为什么此时才做</w:t>
            </w:r>
          </w:p>
        </w:tc>
        <w:tc>
          <w:tcPr>
            <w:tcW w:type="dxa" w:w="3061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完成标准</w:t>
            </w:r>
          </w:p>
        </w:tc>
      </w:tr>
      <w:tr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边裁两席锚点 + 空椅模型 co_arb_l / co_arb_r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三人庭是惯例，但不挡七人先开庭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可坐可空；空椅也是程序证据</w:t>
            </w:r>
          </w:p>
        </w:tc>
      </w:tr>
      <w:tr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证人 / 专家热座 witness / expert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不是每场都传唤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可移入中轴的一把椅子即可</w:t>
            </w:r>
          </w:p>
        </w:tc>
      </w:tr>
      <w:tr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程序证据道具：送达回证、签到表、关闭话筒、空椅、裁决书封面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V(1)(b) 可视化核心，但厅先能开会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每件可点选；含空白/未签两态</w:t>
            </w:r>
          </w:p>
        </w:tc>
      </w:tr>
      <w:tr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程序动作：empty_seat / mic_off / blocked_speak / check_notice / listen_only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服务「通知与申辩」叙事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分镜可先于成片；未知态禁止张嘴</w:t>
            </w:r>
          </w:p>
        </w:tc>
      </w:tr>
      <w:tr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口译 relay_note + type（庭秘书）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增强双语可信度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2–4 秒片段</w:t>
            </w:r>
          </w:p>
        </w:tc>
      </w:tr>
      <w:tr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P0 七人按规格收面、口型、挂点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先像再准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主角 ≤40k，配角 ≤15k，见第九节</w:t>
            </w:r>
          </w:p>
        </w:tc>
      </w:tr>
      <w:tr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主视觉 1 张 + 顶视讲解 1 张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对外演示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西装听证，非法袍法庭</w:t>
            </w:r>
          </w:p>
        </w:tc>
      </w:tr>
    </w:tbl>
    <w:p>
      <w:pPr>
        <w:spacing w:after="160"/>
      </w:pPr>
    </w:p>
    <w:p>
      <w:pPr>
        <w:keepNext/>
        <w:spacing w:before="240" w:after="160"/>
      </w:pPr>
      <w:r>
        <w:rPr>
          <w:rFonts w:ascii="Calibri" w:hAnsi="Calibri" w:eastAsia="黑体"/>
          <w:b/>
          <w:color w:val="1B2A4A"/>
          <w:sz w:val="26"/>
        </w:rPr>
        <w:t>0.5 第三阶段 P2：听证厅能用之后再做</w:t>
      </w:r>
    </w:p>
    <w:p>
      <w:pPr>
        <w:spacing w:before="0" w:after="160" w:line="324" w:lineRule="auto"/>
        <w:ind w:firstLine="0"/>
      </w:pPr>
      <w:r>
        <w:rPr>
          <w:rFonts w:ascii="Calibri" w:hAnsi="Calibri" w:eastAsia="宋体"/>
          <w:b w:val="0"/>
          <w:color w:val="1A1A1A"/>
          <w:sz w:val="22"/>
        </w:rPr>
        <w:t>这些内容仍然要做，但现在不要占角色和场景的主人力。信息设计可在第一阶段用「一页规范」占位。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交付物</w:t>
            </w:r>
          </w:p>
        </w:tc>
        <w:tc>
          <w:tcPr>
            <w:tcW w:type="dxa" w:w="3061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所属场景</w:t>
            </w:r>
          </w:p>
        </w:tc>
        <w:tc>
          <w:tcPr>
            <w:tcW w:type="dxa" w:w="3061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3061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内地审查庭白模换皮 room_enforcement.glb</w:t>
            </w:r>
          </w:p>
        </w:tc>
        <w:tc>
          <w:tcPr>
            <w:tcW w:type="dxa" w:w="3061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B</w:t>
            </w:r>
          </w:p>
        </w:tc>
        <w:tc>
          <w:tcPr>
            <w:tcW w:type="dxa" w:w="3061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可复用现大厅结构；去掉国徽默认件；铭牌改为申请承认执行</w:t>
            </w:r>
          </w:p>
        </w:tc>
      </w:tr>
      <w:tr>
        <w:tc>
          <w:tcPr>
            <w:tcW w:type="dxa" w:w="3061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审查庭法台陈设（裁决书、送达、笔录）</w:t>
            </w:r>
          </w:p>
        </w:tc>
        <w:tc>
          <w:tcPr>
            <w:tcW w:type="dxa" w:w="3061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B</w:t>
            </w:r>
          </w:p>
        </w:tc>
        <w:tc>
          <w:tcPr>
            <w:tcW w:type="dxa" w:w="3061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与听证厅道具可共用网格、换贴图</w:t>
            </w:r>
          </w:p>
        </w:tc>
      </w:tr>
      <w:tr>
        <w:tc>
          <w:tcPr>
            <w:tcW w:type="dxa" w:w="3061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审查法官法袍皮肤（同一张脸，第二套服装）</w:t>
            </w:r>
          </w:p>
        </w:tc>
        <w:tc>
          <w:tcPr>
            <w:tcW w:type="dxa" w:w="3061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B</w:t>
            </w:r>
          </w:p>
        </w:tc>
        <w:tc>
          <w:tcPr>
            <w:tcW w:type="dxa" w:w="3061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第一阶段 judge 只做法听证西装</w:t>
            </w:r>
          </w:p>
        </w:tc>
      </w:tr>
      <w:tr>
        <w:tc>
          <w:tcPr>
            <w:tcW w:type="dxa" w:w="3061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合议边员 co_judge_l / r</w:t>
            </w:r>
          </w:p>
        </w:tc>
        <w:tc>
          <w:tcPr>
            <w:tcW w:type="dxa" w:w="3061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B</w:t>
            </w:r>
          </w:p>
        </w:tc>
        <w:tc>
          <w:tcPr>
            <w:tcW w:type="dxa" w:w="3061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书面审查常不需要满员建模</w:t>
            </w:r>
          </w:p>
        </w:tc>
      </w:tr>
      <w:tr>
        <w:tc>
          <w:tcPr>
            <w:tcW w:type="dxa" w:w="3061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溯源五态色票、时间线、四泳道、法源权级、缺陷清单、卷宗卡</w:t>
            </w:r>
          </w:p>
        </w:tc>
        <w:tc>
          <w:tcPr>
            <w:tcW w:type="dxa" w:w="3061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C</w:t>
            </w:r>
          </w:p>
        </w:tc>
        <w:tc>
          <w:tcPr>
            <w:tcW w:type="dxa" w:w="3061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第一阶段只交色票+HUD线框</w:t>
            </w:r>
          </w:p>
        </w:tc>
      </w:tr>
      <w:tr>
        <w:tc>
          <w:tcPr>
            <w:tcW w:type="dxa" w:w="3061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3D 与溯源联动分镜 4–6 帧</w:t>
            </w:r>
          </w:p>
        </w:tc>
        <w:tc>
          <w:tcPr>
            <w:tcW w:type="dxa" w:w="3061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C</w:t>
            </w:r>
          </w:p>
        </w:tc>
        <w:tc>
          <w:tcPr>
            <w:tcW w:type="dxa" w:w="3061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未知则听证席空态</w:t>
            </w:r>
          </w:p>
        </w:tc>
      </w:tr>
      <w:tr>
        <w:tc>
          <w:tcPr>
            <w:tcW w:type="dxa" w:w="3061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会见室 / 和解室精修</w:t>
            </w:r>
          </w:p>
        </w:tc>
        <w:tc>
          <w:tcPr>
            <w:tcW w:type="dxa" w:w="3061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可选</w:t>
            </w:r>
          </w:p>
        </w:tc>
        <w:tc>
          <w:tcPr>
            <w:tcW w:type="dxa" w:w="3061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代码已有 office / mediation，不挡听证</w:t>
            </w:r>
          </w:p>
        </w:tc>
      </w:tr>
    </w:tbl>
    <w:p>
      <w:pPr>
        <w:spacing w:after="160"/>
      </w:pPr>
    </w:p>
    <w:p>
      <w:pPr>
        <w:keepNext/>
        <w:spacing w:before="240" w:after="160"/>
      </w:pPr>
      <w:r>
        <w:rPr>
          <w:rFonts w:ascii="Calibri" w:hAnsi="Calibri" w:eastAsia="黑体"/>
          <w:b/>
          <w:color w:val="1B2A4A"/>
          <w:sz w:val="26"/>
        </w:rPr>
        <w:t>0.6 明确不做（默认包）</w:t>
      </w:r>
    </w:p>
    <w:p>
      <w:pPr>
        <w:spacing w:before="20" w:after="60" w:line="300" w:lineRule="auto"/>
        <w:ind w:left="425"/>
      </w:pPr>
      <w:r>
        <w:rPr>
          <w:rFonts w:ascii="Calibri" w:hAnsi="Calibri" w:eastAsia="宋体"/>
          <w:b w:val="0"/>
          <w:color w:val="1A1A1A"/>
          <w:sz w:val="22"/>
        </w:rPr>
        <w:t>• 档案 03 人民陪审员、05 司法警察、13 公诉人、14 外籍刑事被告：两厅默认都不进。</w:t>
      </w:r>
    </w:p>
    <w:p>
      <w:pPr>
        <w:spacing w:before="20" w:after="60" w:line="300" w:lineRule="auto"/>
        <w:ind w:left="425"/>
      </w:pPr>
      <w:r>
        <w:rPr>
          <w:rFonts w:ascii="Calibri" w:hAnsi="Calibri" w:eastAsia="宋体"/>
          <w:b w:val="0"/>
          <w:color w:val="1A1A1A"/>
          <w:sz w:val="22"/>
        </w:rPr>
        <w:t>• 木槌、法官假发、欧美陪审团、英式假发袍、夸张国旗墙、影视囚服、族裔刻板印象。</w:t>
      </w:r>
    </w:p>
    <w:p>
      <w:pPr>
        <w:spacing w:before="20" w:after="60" w:line="300" w:lineRule="auto"/>
        <w:ind w:left="425"/>
      </w:pPr>
      <w:r>
        <w:rPr>
          <w:rFonts w:ascii="Calibri" w:hAnsi="Calibri" w:eastAsia="宋体"/>
          <w:b w:val="0"/>
          <w:color w:val="1A1A1A"/>
          <w:sz w:val="22"/>
        </w:rPr>
        <w:t>• 微信三视图直出、百万面 OBJ+PBR：只进概念图文件夹，禁止当运行时角色。</w:t>
      </w:r>
    </w:p>
    <w:p>
      <w:pPr>
        <w:spacing w:before="20" w:after="60" w:line="300" w:lineRule="auto"/>
        <w:ind w:left="425"/>
      </w:pPr>
      <w:r>
        <w:rPr>
          <w:rFonts w:ascii="Calibri" w:hAnsi="Calibri" w:eastAsia="宋体"/>
          <w:b w:val="0"/>
          <w:color w:val="1A1A1A"/>
          <w:sz w:val="22"/>
        </w:rPr>
        <w:t>• 正式国徽 / 仲裁机构徽章商用矢量：等法学授权；先交中性几何占位。</w:t>
      </w:r>
    </w:p>
    <w:p>
      <w:pPr>
        <w:spacing w:before="20" w:after="60" w:line="300" w:lineRule="auto"/>
        <w:ind w:left="425"/>
      </w:pPr>
      <w:r>
        <w:rPr>
          <w:rFonts w:ascii="Calibri" w:hAnsi="Calibri" w:eastAsia="宋体"/>
          <w:b w:val="0"/>
          <w:color w:val="1A1A1A"/>
          <w:sz w:val="22"/>
        </w:rPr>
        <w:t>• 第一阶段不要做法袍审判长当 P0——听证厅首席必须是西装仲裁员。</w:t>
      </w:r>
    </w:p>
    <w:p>
      <w:pPr>
        <w:keepNext/>
        <w:spacing w:before="240" w:after="160"/>
      </w:pPr>
      <w:r>
        <w:rPr>
          <w:rFonts w:ascii="Calibri" w:hAnsi="Calibri" w:eastAsia="黑体"/>
          <w:b/>
          <w:color w:val="1B2A4A"/>
          <w:sz w:val="26"/>
        </w:rPr>
        <w:t>0.7 设计人力怎么分（避免抢工）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同学</w:t>
            </w:r>
          </w:p>
        </w:tc>
        <w:tc>
          <w:tcPr>
            <w:tcW w:type="dxa" w:w="2296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第一阶段（P0）</w:t>
            </w:r>
          </w:p>
        </w:tc>
        <w:tc>
          <w:tcPr>
            <w:tcW w:type="dxa" w:w="2296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第二阶段（P1）</w:t>
            </w:r>
          </w:p>
        </w:tc>
        <w:tc>
          <w:tcPr>
            <w:tcW w:type="dxa" w:w="2296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第三阶段（P2）</w:t>
            </w:r>
          </w:p>
        </w:tc>
      </w:tr>
      <w:tr>
        <w:tc>
          <w:tcPr>
            <w:tcW w:type="dxa" w:w="2296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美术指导</w:t>
            </w:r>
          </w:p>
        </w:tc>
        <w:tc>
          <w:tcPr>
            <w:tcW w:type="dxa" w:w="2296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世界观、禁用、职务名、名牌</w:t>
            </w:r>
          </w:p>
        </w:tc>
        <w:tc>
          <w:tcPr>
            <w:tcW w:type="dxa" w:w="2296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主视觉</w:t>
            </w:r>
          </w:p>
        </w:tc>
        <w:tc>
          <w:tcPr>
            <w:tcW w:type="dxa" w:w="2296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审查庭视觉语言</w:t>
            </w:r>
          </w:p>
        </w:tc>
      </w:tr>
      <w:tr>
        <w:tc>
          <w:tcPr>
            <w:tcW w:type="dxa" w:w="2296"/>
            <w:shd w:fill="F4F1EA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场景</w:t>
            </w:r>
          </w:p>
        </w:tc>
        <w:tc>
          <w:tcPr>
            <w:tcW w:type="dxa" w:w="2296"/>
            <w:shd w:fill="F4F1EA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听证厅平面、锚点、白模</w:t>
            </w:r>
          </w:p>
        </w:tc>
        <w:tc>
          <w:tcPr>
            <w:tcW w:type="dxa" w:w="2296"/>
            <w:shd w:fill="F4F1EA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边裁/证人位、灯光材质</w:t>
            </w:r>
          </w:p>
        </w:tc>
        <w:tc>
          <w:tcPr>
            <w:tcW w:type="dxa" w:w="2296"/>
            <w:shd w:fill="F4F1EA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审查庭换皮</w:t>
            </w:r>
          </w:p>
        </w:tc>
      </w:tr>
      <w:tr>
        <w:tc>
          <w:tcPr>
            <w:tcW w:type="dxa" w:w="2296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角色</w:t>
            </w:r>
          </w:p>
        </w:tc>
        <w:tc>
          <w:tcPr>
            <w:tcW w:type="dxa" w:w="2296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七人双皮肤设定 + 可替换低模</w:t>
            </w:r>
          </w:p>
        </w:tc>
        <w:tc>
          <w:tcPr>
            <w:tcW w:type="dxa" w:w="2296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收面、口型、挂点</w:t>
            </w:r>
          </w:p>
        </w:tc>
        <w:tc>
          <w:tcPr>
            <w:tcW w:type="dxa" w:w="2296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审查庭法袍第二套服装</w:t>
            </w:r>
          </w:p>
        </w:tc>
      </w:tr>
      <w:tr>
        <w:tc>
          <w:tcPr>
            <w:tcW w:type="dxa" w:w="2296"/>
            <w:shd w:fill="F4F1EA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道具</w:t>
            </w:r>
          </w:p>
        </w:tc>
        <w:tc>
          <w:tcPr>
            <w:tcW w:type="dxa" w:w="2296"/>
            <w:shd w:fill="F4F1EA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卷宗/合同/笔/话筒/耳机</w:t>
            </w:r>
          </w:p>
        </w:tc>
        <w:tc>
          <w:tcPr>
            <w:tcW w:type="dxa" w:w="2296"/>
            <w:shd w:fill="F4F1EA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送达、空椅、关麦、裁决书</w:t>
            </w:r>
          </w:p>
        </w:tc>
        <w:tc>
          <w:tcPr>
            <w:tcW w:type="dxa" w:w="2296"/>
            <w:shd w:fill="F4F1EA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审查卷宗变体</w:t>
            </w:r>
          </w:p>
        </w:tc>
      </w:tr>
      <w:tr>
        <w:tc>
          <w:tcPr>
            <w:tcW w:type="dxa" w:w="2296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动画</w:t>
            </w:r>
          </w:p>
        </w:tc>
        <w:tc>
          <w:tcPr>
            <w:tcW w:type="dxa" w:w="2296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sit / nod / lean_forward / flip_file</w:t>
            </w:r>
          </w:p>
        </w:tc>
        <w:tc>
          <w:tcPr>
            <w:tcW w:type="dxa" w:w="2296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缺席、关麦、制止、核对通知、口译</w:t>
            </w:r>
          </w:p>
        </w:tc>
        <w:tc>
          <w:tcPr>
            <w:tcW w:type="dxa" w:w="2296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起立宣读等审查动作（克制）</w:t>
            </w:r>
          </w:p>
        </w:tc>
      </w:tr>
      <w:tr>
        <w:tc>
          <w:tcPr>
            <w:tcW w:type="dxa" w:w="2296"/>
            <w:shd w:fill="F4F1EA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信息设计</w:t>
            </w:r>
          </w:p>
        </w:tc>
        <w:tc>
          <w:tcPr>
            <w:tcW w:type="dxa" w:w="2296"/>
            <w:shd w:fill="F4F1EA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听证 HUD 用语 + 五态色票一页</w:t>
            </w:r>
          </w:p>
        </w:tc>
        <w:tc>
          <w:tcPr>
            <w:tcW w:type="dxa" w:w="2296"/>
            <w:shd w:fill="F4F1EA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程序节点条</w:t>
            </w:r>
          </w:p>
        </w:tc>
        <w:tc>
          <w:tcPr>
            <w:tcW w:type="dxa" w:w="2296"/>
            <w:shd w:fill="F4F1EA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溯源台全套组件</w:t>
            </w:r>
          </w:p>
        </w:tc>
      </w:tr>
    </w:tbl>
    <w:p>
      <w:pPr>
        <w:spacing w:after="160"/>
      </w:pPr>
    </w:p>
    <w:p>
      <w:pPr>
        <w:keepNext/>
        <w:spacing w:before="320" w:after="160"/>
        <w:pBdr>
          <w:bottom w:val="single" w:sz="12" w:space="4" w:color="1B2A4A"/>
        </w:pBdr>
      </w:pPr>
      <w:r>
        <w:rPr>
          <w:rFonts w:ascii="Calibri" w:hAnsi="Calibri" w:eastAsia="黑体"/>
          <w:b/>
          <w:color w:val="1B2A4A"/>
          <w:sz w:val="32"/>
        </w:rPr>
        <w:t>一、分工边界</w:t>
      </w:r>
    </w:p>
    <w:p>
      <w:pPr>
        <w:spacing w:before="0" w:after="160" w:line="324" w:lineRule="auto"/>
        <w:ind w:firstLine="0"/>
      </w:pPr>
      <w:r>
        <w:rPr>
          <w:rFonts w:ascii="Calibri" w:hAnsi="Calibri" w:eastAsia="宋体"/>
          <w:b w:val="0"/>
          <w:color w:val="1A1A1A"/>
          <w:sz w:val="22"/>
        </w:rPr>
        <w:t>设计同学交付视觉、空间、角色、道具、动画与信息规范。计算机同学负责接入现有 /court3d、智能体流、TTS 与状态机。未知事实不得被表演成已知——这是设计和程序的共同约束。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设计不做</w:t>
            </w:r>
          </w:p>
        </w:tc>
        <w:tc>
          <w:tcPr>
            <w:tcW w:type="dxa" w:w="4592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由谁做</w:t>
            </w:r>
          </w:p>
        </w:tc>
      </w:tr>
      <w:tr>
        <w:tc>
          <w:tcPr>
            <w:tcW w:type="dxa" w:w="4592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写代码、改 JSON 路径、接 SSE、接 TTS</w:t>
            </w:r>
          </w:p>
        </w:tc>
        <w:tc>
          <w:tcPr>
            <w:tcW w:type="dxa" w:w="4592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计算机</w:t>
            </w:r>
          </w:p>
        </w:tc>
      </w:tr>
      <w:tr>
        <w:tc>
          <w:tcPr>
            <w:tcW w:type="dxa" w:w="4592"/>
            <w:shd w:fill="F4F1EA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训练模型、RAG、盲测实验</w:t>
            </w:r>
          </w:p>
        </w:tc>
        <w:tc>
          <w:tcPr>
            <w:tcW w:type="dxa" w:w="4592"/>
            <w:shd w:fill="F4F1EA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计算机 / 法学研究</w:t>
            </w:r>
          </w:p>
        </w:tc>
      </w:tr>
      <w:tr>
        <w:tc>
          <w:tcPr>
            <w:tcW w:type="dxa" w:w="4592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把百万面 OBJ 直接当运行时角色</w:t>
            </w:r>
          </w:p>
        </w:tc>
        <w:tc>
          <w:tcPr>
            <w:tcW w:type="dxa" w:w="4592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双方都不做</w:t>
            </w:r>
          </w:p>
        </w:tc>
      </w:tr>
      <w:tr>
        <w:tc>
          <w:tcPr>
            <w:tcW w:type="dxa" w:w="4592"/>
            <w:shd w:fill="F4F1EA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机构正式徽章、国徽授权</w:t>
            </w:r>
          </w:p>
        </w:tc>
        <w:tc>
          <w:tcPr>
            <w:tcW w:type="dxa" w:w="4592"/>
            <w:shd w:fill="F4F1EA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法学确认后，设计出中性替代</w:t>
            </w:r>
          </w:p>
        </w:tc>
      </w:tr>
    </w:tbl>
    <w:p>
      <w:pPr>
        <w:spacing w:after="160"/>
      </w:pPr>
    </w:p>
    <w:p>
      <w:pPr>
        <w:spacing w:before="0" w:after="160" w:line="324" w:lineRule="auto"/>
        <w:ind w:firstLine="0"/>
      </w:pPr>
      <w:r>
        <w:rPr>
          <w:rFonts w:ascii="Calibri" w:hAnsi="Calibri" w:eastAsia="宋体"/>
          <w:b w:val="0"/>
          <w:color w:val="1A1A1A"/>
          <w:sz w:val="22"/>
        </w:rPr>
        <w:t>设计按本文文件名与 ID 交文件。工程师按 mock_court_system/docs/COURT3D_ASSET_SPEC.md 替换 public/court3d/casts 中的 model 路径。</w:t>
      </w:r>
    </w:p>
    <w:p>
      <w:pPr>
        <w:keepNext/>
        <w:spacing w:before="320" w:after="160"/>
        <w:pBdr>
          <w:bottom w:val="single" w:sz="12" w:space="4" w:color="1B2A4A"/>
        </w:pBdr>
      </w:pPr>
      <w:r>
        <w:rPr>
          <w:rFonts w:ascii="Calibri" w:hAnsi="Calibri" w:eastAsia="黑体"/>
          <w:b/>
          <w:color w:val="1B2A4A"/>
          <w:sz w:val="32"/>
        </w:rPr>
        <w:t>二、必须与代码对齐的 ID</w:t>
      </w:r>
    </w:p>
    <w:p>
      <w:pPr>
        <w:spacing w:before="0" w:after="160" w:line="324" w:lineRule="auto"/>
        <w:ind w:firstLine="0"/>
      </w:pPr>
      <w:r>
        <w:rPr>
          <w:rFonts w:ascii="Calibri" w:hAnsi="Calibri" w:eastAsia="宋体"/>
          <w:b w:val="0"/>
          <w:color w:val="1A1A1A"/>
          <w:sz w:val="22"/>
        </w:rPr>
        <w:t>席位与角色 ID 必须用下列字符串。中文职称写在名牌和设定表里，不要自造英文文件名。</w:t>
      </w:r>
    </w:p>
    <w:p>
      <w:pPr>
        <w:keepNext/>
        <w:spacing w:before="240" w:after="160"/>
      </w:pPr>
      <w:r>
        <w:rPr>
          <w:rFonts w:ascii="Calibri" w:hAnsi="Calibri" w:eastAsia="黑体"/>
          <w:b/>
          <w:color w:val="1B2A4A"/>
          <w:sz w:val="26"/>
        </w:rPr>
        <w:t>2.1 常驻七席（P0，听证厅必须有）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代码 ID</w:t>
            </w:r>
          </w:p>
        </w:tc>
        <w:tc>
          <w:tcPr>
            <w:tcW w:type="dxa" w:w="3061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场景 A 显示名（P0 使用）</w:t>
            </w:r>
          </w:p>
        </w:tc>
        <w:tc>
          <w:tcPr>
            <w:tcW w:type="dxa" w:w="3061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场景 B 显示名（P2）</w:t>
            </w:r>
          </w:p>
        </w:tc>
      </w:tr>
      <w:tr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judge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首席仲裁员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审判长 / 承办法官</w:t>
            </w:r>
          </w:p>
        </w:tc>
      </w:tr>
      <w:tr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clerk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仲裁庭秘书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书记员</w:t>
            </w:r>
          </w:p>
        </w:tc>
      </w:tr>
      <w:tr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plaintiff_counsel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申请人代理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申请承认执行方代理</w:t>
            </w:r>
          </w:p>
        </w:tc>
      </w:tr>
      <w:tr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plaintiff_party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申请人企业代表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申请方当事人</w:t>
            </w:r>
          </w:p>
        </w:tc>
      </w:tr>
      <w:tr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defendant_counsel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被申请人代理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被申请方代理（常主张 V(1)(b)）</w:t>
            </w:r>
          </w:p>
        </w:tc>
      </w:tr>
      <w:tr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defendant_party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被申请人企业代表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被申请方当事人</w:t>
            </w:r>
          </w:p>
        </w:tc>
      </w:tr>
      <w:tr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interpreter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口译员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口译员（审查庭可缺席）</w:t>
            </w:r>
          </w:p>
        </w:tc>
      </w:tr>
    </w:tbl>
    <w:p>
      <w:pPr>
        <w:spacing w:after="160"/>
      </w:pPr>
    </w:p>
    <w:p>
      <w:pPr>
        <w:keepNext/>
        <w:spacing w:before="240" w:after="160"/>
      </w:pPr>
      <w:r>
        <w:rPr>
          <w:rFonts w:ascii="Calibri" w:hAnsi="Calibri" w:eastAsia="黑体"/>
          <w:b/>
          <w:color w:val="1B2A4A"/>
          <w:sz w:val="26"/>
        </w:rPr>
        <w:t>2.2 扩展席位（P1 / P2，代码将后加）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建议 ID</w:t>
            </w:r>
          </w:p>
        </w:tc>
        <w:tc>
          <w:tcPr>
            <w:tcW w:type="dxa" w:w="3061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061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co_arb_l / co_arb_r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边裁（可空椅）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P1</w:t>
            </w:r>
          </w:p>
        </w:tc>
      </w:tr>
      <w:tr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witness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事实证人热座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P1</w:t>
            </w:r>
          </w:p>
        </w:tc>
      </w:tr>
      <w:tr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expert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专家证人热座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P1</w:t>
            </w:r>
          </w:p>
        </w:tc>
      </w:tr>
      <w:tr>
        <w:tc>
          <w:tcPr>
            <w:tcW w:type="dxa" w:w="3061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co_judge_l / co_judge_r</w:t>
            </w:r>
          </w:p>
        </w:tc>
        <w:tc>
          <w:tcPr>
            <w:tcW w:type="dxa" w:w="3061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审查庭合议边员</w:t>
            </w:r>
          </w:p>
        </w:tc>
        <w:tc>
          <w:tcPr>
            <w:tcW w:type="dxa" w:w="3061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P2</w:t>
            </w:r>
          </w:p>
        </w:tc>
      </w:tr>
    </w:tbl>
    <w:p>
      <w:pPr>
        <w:spacing w:after="160"/>
      </w:pPr>
    </w:p>
    <w:p>
      <w:pPr>
        <w:keepNext/>
        <w:spacing w:before="240" w:after="160"/>
      </w:pPr>
      <w:r>
        <w:rPr>
          <w:rFonts w:ascii="Calibri" w:hAnsi="Calibri" w:eastAsia="黑体"/>
          <w:b/>
          <w:color w:val="1B2A4A"/>
          <w:sz w:val="26"/>
        </w:rPr>
        <w:t>2.3 房间文件夹名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设计文件夹名</w:t>
            </w:r>
          </w:p>
        </w:tc>
        <w:tc>
          <w:tcPr>
            <w:tcW w:type="dxa" w:w="2296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2296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296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现有代码</w:t>
            </w:r>
          </w:p>
        </w:tc>
      </w:tr>
      <w:tr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room_hearing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国际仲裁听证厅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P0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新房间，替换现 TrialRoom 外观</w:t>
            </w:r>
          </w:p>
        </w:tc>
      </w:tr>
      <w:tr>
        <w:tc>
          <w:tcPr>
            <w:tcW w:type="dxa" w:w="2296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room_enforcement</w:t>
            </w:r>
          </w:p>
        </w:tc>
        <w:tc>
          <w:tcPr>
            <w:tcW w:type="dxa" w:w="2296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内地审查庭</w:t>
            </w:r>
          </w:p>
        </w:tc>
        <w:tc>
          <w:tcPr>
            <w:tcW w:type="dxa" w:w="2296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P2</w:t>
            </w:r>
          </w:p>
        </w:tc>
        <w:tc>
          <w:tcPr>
            <w:tcW w:type="dxa" w:w="2296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改现 courtroom 语义</w:t>
            </w:r>
          </w:p>
        </w:tc>
      </w:tr>
      <w:tr>
        <w:tc>
          <w:tcPr>
            <w:tcW w:type="dxa" w:w="2296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room_audit</w:t>
            </w:r>
          </w:p>
        </w:tc>
        <w:tc>
          <w:tcPr>
            <w:tcW w:type="dxa" w:w="2296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溯源工作台</w:t>
            </w:r>
          </w:p>
        </w:tc>
        <w:tc>
          <w:tcPr>
            <w:tcW w:type="dxa" w:w="2296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P2（规范可 P0 一页）</w:t>
            </w:r>
          </w:p>
        </w:tc>
        <w:tc>
          <w:tcPr>
            <w:tcW w:type="dxa" w:w="2296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新；可为 2.5D</w:t>
            </w:r>
          </w:p>
        </w:tc>
      </w:tr>
      <w:tr>
        <w:tc>
          <w:tcPr>
            <w:tcW w:type="dxa" w:w="2296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room_office</w:t>
            </w:r>
          </w:p>
        </w:tc>
        <w:tc>
          <w:tcPr>
            <w:tcW w:type="dxa" w:w="2296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律师会见</w:t>
            </w:r>
          </w:p>
        </w:tc>
        <w:tc>
          <w:tcPr>
            <w:tcW w:type="dxa" w:w="2296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P2 可选</w:t>
            </w:r>
          </w:p>
        </w:tc>
        <w:tc>
          <w:tcPr>
            <w:tcW w:type="dxa" w:w="2296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已有 lawyer_office</w:t>
            </w:r>
          </w:p>
        </w:tc>
      </w:tr>
      <w:tr>
        <w:tc>
          <w:tcPr>
            <w:tcW w:type="dxa" w:w="2296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room_mediation</w:t>
            </w:r>
          </w:p>
        </w:tc>
        <w:tc>
          <w:tcPr>
            <w:tcW w:type="dxa" w:w="2296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和解会议</w:t>
            </w:r>
          </w:p>
        </w:tc>
        <w:tc>
          <w:tcPr>
            <w:tcW w:type="dxa" w:w="2296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P2 可选</w:t>
            </w:r>
          </w:p>
        </w:tc>
        <w:tc>
          <w:tcPr>
            <w:tcW w:type="dxa" w:w="2296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已有 mediation</w:t>
            </w:r>
          </w:p>
        </w:tc>
      </w:tr>
    </w:tbl>
    <w:p>
      <w:pPr>
        <w:spacing w:after="160"/>
      </w:pPr>
    </w:p>
    <w:p>
      <w:pPr>
        <w:spacing w:before="0" w:after="160" w:line="324" w:lineRule="auto"/>
        <w:ind w:firstLine="0"/>
      </w:pPr>
      <w:r>
        <w:rPr>
          <w:rFonts w:ascii="Calibri" w:hAnsi="Calibri" w:eastAsia="宋体"/>
          <w:b w:val="0"/>
          <w:color w:val="1A1A1A"/>
          <w:sz w:val="22"/>
        </w:rPr>
        <w:t>手势片段名必须与代码一致，可加中文说明，不要改英文 clip 名：point、nod、shake_head、lean_forward、hand_over_doc、relay_note、type、stand、sit、flip_file。镜头名：wide、over_shoulder、close_up、two_shot。</w:t>
      </w:r>
    </w:p>
    <w:p>
      <w:pPr>
        <w:keepNext/>
        <w:spacing w:before="240" w:after="160"/>
      </w:pPr>
      <w:r>
        <w:rPr>
          <w:rFonts w:ascii="Calibri" w:hAnsi="Calibri" w:eastAsia="黑体"/>
          <w:b/>
          <w:color w:val="1B2A4A"/>
          <w:sz w:val="26"/>
        </w:rPr>
        <w:t>2.4 溯源状态 ID（信息设计 P0 交色票，空间 P2 再做）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ID</w:t>
            </w:r>
          </w:p>
        </w:tc>
        <w:tc>
          <w:tcPr>
            <w:tcW w:type="dxa" w:w="3061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061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3D 约束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supported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证据支持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可完整表演</w:t>
            </w:r>
          </w:p>
        </w:tc>
      </w:tr>
      <w:tr>
        <w:tc>
          <w:tcPr>
            <w:tcW w:type="dxa" w:w="3061"/>
            <w:shd w:fill="F4F1EA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unknown</w:t>
            </w:r>
          </w:p>
        </w:tc>
        <w:tc>
          <w:tcPr>
            <w:tcW w:type="dxa" w:w="3061"/>
            <w:shd w:fill="F4F1EA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未知（一等状态）</w:t>
            </w:r>
          </w:p>
        </w:tc>
        <w:tc>
          <w:tcPr>
            <w:tcW w:type="dxa" w:w="3061"/>
            <w:shd w:fill="F4F1EA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禁止发言/补全动作，只用空态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unsupported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未支持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不作为结论依据</w:t>
            </w:r>
          </w:p>
        </w:tc>
      </w:tr>
      <w:tr>
        <w:tc>
          <w:tcPr>
            <w:tcW w:type="dxa" w:w="3061"/>
            <w:shd w:fill="F4F1EA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excluded</w:t>
            </w:r>
          </w:p>
        </w:tc>
        <w:tc>
          <w:tcPr>
            <w:tcW w:type="dxa" w:w="3061"/>
            <w:shd w:fill="F4F1EA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已排除（传闻/二手）</w:t>
            </w:r>
          </w:p>
        </w:tc>
        <w:tc>
          <w:tcPr>
            <w:tcW w:type="dxa" w:w="3061"/>
            <w:shd w:fill="F4F1EA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灰色剔除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frozen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人工冻结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可演，但不可改历史外观</w:t>
            </w:r>
          </w:p>
        </w:tc>
      </w:tr>
    </w:tbl>
    <w:p>
      <w:pPr>
        <w:spacing w:after="160"/>
      </w:pPr>
    </w:p>
    <w:p>
      <w:pPr>
        <w:keepNext/>
        <w:spacing w:before="320" w:after="160"/>
        <w:pBdr>
          <w:bottom w:val="single" w:sz="12" w:space="4" w:color="1B2A4A"/>
        </w:pBdr>
      </w:pPr>
      <w:r>
        <w:rPr>
          <w:rFonts w:ascii="Calibri" w:hAnsi="Calibri" w:eastAsia="黑体"/>
          <w:b/>
          <w:color w:val="1B2A4A"/>
          <w:sz w:val="32"/>
        </w:rPr>
        <w:t>三、总交付包结构</w:t>
      </w:r>
    </w:p>
    <w:p>
      <w:pPr>
        <w:spacing w:before="0" w:after="160" w:line="324" w:lineRule="auto"/>
        <w:ind w:firstLine="0"/>
      </w:pPr>
      <w:r>
        <w:rPr>
          <w:rFonts w:ascii="Calibri" w:hAnsi="Calibri" w:eastAsia="宋体"/>
          <w:b w:val="0"/>
          <w:color w:val="1A1A1A"/>
          <w:sz w:val="22"/>
        </w:rPr>
        <w:t>建议根目录：3D建模方案/交付_仲裁三场景/。源文件（Blender / C4D / PS / Figma / AI）必须一并交，不能只交效果图。第一阶段不必建齐所有子文件夹，但 P0 文件必须进得去、叫得对。</w:t>
      </w:r>
    </w:p>
    <w:p>
      <w:pPr>
        <w:spacing w:before="0" w:after="160" w:line="324" w:lineRule="auto"/>
        <w:ind w:firstLine="0"/>
      </w:pPr>
      <w:r>
        <w:rPr>
          <w:rFonts w:ascii="Calibri" w:hAnsi="Calibri" w:eastAsia="宋体"/>
          <w:b w:val="0"/>
          <w:color w:val="4A4A4A"/>
          <w:sz w:val="21"/>
        </w:rPr>
        <w:t>00_总则/　01_场景A_听证厅/　02_场景B_审查庭/　03_场景C_溯源台/　04_角色/　05_道具/　06_动画/　07_UI规范/　08_概念图/　09_验收/</w:t>
      </w:r>
    </w:p>
    <w:p>
      <w:pPr>
        <w:keepNext/>
        <w:spacing w:before="320" w:after="160"/>
        <w:pBdr>
          <w:bottom w:val="single" w:sz="12" w:space="4" w:color="1B2A4A"/>
        </w:pBdr>
      </w:pPr>
      <w:r>
        <w:rPr>
          <w:rFonts w:ascii="Calibri" w:hAnsi="Calibri" w:eastAsia="黑体"/>
          <w:b/>
          <w:color w:val="1B2A4A"/>
          <w:sz w:val="32"/>
        </w:rPr>
        <w:t>四、场景 A：国际商事仲裁听证厅</w:t>
      </w:r>
    </w:p>
    <w:p>
      <w:pPr>
        <w:spacing w:before="0" w:after="160" w:line="324" w:lineRule="auto"/>
        <w:ind w:firstLine="0"/>
      </w:pPr>
      <w:r>
        <w:rPr>
          <w:rFonts w:ascii="Calibri" w:hAnsi="Calibri" w:eastAsia="宋体"/>
          <w:b w:val="0"/>
          <w:color w:val="1A1A1A"/>
          <w:sz w:val="22"/>
        </w:rPr>
        <w:t>研究功能：让人看见是否适当通知、是否获得申辩。空位、未发言、被制止、口译是否在场，都是程序证据。本场景是设计第一优先。</w:t>
      </w:r>
    </w:p>
    <w:p>
      <w:pPr>
        <w:keepNext/>
        <w:spacing w:before="240" w:after="160"/>
      </w:pPr>
      <w:r>
        <w:rPr>
          <w:rFonts w:ascii="Calibri" w:hAnsi="Calibri" w:eastAsia="黑体"/>
          <w:b/>
          <w:color w:val="1B2A4A"/>
          <w:sz w:val="26"/>
        </w:rPr>
        <w:t>4.1 空间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3061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交付</w:t>
            </w:r>
          </w:p>
        </w:tc>
        <w:tc>
          <w:tcPr>
            <w:tcW w:type="dxa" w:w="3061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规格</w:t>
            </w:r>
          </w:p>
        </w:tc>
      </w:tr>
      <w:tr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P0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平面图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顶视，单位米，标清常驻七席锚点</w:t>
            </w:r>
          </w:p>
        </w:tc>
      </w:tr>
      <w:tr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P0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立面 / 剖面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至少 2 张，标桌高、椅高、视线高 1.2–1.5 m</w:t>
            </w:r>
          </w:p>
        </w:tc>
      </w:tr>
      <w:tr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P0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白模 room_hearing.glb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单一文件，建议 ≤80k 三角；原点场地中心，+Z 朝仲裁庭</w:t>
            </w:r>
          </w:p>
        </w:tc>
      </w:tr>
      <w:tr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P1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材质球与灯光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木、织物、金属、玻璃；克制商务；顶光 + 弱侧光，无戏剧聚光</w:t>
            </w:r>
          </w:p>
        </w:tc>
      </w:tr>
      <w:tr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P0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名牌文案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中英：Presiding Arbitrator / Claimant / Respondent / Tribunal Secretary / Interpreter</w:t>
            </w:r>
          </w:p>
        </w:tc>
      </w:tr>
    </w:tbl>
    <w:p>
      <w:pPr>
        <w:spacing w:after="160"/>
      </w:pPr>
    </w:p>
    <w:p>
      <w:pPr>
        <w:spacing w:before="0" w:after="160" w:line="324" w:lineRule="auto"/>
        <w:ind w:firstLine="0"/>
      </w:pPr>
      <w:r>
        <w:rPr>
          <w:rFonts w:ascii="Calibri" w:hAnsi="Calibri" w:eastAsia="宋体"/>
          <w:b w:val="0"/>
          <w:color w:val="1A1A1A"/>
          <w:sz w:val="22"/>
        </w:rPr>
        <w:t>布局：U 形或三边桌；首席居中；两边裁 P1 可先做空椅；申请方左（−X）、被申请方右（+X）；庭秘书在首席前方或侧前方；口译靠近外方。禁止：国徽、法槌、法警台、抬高法台、原告/被告铭牌、律师袍架、囚栏。</w:t>
      </w:r>
    </w:p>
    <w:p>
      <w:pPr>
        <w:keepNext/>
        <w:spacing w:before="240" w:after="160"/>
      </w:pPr>
      <w:r>
        <w:rPr>
          <w:rFonts w:ascii="Calibri" w:hAnsi="Calibri" w:eastAsia="黑体"/>
          <w:b/>
          <w:color w:val="1B2A4A"/>
          <w:sz w:val="26"/>
        </w:rPr>
        <w:t>4.2 锚点表</w:t>
      </w:r>
    </w:p>
    <w:p>
      <w:pPr>
        <w:spacing w:before="0" w:after="160" w:line="324" w:lineRule="auto"/>
        <w:ind w:firstLine="0"/>
      </w:pPr>
      <w:r>
        <w:rPr>
          <w:rFonts w:ascii="Calibri" w:hAnsi="Calibri" w:eastAsia="宋体"/>
          <w:b w:val="0"/>
          <w:color w:val="1A1A1A"/>
          <w:sz w:val="22"/>
        </w:rPr>
        <w:t>每个锚点交：ID、世界坐标 (x,y,z)、朝向 lookAt、椅面高度。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4592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锚点 ID</w:t>
            </w:r>
          </w:p>
        </w:tc>
      </w:tr>
      <w:tr>
        <w:tc>
          <w:tcPr>
            <w:tcW w:type="dxa" w:w="4592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P0 必须</w:t>
            </w:r>
          </w:p>
        </w:tc>
        <w:tc>
          <w:tcPr>
            <w:tcW w:type="dxa" w:w="4592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bench_center、clerk、plaintiff_counsel、plaintiff_party、defendant_counsel、defendant_party、interpreter、evidence_screen</w:t>
            </w:r>
          </w:p>
        </w:tc>
      </w:tr>
      <w:tr>
        <w:tc>
          <w:tcPr>
            <w:tcW w:type="dxa" w:w="4592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P1</w:t>
            </w:r>
          </w:p>
        </w:tc>
        <w:tc>
          <w:tcPr>
            <w:tcW w:type="dxa" w:w="4592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co_arb_l、co_arb_r、witness、mic_claimant、mic_respondent、empty_claimant、empty_respondent</w:t>
            </w:r>
          </w:p>
        </w:tc>
      </w:tr>
    </w:tbl>
    <w:p>
      <w:pPr>
        <w:spacing w:after="160"/>
      </w:pPr>
    </w:p>
    <w:p>
      <w:pPr>
        <w:keepNext/>
        <w:spacing w:before="240" w:after="160"/>
      </w:pPr>
      <w:r>
        <w:rPr>
          <w:rFonts w:ascii="Calibri" w:hAnsi="Calibri" w:eastAsia="黑体"/>
          <w:b/>
          <w:color w:val="1B2A4A"/>
          <w:sz w:val="26"/>
        </w:rPr>
        <w:t>4.3 程序证据道具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3061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道具</w:t>
            </w:r>
          </w:p>
        </w:tc>
        <w:tc>
          <w:tcPr>
            <w:tcW w:type="dxa" w:w="3061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对应程序事实</w:t>
            </w:r>
          </w:p>
        </w:tc>
      </w:tr>
      <w:tr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P0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双语卷宗 / 英文合同 / 话筒（开）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正常开庭发言</w:t>
            </w:r>
          </w:p>
        </w:tc>
      </w:tr>
      <w:tr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P1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送达回证 / 通知函（可空白、可未签）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适当通知</w:t>
            </w:r>
          </w:p>
        </w:tc>
      </w:tr>
      <w:tr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P1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签到表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是否出席</w:t>
            </w:r>
          </w:p>
        </w:tc>
      </w:tr>
      <w:tr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P1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关闭的话筒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未能申辩</w:t>
            </w:r>
          </w:p>
        </w:tc>
      </w:tr>
      <w:tr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P1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空椅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缺席</w:t>
            </w:r>
          </w:p>
        </w:tc>
      </w:tr>
      <w:tr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P1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裁决书封面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原程序终点</w:t>
            </w:r>
          </w:p>
        </w:tc>
      </w:tr>
      <w:tr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P1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同传耳机 / 译员空位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语言是否构成障碍</w:t>
            </w:r>
          </w:p>
        </w:tc>
      </w:tr>
      <w:tr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P0/P1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证据屏亮/灭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P0 做亮灭两色即可，P1 再做模型</w:t>
            </w:r>
          </w:p>
        </w:tc>
      </w:tr>
    </w:tbl>
    <w:p>
      <w:pPr>
        <w:spacing w:after="160"/>
      </w:pPr>
    </w:p>
    <w:p>
      <w:pPr>
        <w:keepNext/>
        <w:spacing w:before="320" w:after="160"/>
        <w:pBdr>
          <w:bottom w:val="single" w:sz="12" w:space="4" w:color="1B2A4A"/>
        </w:pBdr>
      </w:pPr>
      <w:r>
        <w:rPr>
          <w:rFonts w:ascii="Calibri" w:hAnsi="Calibri" w:eastAsia="黑体"/>
          <w:b/>
          <w:color w:val="1B2A4A"/>
          <w:sz w:val="32"/>
        </w:rPr>
        <w:t>五、场景 B：内地承认与执行审查庭（P2）</w:t>
      </w:r>
    </w:p>
    <w:p>
      <w:pPr>
        <w:spacing w:before="0" w:after="160" w:line="324" w:lineRule="auto"/>
        <w:ind w:firstLine="0"/>
      </w:pPr>
      <w:r>
        <w:rPr>
          <w:rFonts w:ascii="Calibri" w:hAnsi="Calibri" w:eastAsia="宋体"/>
          <w:b w:val="0"/>
          <w:color w:val="1A1A1A"/>
          <w:sz w:val="22"/>
        </w:rPr>
        <w:t>纽约公约第 V(1)(b) 条在执行地被审视。书面审查感，不是完整民事开庭剧。现有 TrialRoom 结构可换皮，不作为第一阶段任务。</w:t>
      </w:r>
    </w:p>
    <w:p>
      <w:pPr>
        <w:spacing w:before="20" w:after="60" w:line="300" w:lineRule="auto"/>
        <w:ind w:left="425"/>
      </w:pPr>
      <w:r>
        <w:rPr>
          <w:rFonts w:ascii="Calibri" w:hAnsi="Calibri" w:eastAsia="宋体"/>
          <w:b w:val="0"/>
          <w:color w:val="1A1A1A"/>
          <w:sz w:val="22"/>
        </w:rPr>
        <w:t>• 可保留：高台、书记员桌、两侧席、中栏、证据屏、旁听条。</w:t>
      </w:r>
    </w:p>
    <w:p>
      <w:pPr>
        <w:spacing w:before="20" w:after="60" w:line="300" w:lineRule="auto"/>
        <w:ind w:left="425"/>
      </w:pPr>
      <w:r>
        <w:rPr>
          <w:rFonts w:ascii="Calibri" w:hAnsi="Calibri" w:eastAsia="宋体"/>
          <w:b w:val="0"/>
          <w:color w:val="1A1A1A"/>
          <w:sz w:val="22"/>
        </w:rPr>
        <w:t>• 必须改：墙面国徽默认件；「原告 / 被告 / 审判席」铭牌改为申请承认执行用语。</w:t>
      </w:r>
    </w:p>
    <w:p>
      <w:pPr>
        <w:spacing w:before="20" w:after="60" w:line="300" w:lineRule="auto"/>
        <w:ind w:left="425"/>
      </w:pPr>
      <w:r>
        <w:rPr>
          <w:rFonts w:ascii="Calibri" w:hAnsi="Calibri" w:eastAsia="宋体"/>
          <w:b w:val="0"/>
          <w:color w:val="1A1A1A"/>
          <w:sz w:val="22"/>
        </w:rPr>
        <w:t>• 禁止默认：公诉席、法警、刑事被告、人民陪审员、仪式化法槌。</w:t>
      </w:r>
    </w:p>
    <w:p>
      <w:pPr>
        <w:spacing w:before="20" w:after="60" w:line="300" w:lineRule="auto"/>
        <w:ind w:left="425"/>
      </w:pPr>
      <w:r>
        <w:rPr>
          <w:rFonts w:ascii="Calibri" w:hAnsi="Calibri" w:eastAsia="宋体"/>
          <w:b w:val="0"/>
          <w:color w:val="1A1A1A"/>
          <w:sz w:val="22"/>
        </w:rPr>
        <w:t>• 法台陈设必须能看见：仲裁裁决书、送达记录、开庭笔录副本、申请承认执行材料。</w:t>
      </w:r>
    </w:p>
    <w:p>
      <w:pPr>
        <w:spacing w:before="20" w:after="60" w:line="300" w:lineRule="auto"/>
        <w:ind w:left="425"/>
      </w:pPr>
      <w:r>
        <w:rPr>
          <w:rFonts w:ascii="Calibri" w:hAnsi="Calibri" w:eastAsia="宋体"/>
          <w:b w:val="0"/>
          <w:color w:val="1A1A1A"/>
          <w:sz w:val="22"/>
        </w:rPr>
        <w:t>• 第一阶段 judge 只做听证西装；法袍是同一张脸的第二套服装，放在第三阶段。</w:t>
      </w:r>
    </w:p>
    <w:p>
      <w:pPr>
        <w:keepNext/>
        <w:spacing w:before="320" w:after="160"/>
        <w:pBdr>
          <w:bottom w:val="single" w:sz="12" w:space="4" w:color="1B2A4A"/>
        </w:pBdr>
      </w:pPr>
      <w:r>
        <w:rPr>
          <w:rFonts w:ascii="Calibri" w:hAnsi="Calibri" w:eastAsia="黑体"/>
          <w:b/>
          <w:color w:val="1B2A4A"/>
          <w:sz w:val="32"/>
        </w:rPr>
        <w:t>六、场景 C：溯源审计工作台</w:t>
      </w:r>
    </w:p>
    <w:p>
      <w:pPr>
        <w:spacing w:before="0" w:after="160" w:line="324" w:lineRule="auto"/>
        <w:ind w:firstLine="0"/>
      </w:pPr>
      <w:r>
        <w:rPr>
          <w:rFonts w:ascii="Calibri" w:hAnsi="Calibri" w:eastAsia="宋体"/>
          <w:b w:val="0"/>
          <w:color w:val="1A1A1A"/>
          <w:sz w:val="22"/>
        </w:rPr>
        <w:t>这是产品本体信息层，不是第三间写实法庭。第一阶段只交「能约束 3D 表演」的一页规范；完整组件第三阶段再做。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3061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交付</w:t>
            </w:r>
          </w:p>
        </w:tc>
        <w:tc>
          <w:tcPr>
            <w:tcW w:type="dxa" w:w="3061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P0 一页即可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五态色票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supported / unknown / unsupported / excluded / frozen；未知必须镂空或问号</w:t>
            </w:r>
          </w:p>
        </w:tc>
      </w:tr>
      <w:tr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P0 一页即可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HUD 听证改版线框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去掉原告胜率、法庭调查、宣判；改为程序节点与下一发言</w:t>
            </w:r>
          </w:p>
        </w:tc>
      </w:tr>
      <w:tr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P1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程序节点条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核对通知 → 出庭 → 陈述 → 答辩 → 举证 → 询问</w:t>
            </w:r>
          </w:p>
        </w:tc>
      </w:tr>
      <w:tr>
        <w:tc>
          <w:tcPr>
            <w:tcW w:type="dxa" w:w="3061"/>
            <w:shd w:fill="EEF0F2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P2</w:t>
            </w:r>
          </w:p>
        </w:tc>
        <w:tc>
          <w:tcPr>
            <w:tcW w:type="dxa" w:w="3061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时间线 + 四泳道 + 法源权级 + 缺陷清单 + 卷宗卡</w:t>
            </w:r>
          </w:p>
        </w:tc>
        <w:tc>
          <w:tcPr>
            <w:tcW w:type="dxa" w:w="3061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完整溯源台</w:t>
            </w:r>
          </w:p>
        </w:tc>
      </w:tr>
      <w:tr>
        <w:tc>
          <w:tcPr>
            <w:tcW w:type="dxa" w:w="3061"/>
            <w:shd w:fill="EEF0F2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P2</w:t>
            </w:r>
          </w:p>
        </w:tc>
        <w:tc>
          <w:tcPr>
            <w:tcW w:type="dxa" w:w="3061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3D 联动分镜 4–6 帧</w:t>
            </w:r>
          </w:p>
        </w:tc>
        <w:tc>
          <w:tcPr>
            <w:tcW w:type="dxa" w:w="3061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点未知则对应席位空态、不张嘴</w:t>
            </w:r>
          </w:p>
        </w:tc>
      </w:tr>
    </w:tbl>
    <w:p>
      <w:pPr>
        <w:spacing w:after="160"/>
      </w:pPr>
    </w:p>
    <w:p>
      <w:pPr>
        <w:keepNext/>
        <w:spacing w:before="320" w:after="160"/>
        <w:pBdr>
          <w:bottom w:val="single" w:sz="12" w:space="4" w:color="1B2A4A"/>
        </w:pBdr>
      </w:pPr>
      <w:r>
        <w:rPr>
          <w:rFonts w:ascii="Calibri" w:hAnsi="Calibri" w:eastAsia="黑体"/>
          <w:b/>
          <w:color w:val="1B2A4A"/>
          <w:sz w:val="32"/>
        </w:rPr>
        <w:t>七、角色交付</w:t>
      </w:r>
    </w:p>
    <w:p>
      <w:pPr>
        <w:keepNext/>
        <w:spacing w:before="240" w:after="160"/>
      </w:pPr>
      <w:r>
        <w:rPr>
          <w:rFonts w:ascii="Calibri" w:hAnsi="Calibri" w:eastAsia="黑体"/>
          <w:b/>
          <w:color w:val="1B2A4A"/>
          <w:sz w:val="26"/>
        </w:rPr>
        <w:t>7.1 编制与优先级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1837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代码 ID</w:t>
            </w:r>
          </w:p>
        </w:tc>
        <w:tc>
          <w:tcPr>
            <w:tcW w:type="dxa" w:w="1837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档案复用</w:t>
            </w:r>
          </w:p>
        </w:tc>
        <w:tc>
          <w:tcPr>
            <w:tcW w:type="dxa" w:w="1837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第一阶段服装</w:t>
            </w:r>
          </w:p>
        </w:tc>
        <w:tc>
          <w:tcPr>
            <w:tcW w:type="dxa" w:w="1837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第三阶段服装</w:t>
            </w:r>
          </w:p>
        </w:tc>
      </w:tr>
      <w:tr>
        <w:tc>
          <w:tcPr>
            <w:tcW w:type="dxa" w:w="1837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P0</w:t>
            </w:r>
          </w:p>
        </w:tc>
        <w:tc>
          <w:tcPr>
            <w:tcW w:type="dxa" w:w="1837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judge</w:t>
            </w:r>
          </w:p>
        </w:tc>
        <w:tc>
          <w:tcPr>
            <w:tcW w:type="dxa" w:w="1837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01 周岚/周屹的脸</w:t>
            </w:r>
          </w:p>
        </w:tc>
        <w:tc>
          <w:tcPr>
            <w:tcW w:type="dxa" w:w="1837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深色西装（首席仲裁员）</w:t>
            </w:r>
          </w:p>
        </w:tc>
        <w:tc>
          <w:tcPr>
            <w:tcW w:type="dxa" w:w="1837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中国法官袍（审查庭）</w:t>
            </w:r>
          </w:p>
        </w:tc>
      </w:tr>
      <w:tr>
        <w:tc>
          <w:tcPr>
            <w:tcW w:type="dxa" w:w="1837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P0</w:t>
            </w:r>
          </w:p>
        </w:tc>
        <w:tc>
          <w:tcPr>
            <w:tcW w:type="dxa" w:w="1837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clerk</w:t>
            </w:r>
          </w:p>
        </w:tc>
        <w:tc>
          <w:tcPr>
            <w:tcW w:type="dxa" w:w="1837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04 林泽/林澄</w:t>
            </w:r>
          </w:p>
        </w:tc>
        <w:tc>
          <w:tcPr>
            <w:tcW w:type="dxa" w:w="1837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西装（庭秘书）</w:t>
            </w:r>
          </w:p>
        </w:tc>
        <w:tc>
          <w:tcPr>
            <w:tcW w:type="dxa" w:w="1837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书记员制服</w:t>
            </w:r>
          </w:p>
        </w:tc>
      </w:tr>
      <w:tr>
        <w:tc>
          <w:tcPr>
            <w:tcW w:type="dxa" w:w="1837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P0</w:t>
            </w:r>
          </w:p>
        </w:tc>
        <w:tc>
          <w:tcPr>
            <w:tcW w:type="dxa" w:w="1837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plaintiff_counsel</w:t>
            </w:r>
          </w:p>
        </w:tc>
        <w:tc>
          <w:tcPr>
            <w:tcW w:type="dxa" w:w="1837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06 顾清妍/顾清衡</w:t>
            </w:r>
          </w:p>
        </w:tc>
        <w:tc>
          <w:tcPr>
            <w:tcW w:type="dxa" w:w="1837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西装，去掉律师袍</w:t>
            </w:r>
          </w:p>
        </w:tc>
        <w:tc>
          <w:tcPr>
            <w:tcW w:type="dxa" w:w="1837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按法学会签</w:t>
            </w:r>
          </w:p>
        </w:tc>
      </w:tr>
      <w:tr>
        <w:tc>
          <w:tcPr>
            <w:tcW w:type="dxa" w:w="1837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P0</w:t>
            </w:r>
          </w:p>
        </w:tc>
        <w:tc>
          <w:tcPr>
            <w:tcW w:type="dxa" w:w="1837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plaintiff_party</w:t>
            </w:r>
          </w:p>
        </w:tc>
        <w:tc>
          <w:tcPr>
            <w:tcW w:type="dxa" w:w="1837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08 陆玮/陆玮宁</w:t>
            </w:r>
          </w:p>
        </w:tc>
        <w:tc>
          <w:tcPr>
            <w:tcW w:type="dxa" w:w="1837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职业装</w:t>
            </w:r>
          </w:p>
        </w:tc>
        <w:tc>
          <w:tcPr>
            <w:tcW w:type="dxa" w:w="1837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同</w:t>
            </w:r>
          </w:p>
        </w:tc>
      </w:tr>
      <w:tr>
        <w:tc>
          <w:tcPr>
            <w:tcW w:type="dxa" w:w="1837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P0</w:t>
            </w:r>
          </w:p>
        </w:tc>
        <w:tc>
          <w:tcPr>
            <w:tcW w:type="dxa" w:w="1837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defendant_counsel</w:t>
            </w:r>
          </w:p>
        </w:tc>
        <w:tc>
          <w:tcPr>
            <w:tcW w:type="dxa" w:w="1837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07 沈嘉树/沈嘉宁</w:t>
            </w:r>
          </w:p>
        </w:tc>
        <w:tc>
          <w:tcPr>
            <w:tcW w:type="dxa" w:w="1837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西装，去掉律师袍</w:t>
            </w:r>
          </w:p>
        </w:tc>
        <w:tc>
          <w:tcPr>
            <w:tcW w:type="dxa" w:w="1837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按法学会签</w:t>
            </w:r>
          </w:p>
        </w:tc>
      </w:tr>
      <w:tr>
        <w:tc>
          <w:tcPr>
            <w:tcW w:type="dxa" w:w="1837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P0</w:t>
            </w:r>
          </w:p>
        </w:tc>
        <w:tc>
          <w:tcPr>
            <w:tcW w:type="dxa" w:w="1837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defendant_party</w:t>
            </w:r>
          </w:p>
        </w:tc>
        <w:tc>
          <w:tcPr>
            <w:tcW w:type="dxa" w:w="1837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09 Elena / Marco Rossi</w:t>
            </w:r>
          </w:p>
        </w:tc>
        <w:tc>
          <w:tcPr>
            <w:tcW w:type="dxa" w:w="1837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西装 + 单侧耳机</w:t>
            </w:r>
          </w:p>
        </w:tc>
        <w:tc>
          <w:tcPr>
            <w:tcW w:type="dxa" w:w="1837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审查庭可去耳机</w:t>
            </w:r>
          </w:p>
        </w:tc>
      </w:tr>
      <w:tr>
        <w:tc>
          <w:tcPr>
            <w:tcW w:type="dxa" w:w="1837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P0</w:t>
            </w:r>
          </w:p>
        </w:tc>
        <w:tc>
          <w:tcPr>
            <w:tcW w:type="dxa" w:w="1837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interpreter</w:t>
            </w:r>
          </w:p>
        </w:tc>
        <w:tc>
          <w:tcPr>
            <w:tcW w:type="dxa" w:w="1837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10 唐雯/唐闻</w:t>
            </w:r>
          </w:p>
        </w:tc>
        <w:tc>
          <w:tcPr>
            <w:tcW w:type="dxa" w:w="1837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西装 + 耳机 + 速记本</w:t>
            </w:r>
          </w:p>
        </w:tc>
        <w:tc>
          <w:tcPr>
            <w:tcW w:type="dxa" w:w="1837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可选</w:t>
            </w:r>
          </w:p>
        </w:tc>
      </w:tr>
      <w:tr>
        <w:tc>
          <w:tcPr>
            <w:tcW w:type="dxa" w:w="1837"/>
            <w:shd w:fill="F7F1E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P1</w:t>
            </w:r>
          </w:p>
        </w:tc>
        <w:tc>
          <w:tcPr>
            <w:tcW w:type="dxa" w:w="1837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co_arb_l/r</w:t>
            </w:r>
          </w:p>
        </w:tc>
        <w:tc>
          <w:tcPr>
            <w:tcW w:type="dxa" w:w="1837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可改编 02 的脸</w:t>
            </w:r>
          </w:p>
        </w:tc>
        <w:tc>
          <w:tcPr>
            <w:tcW w:type="dxa" w:w="1837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西装；可先空椅</w:t>
            </w:r>
          </w:p>
        </w:tc>
        <w:tc>
          <w:tcPr>
            <w:tcW w:type="dxa" w:w="1837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不进审查厅</w:t>
            </w:r>
          </w:p>
        </w:tc>
      </w:tr>
      <w:tr>
        <w:tc>
          <w:tcPr>
            <w:tcW w:type="dxa" w:w="1837"/>
            <w:shd w:fill="F7F1E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P1</w:t>
            </w:r>
          </w:p>
        </w:tc>
        <w:tc>
          <w:tcPr>
            <w:tcW w:type="dxa" w:w="1837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witness / expert</w:t>
            </w:r>
          </w:p>
        </w:tc>
        <w:tc>
          <w:tcPr>
            <w:tcW w:type="dxa" w:w="1837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11 / 12</w:t>
            </w:r>
          </w:p>
        </w:tc>
        <w:tc>
          <w:tcPr>
            <w:tcW w:type="dxa" w:w="1837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商务 / 学者</w:t>
            </w:r>
          </w:p>
        </w:tc>
        <w:tc>
          <w:tcPr>
            <w:tcW w:type="dxa" w:w="1837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通常不进审查厅</w:t>
            </w:r>
          </w:p>
        </w:tc>
      </w:tr>
      <w:tr>
        <w:tc>
          <w:tcPr>
            <w:tcW w:type="dxa" w:w="1837"/>
            <w:shd w:fill="EEF0F2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P2</w:t>
            </w:r>
          </w:p>
        </w:tc>
        <w:tc>
          <w:tcPr>
            <w:tcW w:type="dxa" w:w="1837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co_judge_l/r</w:t>
            </w:r>
          </w:p>
        </w:tc>
        <w:tc>
          <w:tcPr>
            <w:tcW w:type="dxa" w:w="1837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02 陈启明/陈启澜</w:t>
            </w:r>
          </w:p>
        </w:tc>
        <w:tc>
          <w:tcPr>
            <w:tcW w:type="dxa" w:w="1837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第一阶段不做</w:t>
            </w:r>
          </w:p>
        </w:tc>
        <w:tc>
          <w:tcPr>
            <w:tcW w:type="dxa" w:w="1837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法袍</w:t>
            </w:r>
          </w:p>
        </w:tc>
      </w:tr>
    </w:tbl>
    <w:p>
      <w:pPr>
        <w:spacing w:after="160"/>
      </w:pPr>
    </w:p>
    <w:p>
      <w:pPr>
        <w:spacing w:before="0" w:after="160" w:line="324" w:lineRule="auto"/>
        <w:ind w:firstLine="0"/>
      </w:pPr>
      <w:r>
        <w:rPr>
          <w:rFonts w:ascii="Calibri" w:hAnsi="Calibri" w:eastAsia="宋体"/>
          <w:b w:val="0"/>
          <w:color w:val="1A1A1A"/>
          <w:sz w:val="22"/>
        </w:rPr>
        <w:t>P2 不做进默认包：03 陪审员、05 法警、13 公诉人、14 刑事被告。每个 P0 角色必须交 original + swap 两套性别皮肤。</w:t>
      </w:r>
    </w:p>
    <w:p>
      <w:pPr>
        <w:keepNext/>
        <w:spacing w:before="240" w:after="160"/>
      </w:pPr>
      <w:r>
        <w:rPr>
          <w:rFonts w:ascii="Calibri" w:hAnsi="Calibri" w:eastAsia="黑体"/>
          <w:b/>
          <w:color w:val="1B2A4A"/>
          <w:sz w:val="26"/>
        </w:rPr>
        <w:t>7.2 每个 P0 角色的文件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061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061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P0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三视图或半身设定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3:4；标注连续性标记；必须是西装听证版</w:t>
            </w:r>
          </w:p>
        </w:tc>
      </w:tr>
      <w:tr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P0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可替换模型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VRM 或 glTF；骨骼朝向正确即可先交低模</w:t>
            </w:r>
          </w:p>
        </w:tc>
      </w:tr>
      <w:tr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P0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连续性五词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写入 checklist，供工程师写进 JSON</w:t>
            </w:r>
          </w:p>
        </w:tc>
      </w:tr>
      <w:tr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P0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名牌用名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中文 + 英文职务，写听证职称</w:t>
            </w:r>
          </w:p>
        </w:tc>
      </w:tr>
      <w:tr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P1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按第九节收面与口型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主角 ≤40k，配角 ≤15k</w:t>
            </w:r>
          </w:p>
        </w:tc>
      </w:tr>
    </w:tbl>
    <w:p>
      <w:pPr>
        <w:spacing w:after="160"/>
      </w:pPr>
    </w:p>
    <w:p>
      <w:pPr>
        <w:spacing w:before="0" w:after="160" w:line="324" w:lineRule="auto"/>
        <w:ind w:firstLine="0"/>
      </w:pPr>
      <w:r>
        <w:rPr>
          <w:rFonts w:ascii="Calibri" w:hAnsi="Calibri" w:eastAsia="宋体"/>
          <w:b w:val="0"/>
          <w:color w:val="1A1A1A"/>
          <w:sz w:val="22"/>
        </w:rPr>
        <w:t>文件名必须为：{actor}_{skin}_{gender}.{ext}。示例：judge_original_f.vrm、judge_swap_m.vrm、defendant_party_swap_m.glb。skin 仅为 original 或 swap；gender 仅为 m 或 f。</w:t>
      </w:r>
    </w:p>
    <w:p>
      <w:pPr>
        <w:keepNext/>
        <w:spacing w:before="320" w:after="160"/>
        <w:pBdr>
          <w:bottom w:val="single" w:sz="12" w:space="4" w:color="1B2A4A"/>
        </w:pBdr>
      </w:pPr>
      <w:r>
        <w:rPr>
          <w:rFonts w:ascii="Calibri" w:hAnsi="Calibri" w:eastAsia="黑体"/>
          <w:b/>
          <w:color w:val="1B2A4A"/>
          <w:sz w:val="32"/>
        </w:rPr>
        <w:t>八、道具交付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296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道具 ID</w:t>
            </w:r>
          </w:p>
        </w:tc>
        <w:tc>
          <w:tcPr>
            <w:tcW w:type="dxa" w:w="2296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2296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P0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case_file_bilingual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A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开庭即用</w:t>
            </w:r>
          </w:p>
        </w:tc>
      </w:tr>
      <w:tr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P0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contract_en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A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开庭即用</w:t>
            </w:r>
          </w:p>
        </w:tc>
      </w:tr>
      <w:tr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P0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pen_silver / pen_dark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A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桌面</w:t>
            </w:r>
          </w:p>
        </w:tc>
      </w:tr>
      <w:tr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P0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keyboard / mic_slim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A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记录席与发言</w:t>
            </w:r>
          </w:p>
        </w:tc>
      </w:tr>
      <w:tr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P0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earpiece_single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A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口译 / 外方</w:t>
            </w:r>
          </w:p>
        </w:tc>
      </w:tr>
      <w:tr>
        <w:tc>
          <w:tcPr>
            <w:tcW w:type="dxa" w:w="2296"/>
            <w:shd w:fill="F7F1E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P1</w:t>
            </w:r>
          </w:p>
        </w:tc>
        <w:tc>
          <w:tcPr>
            <w:tcW w:type="dxa" w:w="2296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award_cover</w:t>
            </w:r>
          </w:p>
        </w:tc>
        <w:tc>
          <w:tcPr>
            <w:tcW w:type="dxa" w:w="2296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A/B</w:t>
            </w:r>
          </w:p>
        </w:tc>
        <w:tc>
          <w:tcPr>
            <w:tcW w:type="dxa" w:w="2296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新增，裁决书封面</w:t>
            </w:r>
          </w:p>
        </w:tc>
      </w:tr>
      <w:tr>
        <w:tc>
          <w:tcPr>
            <w:tcW w:type="dxa" w:w="2296"/>
            <w:shd w:fill="F7F1E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P1</w:t>
            </w:r>
          </w:p>
        </w:tc>
        <w:tc>
          <w:tcPr>
            <w:tcW w:type="dxa" w:w="2296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service_proof</w:t>
            </w:r>
          </w:p>
        </w:tc>
        <w:tc>
          <w:tcPr>
            <w:tcW w:type="dxa" w:w="2296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A/C</w:t>
            </w:r>
          </w:p>
        </w:tc>
        <w:tc>
          <w:tcPr>
            <w:tcW w:type="dxa" w:w="2296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新增，送达回证，空白/已签</w:t>
            </w:r>
          </w:p>
        </w:tc>
      </w:tr>
      <w:tr>
        <w:tc>
          <w:tcPr>
            <w:tcW w:type="dxa" w:w="2296"/>
            <w:shd w:fill="F7F1E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P1</w:t>
            </w:r>
          </w:p>
        </w:tc>
        <w:tc>
          <w:tcPr>
            <w:tcW w:type="dxa" w:w="2296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attendance_sheet</w:t>
            </w:r>
          </w:p>
        </w:tc>
        <w:tc>
          <w:tcPr>
            <w:tcW w:type="dxa" w:w="2296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A</w:t>
            </w:r>
          </w:p>
        </w:tc>
        <w:tc>
          <w:tcPr>
            <w:tcW w:type="dxa" w:w="2296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新增</w:t>
            </w:r>
          </w:p>
        </w:tc>
      </w:tr>
      <w:tr>
        <w:tc>
          <w:tcPr>
            <w:tcW w:type="dxa" w:w="2296"/>
            <w:shd w:fill="F7F1E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P1</w:t>
            </w:r>
          </w:p>
        </w:tc>
        <w:tc>
          <w:tcPr>
            <w:tcW w:type="dxa" w:w="2296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folder_tabs / evidence_index / glossary / notepad</w:t>
            </w:r>
          </w:p>
        </w:tc>
        <w:tc>
          <w:tcPr>
            <w:tcW w:type="dxa" w:w="2296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A</w:t>
            </w:r>
          </w:p>
        </w:tc>
        <w:tc>
          <w:tcPr>
            <w:tcW w:type="dxa" w:w="2296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增强可信</w:t>
            </w:r>
          </w:p>
        </w:tc>
      </w:tr>
      <w:tr>
        <w:tc>
          <w:tcPr>
            <w:tcW w:type="dxa" w:w="2296"/>
            <w:shd w:fill="EEF0F2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P2</w:t>
            </w:r>
          </w:p>
        </w:tc>
        <w:tc>
          <w:tcPr>
            <w:tcW w:type="dxa" w:w="2296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case_file_zh</w:t>
            </w:r>
          </w:p>
        </w:tc>
        <w:tc>
          <w:tcPr>
            <w:tcW w:type="dxa" w:w="2296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B</w:t>
            </w:r>
          </w:p>
        </w:tc>
        <w:tc>
          <w:tcPr>
            <w:tcW w:type="dxa" w:w="2296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中文审查卷</w:t>
            </w:r>
          </w:p>
        </w:tc>
      </w:tr>
      <w:tr>
        <w:tc>
          <w:tcPr>
            <w:tcW w:type="dxa" w:w="2296"/>
            <w:shd w:fill="EEF0F2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P2</w:t>
            </w:r>
          </w:p>
        </w:tc>
        <w:tc>
          <w:tcPr>
            <w:tcW w:type="dxa" w:w="2296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passport</w:t>
            </w:r>
          </w:p>
        </w:tc>
        <w:tc>
          <w:tcPr>
            <w:tcW w:type="dxa" w:w="2296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A/B</w:t>
            </w:r>
          </w:p>
        </w:tc>
        <w:tc>
          <w:tcPr>
            <w:tcW w:type="dxa" w:w="2296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克制使用</w:t>
            </w:r>
          </w:p>
        </w:tc>
      </w:tr>
    </w:tbl>
    <w:p>
      <w:pPr>
        <w:spacing w:after="160"/>
      </w:pPr>
    </w:p>
    <w:p>
      <w:pPr>
        <w:spacing w:before="0" w:after="160" w:line="324" w:lineRule="auto"/>
        <w:ind w:firstLine="0"/>
      </w:pPr>
      <w:r>
        <w:rPr>
          <w:rFonts w:ascii="Calibri" w:hAnsi="Calibri" w:eastAsia="宋体"/>
          <w:b w:val="0"/>
          <w:color w:val="1A1A1A"/>
          <w:sz w:val="22"/>
        </w:rPr>
        <w:t>每件交 glb 或 2K 贴图替代、尺寸（米）、左右手/桌面挂点。正式件单件建议 ≤2MB。</w:t>
      </w:r>
    </w:p>
    <w:p>
      <w:pPr>
        <w:keepNext/>
        <w:spacing w:before="320" w:after="160"/>
        <w:pBdr>
          <w:bottom w:val="single" w:sz="12" w:space="4" w:color="1B2A4A"/>
        </w:pBdr>
      </w:pPr>
      <w:r>
        <w:rPr>
          <w:rFonts w:ascii="Calibri" w:hAnsi="Calibri" w:eastAsia="黑体"/>
          <w:b/>
          <w:color w:val="1B2A4A"/>
          <w:sz w:val="32"/>
        </w:rPr>
        <w:t>九、运行时模型规格</w:t>
      </w:r>
    </w:p>
    <w:p>
      <w:pPr>
        <w:spacing w:before="0" w:after="160" w:line="324" w:lineRule="auto"/>
        <w:ind w:firstLine="0"/>
      </w:pPr>
      <w:r>
        <w:rPr>
          <w:rFonts w:ascii="Calibri" w:hAnsi="Calibri" w:eastAsia="宋体"/>
          <w:b w:val="0"/>
          <w:color w:val="1A1A1A"/>
          <w:sz w:val="22"/>
        </w:rPr>
        <w:t>第一阶段允许先交低模以打通替换流程；第二阶段必须收到下表。微信图生 3D 与百万面 OBJ 不得作为运行时交付。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项</w:t>
            </w:r>
          </w:p>
        </w:tc>
        <w:tc>
          <w:tcPr>
            <w:tcW w:type="dxa" w:w="3061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主角（judge / 双方 counsel）</w:t>
            </w:r>
          </w:p>
        </w:tc>
        <w:tc>
          <w:tcPr>
            <w:tcW w:type="dxa" w:w="3061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配角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三角面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≤ 40k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≤ 15k</w:t>
            </w:r>
          </w:p>
        </w:tc>
      </w:tr>
      <w:tr>
        <w:tc>
          <w:tcPr>
            <w:tcW w:type="dxa" w:w="3061"/>
            <w:shd w:fill="F4F1EA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贴图</w:t>
            </w:r>
          </w:p>
        </w:tc>
        <w:tc>
          <w:tcPr>
            <w:tcW w:type="dxa" w:w="3061"/>
            <w:shd w:fill="F4F1EA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皮肤 2K + 服装 2K</w:t>
            </w:r>
          </w:p>
        </w:tc>
        <w:tc>
          <w:tcPr>
            <w:tcW w:type="dxa" w:w="3061"/>
            <w:shd w:fill="F4F1EA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合并 1K–2K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骨骼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VRM Humanoid 或 Mixamo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同</w:t>
            </w:r>
          </w:p>
        </w:tc>
      </w:tr>
      <w:tr>
        <w:tc>
          <w:tcPr>
            <w:tcW w:type="dxa" w:w="3061"/>
            <w:shd w:fill="F4F1EA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表情</w:t>
            </w:r>
          </w:p>
        </w:tc>
        <w:tc>
          <w:tcPr>
            <w:tcW w:type="dxa" w:w="3061"/>
            <w:shd w:fill="F4F1EA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52 ARKit；至少 A/I/U/E/O + 眨眼</w:t>
            </w:r>
          </w:p>
        </w:tc>
        <w:tc>
          <w:tcPr>
            <w:tcW w:type="dxa" w:w="3061"/>
            <w:shd w:fill="F4F1EA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5 元音 + 眨眼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口型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viseme 15 或 5 元音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5 元音</w:t>
            </w:r>
          </w:p>
        </w:tc>
      </w:tr>
      <w:tr>
        <w:tc>
          <w:tcPr>
            <w:tcW w:type="dxa" w:w="3061"/>
            <w:shd w:fill="F4F1EA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挂点</w:t>
            </w:r>
          </w:p>
        </w:tc>
        <w:tc>
          <w:tcPr>
            <w:tcW w:type="dxa" w:w="3061"/>
            <w:shd w:fill="F4F1EA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右手笔、左手卷宗、桌面</w:t>
            </w:r>
          </w:p>
        </w:tc>
        <w:tc>
          <w:tcPr>
            <w:tcW w:type="dxa" w:w="3061"/>
            <w:shd w:fill="F4F1EA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按需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单文件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≤ 8MB（Draco 后）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≤ 5MB</w:t>
            </w:r>
          </w:p>
        </w:tc>
      </w:tr>
    </w:tbl>
    <w:p>
      <w:pPr>
        <w:spacing w:after="160"/>
      </w:pPr>
    </w:p>
    <w:p>
      <w:pPr>
        <w:keepNext/>
        <w:spacing w:before="320" w:after="160"/>
        <w:pBdr>
          <w:bottom w:val="single" w:sz="12" w:space="4" w:color="1B2A4A"/>
        </w:pBdr>
      </w:pPr>
      <w:r>
        <w:rPr>
          <w:rFonts w:ascii="Calibri" w:hAnsi="Calibri" w:eastAsia="黑体"/>
          <w:b/>
          <w:color w:val="1B2A4A"/>
          <w:sz w:val="32"/>
        </w:rPr>
        <w:t>十、动画交付</w:t>
      </w:r>
    </w:p>
    <w:p>
      <w:pPr>
        <w:spacing w:before="0" w:after="160" w:line="324" w:lineRule="auto"/>
        <w:ind w:firstLine="0"/>
      </w:pPr>
      <w:r>
        <w:rPr>
          <w:rFonts w:ascii="Calibri" w:hAnsi="Calibri" w:eastAsia="宋体"/>
          <w:b w:val="0"/>
          <w:color w:val="1A1A1A"/>
          <w:sz w:val="22"/>
        </w:rPr>
        <w:t>每段 2–4 秒，In-place，命名 = 代码 clip 名。优先可重定向到 VRM/Mixamo。</w:t>
      </w:r>
    </w:p>
    <w:p>
      <w:pPr>
        <w:keepNext/>
        <w:spacing w:before="240" w:after="160"/>
      </w:pPr>
      <w:r>
        <w:rPr>
          <w:rFonts w:ascii="Calibri" w:hAnsi="Calibri" w:eastAsia="黑体"/>
          <w:b/>
          <w:color w:val="1B2A4A"/>
          <w:sz w:val="26"/>
        </w:rPr>
        <w:t>10.1 听证厅能用所必需（P0）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clip</w:t>
            </w:r>
          </w:p>
        </w:tc>
        <w:tc>
          <w:tcPr>
            <w:tcW w:type="dxa" w:w="3061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画面</w:t>
            </w:r>
          </w:p>
        </w:tc>
        <w:tc>
          <w:tcPr>
            <w:tcW w:type="dxa" w:w="3061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谁</w:t>
            </w:r>
          </w:p>
        </w:tc>
      </w:tr>
      <w:tr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sit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坐定倾听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全员</w:t>
            </w:r>
          </w:p>
        </w:tc>
      </w:tr>
      <w:tr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nod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点头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全员</w:t>
            </w:r>
          </w:p>
        </w:tc>
      </w:tr>
      <w:tr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lean_forward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提问或倾听前倾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全员</w:t>
            </w:r>
          </w:p>
        </w:tc>
      </w:tr>
      <w:tr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flip_file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翻卷宗</w:t>
            </w:r>
          </w:p>
        </w:tc>
        <w:tc>
          <w:tcPr>
            <w:tcW w:type="dxa" w:w="3061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代理 / 首席 / 秘书</w:t>
            </w:r>
          </w:p>
        </w:tc>
      </w:tr>
    </w:tbl>
    <w:p>
      <w:pPr>
        <w:spacing w:after="160"/>
      </w:pPr>
    </w:p>
    <w:p>
      <w:pPr>
        <w:keepNext/>
        <w:spacing w:before="240" w:after="160"/>
      </w:pPr>
      <w:r>
        <w:rPr>
          <w:rFonts w:ascii="Calibri" w:hAnsi="Calibri" w:eastAsia="黑体"/>
          <w:b/>
          <w:color w:val="1B2A4A"/>
          <w:sz w:val="26"/>
        </w:rPr>
        <w:t>10.2 听证厅可信（P1）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clip</w:t>
            </w:r>
          </w:p>
        </w:tc>
        <w:tc>
          <w:tcPr>
            <w:tcW w:type="dxa" w:w="3061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画面</w:t>
            </w:r>
          </w:p>
        </w:tc>
        <w:tc>
          <w:tcPr>
            <w:tcW w:type="dxa" w:w="3061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谁</w:t>
            </w:r>
          </w:p>
        </w:tc>
      </w:tr>
      <w:tr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type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记录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clerk</w:t>
            </w:r>
          </w:p>
        </w:tc>
      </w:tr>
      <w:tr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relay_note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口译转述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interpreter</w:t>
            </w:r>
          </w:p>
        </w:tc>
      </w:tr>
      <w:tr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hand_over_doc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递材料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代理</w:t>
            </w:r>
          </w:p>
        </w:tc>
      </w:tr>
      <w:tr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point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克制指证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代理</w:t>
            </w:r>
          </w:p>
        </w:tc>
      </w:tr>
      <w:tr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shake_head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否认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按台词</w:t>
            </w:r>
          </w:p>
        </w:tc>
      </w:tr>
      <w:tr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empty_seat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椅空，禁止用人透明代替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缺席席位</w:t>
            </w:r>
          </w:p>
        </w:tc>
      </w:tr>
      <w:tr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mic_off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话筒关闭，欲言又止后坐下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被限制方</w:t>
            </w:r>
          </w:p>
        </w:tc>
      </w:tr>
      <w:tr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blocked_speak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被主持人制止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当事人 / 代理</w:t>
            </w:r>
          </w:p>
        </w:tc>
      </w:tr>
      <w:tr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check_notice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庭秘书核对通知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clerk</w:t>
            </w:r>
          </w:p>
        </w:tc>
      </w:tr>
      <w:tr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no_sign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指未签署的送达件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代理 / 秘书</w:t>
            </w:r>
          </w:p>
        </w:tc>
      </w:tr>
      <w:tr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listen_only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未知态：只呼吸+注视，不张嘴</w:t>
            </w:r>
          </w:p>
        </w:tc>
        <w:tc>
          <w:tcPr>
            <w:tcW w:type="dxa" w:w="3061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被标为 unknown 的角色</w:t>
            </w:r>
          </w:p>
        </w:tc>
      </w:tr>
    </w:tbl>
    <w:p>
      <w:pPr>
        <w:spacing w:after="160"/>
      </w:pPr>
    </w:p>
    <w:p>
      <w:pPr>
        <w:keepNext/>
        <w:spacing w:before="240" w:after="160"/>
      </w:pPr>
      <w:r>
        <w:rPr>
          <w:rFonts w:ascii="Calibri" w:hAnsi="Calibri" w:eastAsia="黑体"/>
          <w:b/>
          <w:color w:val="1B2A4A"/>
          <w:sz w:val="26"/>
        </w:rPr>
        <w:t>10.3 审查庭（P2，克制）</w:t>
      </w:r>
    </w:p>
    <w:p>
      <w:pPr>
        <w:spacing w:before="0" w:after="160" w:line="324" w:lineRule="auto"/>
        <w:ind w:firstLine="0"/>
      </w:pPr>
      <w:r>
        <w:rPr>
          <w:rFonts w:ascii="Calibri" w:hAnsi="Calibri" w:eastAsia="宋体"/>
          <w:b w:val="0"/>
          <w:color w:val="1A1A1A"/>
          <w:sz w:val="22"/>
        </w:rPr>
        <w:t>stand / sit 可用于核对身份；不要做「全体起立宣判」的戏剧段落。听证厅开庭用口头宣布即可。</w:t>
      </w:r>
    </w:p>
    <w:p>
      <w:pPr>
        <w:keepNext/>
        <w:spacing w:before="320" w:after="160"/>
        <w:pBdr>
          <w:bottom w:val="single" w:sz="12" w:space="4" w:color="1B2A4A"/>
        </w:pBdr>
      </w:pPr>
      <w:r>
        <w:rPr>
          <w:rFonts w:ascii="Calibri" w:hAnsi="Calibri" w:eastAsia="黑体"/>
          <w:b/>
          <w:color w:val="1B2A4A"/>
          <w:sz w:val="32"/>
        </w:rPr>
        <w:t>十一、UI、镜头与声音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296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项</w:t>
            </w:r>
          </w:p>
        </w:tc>
        <w:tc>
          <w:tcPr>
            <w:tcW w:type="dxa" w:w="2296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设计交</w:t>
            </w:r>
          </w:p>
        </w:tc>
        <w:tc>
          <w:tcPr>
            <w:tcW w:type="dxa" w:w="2296"/>
            <w:shd w:fill="1B2A4A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黑体"/>
                <w:b/>
                <w:color w:val="FFFFFF"/>
                <w:sz w:val="19"/>
              </w:rPr>
            </w:r>
            <w:r>
              <w:rPr>
                <w:rFonts w:ascii="Calibri" w:hAnsi="Calibri" w:eastAsia="黑体"/>
                <w:b/>
                <w:color w:val="FFFFFF"/>
                <w:sz w:val="19"/>
              </w:rPr>
              <w:t>计算机做</w:t>
            </w:r>
          </w:p>
        </w:tc>
      </w:tr>
      <w:tr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P0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名牌、字幕条、听证阶段条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视觉稿 + 标注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接到现 Hud</w:t>
            </w:r>
          </w:p>
        </w:tc>
      </w:tr>
      <w:tr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P0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镜头高度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标 1.2–1.5 m 视线；wide 参考帧一张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CameraDirector</w:t>
            </w:r>
          </w:p>
        </w:tc>
      </w:tr>
      <w:tr>
        <w:tc>
          <w:tcPr>
            <w:tcW w:type="dxa" w:w="2296"/>
            <w:shd w:fill="F7F1E3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P1</w:t>
            </w:r>
          </w:p>
        </w:tc>
        <w:tc>
          <w:tcPr>
            <w:tcW w:type="dxa" w:w="2296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OS / CU / two_shot 参考帧</w:t>
            </w:r>
          </w:p>
        </w:tc>
        <w:tc>
          <w:tcPr>
            <w:tcW w:type="dxa" w:w="2296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各 1 张</w:t>
            </w:r>
          </w:p>
        </w:tc>
        <w:tc>
          <w:tcPr>
            <w:tcW w:type="dxa" w:w="2296"/>
            <w:shd w:fill="F7F1E3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现有机位类型</w:t>
            </w:r>
          </w:p>
        </w:tc>
      </w:tr>
      <w:tr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P0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音色提示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每角色男女、中/英</w:t>
            </w:r>
          </w:p>
        </w:tc>
        <w:tc>
          <w:tcPr>
            <w:tcW w:type="dxa" w:w="2296"/>
            <w:shd w:fill="F8EDE8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Web Speech</w:t>
            </w:r>
          </w:p>
        </w:tc>
      </w:tr>
      <w:tr>
        <w:tc>
          <w:tcPr>
            <w:tcW w:type="dxa" w:w="2296"/>
            <w:shd w:fill="EEF0F2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P2</w:t>
            </w:r>
          </w:p>
        </w:tc>
        <w:tc>
          <w:tcPr>
            <w:tcW w:type="dxa" w:w="2296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场景 C 组件</w:t>
            </w:r>
          </w:p>
        </w:tc>
        <w:tc>
          <w:tcPr>
            <w:tcW w:type="dxa" w:w="2296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Figma</w:t>
            </w:r>
          </w:p>
        </w:tc>
        <w:tc>
          <w:tcPr>
            <w:tcW w:type="dxa" w:w="2296"/>
            <w:shd w:fill="EEF0F2" w:val="clea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1A1A1A"/>
                <w:sz w:val="18"/>
              </w:rPr>
              <w:t>前端</w:t>
            </w:r>
          </w:p>
        </w:tc>
      </w:tr>
    </w:tbl>
    <w:p>
      <w:pPr>
        <w:spacing w:after="160"/>
      </w:pPr>
    </w:p>
    <w:p>
      <w:pPr>
        <w:keepNext/>
        <w:spacing w:before="320" w:after="160"/>
        <w:pBdr>
          <w:bottom w:val="single" w:sz="12" w:space="4" w:color="1B2A4A"/>
        </w:pBdr>
      </w:pPr>
      <w:r>
        <w:rPr>
          <w:rFonts w:ascii="Calibri" w:hAnsi="Calibri" w:eastAsia="黑体"/>
          <w:b/>
          <w:color w:val="1B2A4A"/>
          <w:sz w:val="32"/>
        </w:rPr>
        <w:t>十二、概念图</w:t>
      </w:r>
    </w:p>
    <w:p>
      <w:pPr>
        <w:spacing w:before="20" w:after="60" w:line="300" w:lineRule="auto"/>
        <w:ind w:left="425"/>
      </w:pPr>
      <w:r>
        <w:rPr>
          <w:rFonts w:ascii="Calibri" w:hAnsi="Calibri" w:eastAsia="宋体"/>
          <w:b w:val="0"/>
          <w:color w:val="1A1A1A"/>
          <w:sz w:val="22"/>
        </w:rPr>
        <w:t>• P0：听证厅顶视讲解 1 张（可线框），保证锚点讨论够用。</w:t>
      </w:r>
    </w:p>
    <w:p>
      <w:pPr>
        <w:spacing w:before="20" w:after="60" w:line="300" w:lineRule="auto"/>
        <w:ind w:left="425"/>
      </w:pPr>
      <w:r>
        <w:rPr>
          <w:rFonts w:ascii="Calibri" w:hAnsi="Calibri" w:eastAsia="宋体"/>
          <w:b w:val="0"/>
          <w:color w:val="1A1A1A"/>
          <w:sz w:val="22"/>
        </w:rPr>
        <w:t>• P1：听证厅主视觉 1 张，西装、国际厅，非法袍中国法庭。</w:t>
      </w:r>
    </w:p>
    <w:p>
      <w:pPr>
        <w:spacing w:before="20" w:after="60" w:line="300" w:lineRule="auto"/>
        <w:ind w:left="425"/>
      </w:pPr>
      <w:r>
        <w:rPr>
          <w:rFonts w:ascii="Calibri" w:hAnsi="Calibri" w:eastAsia="宋体"/>
          <w:b w:val="0"/>
          <w:color w:val="1A1A1A"/>
          <w:sz w:val="22"/>
        </w:rPr>
        <w:t>• 现有微信图、未绑定 OBJ 只进 08_概念图/raw/，并标注「非运行时」。</w:t>
      </w:r>
    </w:p>
    <w:p>
      <w:pPr>
        <w:spacing w:before="20" w:after="60" w:line="300" w:lineRule="auto"/>
        <w:ind w:left="425"/>
      </w:pPr>
      <w:r>
        <w:rPr>
          <w:rFonts w:ascii="Calibri" w:hAnsi="Calibri" w:eastAsia="宋体"/>
          <w:b w:val="0"/>
          <w:color w:val="1A1A1A"/>
          <w:sz w:val="22"/>
        </w:rPr>
        <w:t>• 不得用法袍审判长效果图冒充首席仲裁员。</w:t>
      </w:r>
    </w:p>
    <w:p>
      <w:pPr>
        <w:keepNext/>
        <w:spacing w:before="320" w:after="160"/>
        <w:pBdr>
          <w:bottom w:val="single" w:sz="12" w:space="4" w:color="1B2A4A"/>
        </w:pBdr>
      </w:pPr>
      <w:r>
        <w:rPr>
          <w:rFonts w:ascii="Calibri" w:hAnsi="Calibri" w:eastAsia="黑体"/>
          <w:b/>
          <w:color w:val="1B2A4A"/>
          <w:sz w:val="32"/>
        </w:rPr>
        <w:t>十三、验收</w:t>
      </w:r>
    </w:p>
    <w:p>
      <w:pPr>
        <w:keepNext/>
        <w:spacing w:before="240" w:after="160"/>
      </w:pPr>
      <w:r>
        <w:rPr>
          <w:rFonts w:ascii="Calibri" w:hAnsi="Calibri" w:eastAsia="黑体"/>
          <w:b/>
          <w:color w:val="1B2A4A"/>
          <w:sz w:val="26"/>
        </w:rPr>
        <w:t>13.1 第一阶段验收（听证厅能用）</w:t>
      </w:r>
    </w:p>
    <w:p>
      <w:pPr>
        <w:spacing w:before="20" w:after="60" w:line="300" w:lineRule="auto"/>
        <w:ind w:left="425"/>
      </w:pPr>
      <w:r>
        <w:rPr>
          <w:rFonts w:ascii="Calibri" w:hAnsi="Calibri" w:eastAsia="宋体"/>
          <w:b w:val="0"/>
          <w:color w:val="1A1A1A"/>
          <w:sz w:val="22"/>
        </w:rPr>
        <w:t>• 房间是国际仲裁听证厅：无法袍台、国徽、法槌、原被告铭牌。</w:t>
      </w:r>
    </w:p>
    <w:p>
      <w:pPr>
        <w:spacing w:before="20" w:after="60" w:line="300" w:lineRule="auto"/>
        <w:ind w:left="425"/>
      </w:pPr>
      <w:r>
        <w:rPr>
          <w:rFonts w:ascii="Calibri" w:hAnsi="Calibri" w:eastAsia="宋体"/>
          <w:b w:val="0"/>
          <w:color w:val="1A1A1A"/>
          <w:sz w:val="22"/>
        </w:rPr>
        <w:t>• 七个常驻锚点与代码 ID 一致，单位米，白模能单独打开。</w:t>
      </w:r>
    </w:p>
    <w:p>
      <w:pPr>
        <w:spacing w:before="20" w:after="60" w:line="300" w:lineRule="auto"/>
        <w:ind w:left="425"/>
      </w:pPr>
      <w:r>
        <w:rPr>
          <w:rFonts w:ascii="Calibri" w:hAnsi="Calibri" w:eastAsia="宋体"/>
          <w:b w:val="0"/>
          <w:color w:val="1A1A1A"/>
          <w:sz w:val="22"/>
        </w:rPr>
        <w:t>• 七人可入座；名牌为仲裁职称；有 original/swap 设定。</w:t>
      </w:r>
    </w:p>
    <w:p>
      <w:pPr>
        <w:spacing w:before="20" w:after="60" w:line="300" w:lineRule="auto"/>
        <w:ind w:left="425"/>
      </w:pPr>
      <w:r>
        <w:rPr>
          <w:rFonts w:ascii="Calibri" w:hAnsi="Calibri" w:eastAsia="宋体"/>
          <w:b w:val="0"/>
          <w:color w:val="1A1A1A"/>
          <w:sz w:val="22"/>
        </w:rPr>
        <w:t>• 至少能播 sit、nod、lean_forward、flip_file。</w:t>
      </w:r>
    </w:p>
    <w:p>
      <w:pPr>
        <w:spacing w:before="20" w:after="60" w:line="300" w:lineRule="auto"/>
        <w:ind w:left="425"/>
      </w:pPr>
      <w:r>
        <w:rPr>
          <w:rFonts w:ascii="Calibri" w:hAnsi="Calibri" w:eastAsia="宋体"/>
          <w:b w:val="0"/>
          <w:color w:val="1A1A1A"/>
          <w:sz w:val="22"/>
        </w:rPr>
        <w:t>• HUD 不再写「法庭调查 / 宣判 / 原告胜率」。</w:t>
      </w:r>
    </w:p>
    <w:p>
      <w:pPr>
        <w:spacing w:before="20" w:after="60" w:line="300" w:lineRule="auto"/>
        <w:ind w:left="425"/>
      </w:pPr>
      <w:r>
        <w:rPr>
          <w:rFonts w:ascii="Calibri" w:hAnsi="Calibri" w:eastAsia="宋体"/>
          <w:b w:val="0"/>
          <w:color w:val="1A1A1A"/>
          <w:sz w:val="22"/>
        </w:rPr>
        <w:t>• 工程师按文件名替换后，/court3d 能开一场完整听证回放。</w:t>
      </w:r>
    </w:p>
    <w:p>
      <w:pPr>
        <w:keepNext/>
        <w:spacing w:before="240" w:after="160"/>
      </w:pPr>
      <w:r>
        <w:rPr>
          <w:rFonts w:ascii="Calibri" w:hAnsi="Calibri" w:eastAsia="黑体"/>
          <w:b/>
          <w:color w:val="1B2A4A"/>
          <w:sz w:val="26"/>
        </w:rPr>
        <w:t>13.2 第二阶段验收（听证厅可信）</w:t>
      </w:r>
    </w:p>
    <w:p>
      <w:pPr>
        <w:spacing w:before="20" w:after="60" w:line="300" w:lineRule="auto"/>
        <w:ind w:left="425"/>
      </w:pPr>
      <w:r>
        <w:rPr>
          <w:rFonts w:ascii="Calibri" w:hAnsi="Calibri" w:eastAsia="宋体"/>
          <w:b w:val="0"/>
          <w:color w:val="1A1A1A"/>
          <w:sz w:val="22"/>
        </w:rPr>
        <w:t>• 缺席空椅、关麦、送达未签、被制止、未知不张嘴，有分镜或成片。</w:t>
      </w:r>
    </w:p>
    <w:p>
      <w:pPr>
        <w:spacing w:before="20" w:after="60" w:line="300" w:lineRule="auto"/>
        <w:ind w:left="425"/>
      </w:pPr>
      <w:r>
        <w:rPr>
          <w:rFonts w:ascii="Calibri" w:hAnsi="Calibri" w:eastAsia="宋体"/>
          <w:b w:val="0"/>
          <w:color w:val="1A1A1A"/>
          <w:sz w:val="22"/>
        </w:rPr>
        <w:t>• P0 角色收到规格内面数与口型。</w:t>
      </w:r>
    </w:p>
    <w:p>
      <w:pPr>
        <w:keepNext/>
        <w:spacing w:before="240" w:after="160"/>
      </w:pPr>
      <w:r>
        <w:rPr>
          <w:rFonts w:ascii="Calibri" w:hAnsi="Calibri" w:eastAsia="黑体"/>
          <w:b/>
          <w:color w:val="1B2A4A"/>
          <w:sz w:val="26"/>
        </w:rPr>
        <w:t>13.3 第三阶段验收（审查庭 + 溯源）</w:t>
      </w:r>
    </w:p>
    <w:p>
      <w:pPr>
        <w:spacing w:before="20" w:after="60" w:line="300" w:lineRule="auto"/>
        <w:ind w:left="425"/>
      </w:pPr>
      <w:r>
        <w:rPr>
          <w:rFonts w:ascii="Calibri" w:hAnsi="Calibri" w:eastAsia="宋体"/>
          <w:b w:val="0"/>
          <w:color w:val="1A1A1A"/>
          <w:sz w:val="22"/>
        </w:rPr>
        <w:t>• 审查庭无法检席/法警/刑事被告；法台有裁决书与送达件。</w:t>
      </w:r>
    </w:p>
    <w:p>
      <w:pPr>
        <w:spacing w:before="20" w:after="60" w:line="300" w:lineRule="auto"/>
        <w:ind w:left="425"/>
      </w:pPr>
      <w:r>
        <w:rPr>
          <w:rFonts w:ascii="Calibri" w:hAnsi="Calibri" w:eastAsia="宋体"/>
          <w:b w:val="0"/>
          <w:color w:val="1A1A1A"/>
          <w:sz w:val="22"/>
        </w:rPr>
        <w:t>• 五态不混淆；未知有禁止表演图示；时间线能对上程序事实。</w:t>
      </w:r>
    </w:p>
    <w:p>
      <w:pPr>
        <w:keepNext/>
        <w:spacing w:before="320" w:after="160"/>
        <w:pBdr>
          <w:bottom w:val="single" w:sz="12" w:space="4" w:color="1B2A4A"/>
        </w:pBdr>
      </w:pPr>
      <w:r>
        <w:rPr>
          <w:rFonts w:ascii="Calibri" w:hAnsi="Calibri" w:eastAsia="黑体"/>
          <w:b/>
          <w:color w:val="1B2A4A"/>
          <w:sz w:val="32"/>
        </w:rPr>
        <w:t>十四、给工程师的收件标准</w:t>
      </w:r>
    </w:p>
    <w:p>
      <w:pPr>
        <w:spacing w:before="0" w:after="160" w:line="324" w:lineRule="auto"/>
        <w:ind w:firstLine="0"/>
      </w:pPr>
      <w:r>
        <w:rPr>
          <w:rFonts w:ascii="Calibri" w:hAnsi="Calibri" w:eastAsia="宋体"/>
          <w:b w:val="0"/>
          <w:color w:val="1A1A1A"/>
          <w:sz w:val="22"/>
        </w:rPr>
        <w:t>第一阶段交来的包应让工程师做到：</w:t>
      </w:r>
    </w:p>
    <w:p>
      <w:pPr>
        <w:spacing w:before="20" w:after="60" w:line="300" w:lineRule="auto"/>
        <w:ind w:left="425"/>
      </w:pPr>
      <w:r>
        <w:rPr>
          <w:rFonts w:ascii="Calibri" w:hAnsi="Calibri" w:eastAsia="宋体"/>
          <w:b w:val="0"/>
          <w:color w:val="1A1A1A"/>
          <w:sz w:val="22"/>
        </w:rPr>
        <w:t>• 换上 room_hearing.glb 即从中国审判厅变成仲裁听证厅；</w:t>
      </w:r>
    </w:p>
    <w:p>
      <w:pPr>
        <w:spacing w:before="20" w:after="60" w:line="300" w:lineRule="auto"/>
        <w:ind w:left="425"/>
      </w:pPr>
      <w:r>
        <w:rPr>
          <w:rFonts w:ascii="Calibri" w:hAnsi="Calibri" w:eastAsia="宋体"/>
          <w:b w:val="0"/>
          <w:color w:val="1A1A1A"/>
          <w:sz w:val="22"/>
        </w:rPr>
        <w:t>• 改剧组 JSON 路径即换上七人（低模亦可）；</w:t>
      </w:r>
    </w:p>
    <w:p>
      <w:pPr>
        <w:spacing w:before="20" w:after="60" w:line="300" w:lineRule="auto"/>
        <w:ind w:left="425"/>
      </w:pPr>
      <w:r>
        <w:rPr>
          <w:rFonts w:ascii="Calibri" w:hAnsi="Calibri" w:eastAsia="宋体"/>
          <w:b w:val="0"/>
          <w:color w:val="1A1A1A"/>
          <w:sz w:val="22"/>
        </w:rPr>
        <w:t>• 按 clip 名播 sit / nod / lean_forward / flip_file；</w:t>
      </w:r>
    </w:p>
    <w:p>
      <w:pPr>
        <w:spacing w:before="20" w:after="60" w:line="300" w:lineRule="auto"/>
        <w:ind w:left="425"/>
      </w:pPr>
      <w:r>
        <w:rPr>
          <w:rFonts w:ascii="Calibri" w:hAnsi="Calibri" w:eastAsia="宋体"/>
          <w:b w:val="0"/>
          <w:color w:val="1A1A1A"/>
          <w:sz w:val="22"/>
        </w:rPr>
        <w:t>• 名牌与 HUD 使用仲裁用语。</w:t>
      </w:r>
    </w:p>
    <w:p>
      <w:pPr>
        <w:spacing w:before="0" w:after="160" w:line="324" w:lineRule="auto"/>
        <w:ind w:firstLine="0"/>
      </w:pPr>
      <w:r>
        <w:rPr>
          <w:rFonts w:ascii="Calibri" w:hAnsi="Calibri" w:eastAsia="宋体"/>
          <w:b w:val="0"/>
          <w:color w:val="1A1A1A"/>
          <w:sz w:val="22"/>
        </w:rPr>
        <w:t>做不到以上四句，视为第一阶段未完成，不要开始审查庭精模。</w:t>
      </w:r>
    </w:p>
    <w:p>
      <w:pPr>
        <w:keepNext/>
        <w:spacing w:before="320" w:after="160"/>
        <w:pBdr>
          <w:bottom w:val="single" w:sz="12" w:space="4" w:color="1B2A4A"/>
        </w:pBdr>
      </w:pPr>
      <w:r>
        <w:rPr>
          <w:rFonts w:ascii="Calibri" w:hAnsi="Calibri" w:eastAsia="黑体"/>
          <w:b/>
          <w:color w:val="1B2A4A"/>
          <w:sz w:val="32"/>
        </w:rPr>
        <w:t>十五、附：现有 3D 可复用说明（设计不用重做）</w:t>
      </w:r>
    </w:p>
    <w:p>
      <w:pPr>
        <w:spacing w:before="0" w:after="160" w:line="324" w:lineRule="auto"/>
        <w:ind w:firstLine="0"/>
      </w:pPr>
      <w:r>
        <w:rPr>
          <w:rFonts w:ascii="Calibri" w:hAnsi="Calibri" w:eastAsia="宋体"/>
          <w:b w:val="0"/>
          <w:color w:val="1A1A1A"/>
          <w:sz w:val="22"/>
        </w:rPr>
        <w:t>下列由计算机保留，设计按接口交件即可：PerformanceEvent 协议、SSE 适配器、Avatar 加载器（空路径回退胶囊人）、口型与 TTS 队列、镜头四类型、回放页。设计不要重做引擎，不要改 Actor 英文字段名。</w:t>
      </w:r>
    </w:p>
    <w:p>
      <w:pPr>
        <w:spacing w:before="360"/>
      </w:pPr>
      <w:r>
        <w:rPr>
          <w:rFonts w:ascii="Calibri" w:hAnsi="Calibri" w:eastAsia="楷体"/>
          <w:b w:val="0"/>
          <w:color w:val="4A4A4A"/>
          <w:sz w:val="22"/>
        </w:rPr>
        <w:t>— 正文结束。优先级如与其他口头安排冲突，以「先保证听证厅正常使用」为准。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4A4A4A"/>
        <w:sz w:val="16"/>
      </w:rPr>
      <w:t>LexGentium · 国际商事仲裁三场景设计交付说明书 · 设计专业内部文件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