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D5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30"/>
          <w:szCs w:val="30"/>
        </w:rPr>
        <w:t>3. 产品矩阵</w:t>
      </w:r>
    </w:p>
    <w:p w14:paraId="22067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在法律科技的浪潮中，单纯的工具迭代已无法满足司法实践对效率、精准度与专业性的多重诉求。</w:t>
      </w:r>
      <w:r>
        <w:rPr>
          <w:rFonts w:hint="eastAsia"/>
          <w:lang w:eastAsia="zh-CN"/>
        </w:rPr>
        <w:t>“</w:t>
      </w:r>
      <w:r>
        <w:rPr>
          <w:rFonts w:hint="eastAsia"/>
        </w:rPr>
        <w:t>元弈言枢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项目</w:t>
      </w:r>
      <w:r>
        <w:rPr>
          <w:rFonts w:hint="eastAsia"/>
        </w:rPr>
        <w:t>立足博弈论</w:t>
      </w:r>
      <w:r>
        <w:rPr>
          <w:rFonts w:hint="eastAsia"/>
          <w:lang w:val="en-US" w:eastAsia="zh-CN"/>
        </w:rPr>
        <w:t>与</w:t>
      </w:r>
      <w:r>
        <w:rPr>
          <w:rFonts w:hint="eastAsia"/>
        </w:rPr>
        <w:t>法律科技</w:t>
      </w:r>
      <w:r>
        <w:rPr>
          <w:rFonts w:hint="eastAsia"/>
          <w:lang w:val="en-US" w:eastAsia="zh-CN"/>
        </w:rPr>
        <w:t>相结合</w:t>
      </w:r>
      <w:r>
        <w:rPr>
          <w:rFonts w:hint="eastAsia"/>
        </w:rPr>
        <w:t>的核心逻辑，将抽象的对抗思维实体化为三大核心</w:t>
      </w:r>
      <w:r>
        <w:rPr>
          <w:rFonts w:hint="eastAsia"/>
          <w:lang w:val="en-US" w:eastAsia="zh-CN"/>
        </w:rPr>
        <w:t>产品</w:t>
      </w:r>
      <w:r>
        <w:rPr>
          <w:rFonts w:hint="eastAsia"/>
        </w:rPr>
        <w:t>——Legal-CD（庭前智囊）、Legal-DD（防御护盾）、Legal-CI（数字法官），分别对应诉讼全流程中的“起诉准备”“答辩防御”“审判辅助”三大关键场景。三款产品既各自独立解决特定环节的核心痛点，又通过LACP法律智能体协同协议实现数据互通、逻辑联动，构建起覆盖C端当事人</w:t>
      </w:r>
      <w:r>
        <w:rPr>
          <w:rFonts w:hint="eastAsia"/>
          <w:lang w:eastAsia="zh-CN"/>
        </w:rPr>
        <w:t>、</w:t>
      </w:r>
      <w:r>
        <w:rPr>
          <w:rFonts w:hint="eastAsia"/>
        </w:rPr>
        <w:t>B端法律从业者、G端司法机构的全场景服务闭环，让法律博弈的纳什均衡从理论落地为可感知的产品价值。</w:t>
      </w:r>
    </w:p>
    <w:p w14:paraId="63989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3.1 Legal-CD（庭前智囊）：智能起诉系统</w:t>
      </w:r>
    </w:p>
    <w:p w14:paraId="30FD7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民事纠纷中，起诉环节是当事人维护权益的第一步，也是奠定整个诉讼走向的关键。然而，对于绝大多数缺乏法律专业知识的C端当事人而言，如何清晰梳理事实、精准锁定诉求、规避法律风险，成为一道难以逾越的门槛；即便是专业律师，也常常因繁杂的基础工作消耗大量时间，难以快速形成全面的攻守策略。Legal-CD以“诉讼策略官”为核心定位，打破传统起诉辅助工具“模板化、浅层次”的局限，通过苏格拉底式追问挖掘核心事实，结合博弈论对抗逻辑生成兼具合法性与攻击性的起诉状，让起诉从被动陈述升级为主动布局。</w:t>
      </w:r>
    </w:p>
    <w:p w14:paraId="68B5B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3.1.1 核心功能</w:t>
      </w:r>
    </w:p>
    <w:p w14:paraId="11AD3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Legal-CD的核心价值在于让非专业人士也能制定专业诉讼策略，让专业律师摆脱低价值重复劳动，其功能设计围绕“事实挖掘-策略推演-文书生成-风险预警”四大环节展开，形成完整的起诉准备闭环。</w:t>
      </w:r>
    </w:p>
    <w:p w14:paraId="4C075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事实挖掘环节，系统摒弃传统“填空式”信息采集模式，采用苏格拉底式追问法，以层层递进的逻辑引导用户还原案件全貌。例如，在民间借贷纠纷中，系统不会简单询问“借款金额、借款时间”，而是从“借款合意形成过程”“款项交付方式”“还款约定细节”“催款记录留存”等多个维度发起追问，同时针对用户可能遗漏的关键事实进行提示——如“是否约定利息？利息标准是否符合现行 LPR 四倍规定？”“是否存在担保人？担保方式是一般保证还是连带责任保证？”。这种追问模式不仅基于法律条文的硬性要求，更源于对司法实践中常见争议点的深度提炼，确保用户提供的事实信息能够形成完整的证据链支撑。同时，系统支持用户上传聊天记录、转账凭证、合同文件等电子材料，通过OCR识别与RAG检索技术自动提取关键信息，与追问结果相互印证，形成事实库，为后续策略生成奠定坚实基础。</w:t>
      </w:r>
    </w:p>
    <w:p w14:paraId="67CF9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策略推演环节是Legal-CD的核心竞争力所在，也是博弈论思想的首次落地。系统基于</w:t>
      </w:r>
      <w:r>
        <w:rPr>
          <w:rFonts w:hint="eastAsia"/>
          <w:lang w:val="en-US" w:eastAsia="zh-CN"/>
        </w:rPr>
        <w:t>先前生成的</w:t>
      </w:r>
      <w:r>
        <w:rPr>
          <w:rFonts w:hint="eastAsia"/>
        </w:rPr>
        <w:t>事实库，结合海量同类案例的裁判规则，自动生成初步起诉策略框架，随后启动内部“红蓝军预演”——蓝军（策略生成方）从用户利益最大化角度出发，锁定核心诉求、选择最优管辖法院、确定权利主张的法律依据；红军（模拟抗辩方）则站在被告视角，针对初步策略提出可能的抗辩点，如诉讼时效是否届满、合同是否存在无效情形、证据是否具备关联性等。经过数千次虚拟对抗后，系统筛选出双方均无法单方面优化的最优策略，确保起诉方案既符合法律规定，又能有效规避潜在抗辩风险。例如，在买卖合同纠纷中，若用户主张货款支付，系统会自动核查合同约定的付款期限、货物验收标准，同时预判被告可能提出的“货物质量不合格”抗辩，并在策略中提前嵌入质量合格的证据支撑逻辑与法律依据，形成“诉求明确、依据充分、防御到位”的起诉方案。</w:t>
      </w:r>
    </w:p>
    <w:p w14:paraId="2D9C5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文书生成环节则实现了“策略可视化”，将优化后的起诉策略转化为符合最高法规范的起诉状。系统依托AST模板对齐技术，严格遵循民事起诉状的格式要求，确保当事人信息、诉讼请求、事实与理由、证据清单等模块的完整性与规范性。与传统模板不同，Legal-CD生成的起诉状并非简单的文字填充，而是将博弈推演后的策略逻辑融入“事实与理由”部分——通过“事实陈述-法律依据-逻辑论证”的三层结构，层层递进地支撑诉讼请求，同时针对红军预演中识别的抗辩点，提前设置回应逻辑，让文书具备更强的说服力。例如，在劳动争议纠纷中，起诉状会明确陈述劳动合同签订情况、工资标准、加班事实等核心事实，引用《劳动合同法》相关条款作为法律依据，同时针对用人单位可能提出的“员工严重违反规章制度”抗辩，提前在事实部分补充“员工已遵守规章制度、用人单位未提供有效证据证明违规”的相关表述，强化文书的逻辑对抗性。</w:t>
      </w:r>
    </w:p>
    <w:p w14:paraId="35629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风险预警功能为用户提供“诉讼决策参考”，系统通过Justicia评测引擎中的 REA（逻辑对抗性）模块，对生成的起诉状进行胜率评估，给出 S/A/B 三级评级，并附带详细的风险提示报告。报告中会明确指出起诉方案的优势与潜在风险——如“本案证据链完整，诉讼请求具备充分法律依据，胜率评估为S级，但需注意被告可能提出管辖权异议，建议提前准备管辖依据的相关证据”，同时提供针对性的应对建议，帮助用户在起诉前做好充分准备，避免因突发情况陷入被动。</w:t>
      </w:r>
    </w:p>
    <w:p w14:paraId="108FD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3.1.2 应用场景</w:t>
      </w:r>
    </w:p>
    <w:p w14:paraId="432CC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Legal-CD的应用场景贯穿C端当事人与B端律师/法务，既满足普通用户的普惠性需求，也适配专业法律从业者的高效工作需求。</w:t>
      </w:r>
    </w:p>
    <w:p w14:paraId="4CD26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对于C端当事人而言，Legal-CD彻底降低了起诉门槛。无论是民间借贷、婚姻家事、劳动争议等常见民事纠纷，还是标的额较小、案情简单但缺乏专业指导的案件，用户均可通过微信小程序等轻量化入口，无需支付高昂律师费，即可获得专业级的起诉策略与起诉状。例如，普通上班族遭遇公司拖欠工资，只需通过系统上传劳动合同、工资条、考勤记录等材料，跟随追问完成事实陈述，即可生成具备高胜率的起诉状，同时获取风险提示与证据提交指引，大幅降低诉讼成本与败诉风险。此外，对于一些争议较大、当事人希望提前了解诉讼可行性的案件，用户可通过系统的免费咨询功能获取初步策略分析，再决定是否付费生成完整文书，实现“低成本试错”。</w:t>
      </w:r>
    </w:p>
    <w:p w14:paraId="7AF3C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对于B端律师与企业法务而言，Legal-CD成为提升工作效率的核心工具。律师在处理批量案件（如银行信用卡纠纷、物业服务合同纠纷等）时，无需逐一梳理事实、撰写基础文书，可通过系统快速生成起诉状初稿，将更多时间投入到案件核心争议点的研究与策略优化中；在处理复杂案件时，系统的红蓝军对抗推演功能可作为“庭前预演助手”，帮助律师穷尽所有可能的抗辩角度，完善起诉策略，避免因思维盲区遗漏关键要点。例如，企业法务在处理合同纠纷时，可通过 Legal-CD验证自身制定的起诉方案是否存在逻辑漏洞，同时获取同类案例的裁判思路参考，确保策略的合理性与可行性。此外，律所可将Legal-CD作为新人律师的培训工具，通过系统生成的策略报告与思维链（CoT）展示，帮助新人快速掌握不同类型案件的起诉逻辑与抗辩要点，提升专业能力。</w:t>
      </w:r>
    </w:p>
    <w:p w14:paraId="32F39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3.1.3 产品优势</w:t>
      </w:r>
    </w:p>
    <w:p w14:paraId="1DBEB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相较于传统法律软件与通用大模型，Legal-CD具备三大核心优势。在精准度方面，传统法律软件依赖固定模板，无法根据案件具体情况调整策略，容易出现事实遗漏或逻辑漏洞；通用大模型则存在“幻觉”问题，生成的文书可能存在法律依据错误、流程不合规等情况。而Legal-CD基于“事实原子库+红蓝军对抗+三重审计”的逻辑，确保文书的事实完整性、法律准确性与逻辑严密性，Justicia 引擎的DOC模块（信息完备度）可实现事实零遗漏，FOR模块（格式合规性）确保符合最高法规范，从根源上解决“幻觉”与“僵化”问题。</w:t>
      </w:r>
    </w:p>
    <w:p w14:paraId="415A1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效率方面，传统起诉准备流程中，当事人自行梳理事实、撰写文书可能需要数天时间，且质量难以保证；律师处理基础文书工作也需消耗大量时间。Legal-CD通过自动化事实挖掘、智能化策略推演与快速文书生成，将起诉准备周期从数天缩短至数小时，甚至数十分钟，大幅提升工作效率。例如，在简单的民间借贷纠纷中，用户从上传材料到生成完整起诉状，全程仅需30分钟左右，且文书质量可媲美专业律师初稿水平。</w:t>
      </w:r>
    </w:p>
    <w:p w14:paraId="499C6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策略性方面，传统工具仅能提供陈述性文书，无法预判对方抗辩逻辑；通用大模型缺乏法律博弈思维，生成的文书往往缺乏对抗性。Legal-CD以博弈论为核心，通过数千次虚拟对抗生成最优策略，让文书具备攻守兼备的特性，不仅能清晰陈述己方诉求，还能提前规避对方可能的抗辩点，大幅提升诉讼胜率。Justicia引擎的REA模块可对文书逻辑对抗性进行量化评估，让用户直观了解策略优势，这是传统工具与通用大模型无法实现的核心价值。</w:t>
      </w:r>
    </w:p>
    <w:p w14:paraId="71A2F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3.2 Legal-DD（防御护盾）：智能答辩系统</w:t>
      </w:r>
    </w:p>
    <w:p w14:paraId="77474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在民事诉讼中，被告的答辩质量直接决定了诉讼走向。然而，面对原告的起诉，多数被告（尤其是非专业当事人）往往陷入不知如何抗辩、抗辩逻辑混乱、证据提交不当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困境；即便是专业律师，也可能因时间紧张或思维局限，无法穷尽所有抗辩角度，导致错失最佳防御时机。Legal-DD以“全天候防御塔”为定位，专为被告打造智能答辩解决方案，通过自动拆解原告诉求漏洞、生成针对性防御策略与答辩状，为被告构建全方位、无死角的法律防御体系。</w:t>
      </w:r>
    </w:p>
    <w:p w14:paraId="68A49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3.2.1 核心功能</w:t>
      </w:r>
    </w:p>
    <w:p w14:paraId="02783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Legal-DD的核心逻辑是“精准识别风险、构建有效防御、落地专业文书”，其功能设计围绕“诉求拆解-漏洞挖掘-策略构建-文书生成-证据组织”五大环节，形成完整的答辩闭环，确保每一项防御策略都有事实依据、法律支撑与逻辑保障。</w:t>
      </w:r>
    </w:p>
    <w:p w14:paraId="6B612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诉求拆解环节是防御的基础，系统通过自然语言处理技术，对原告起诉状进行结构化解析，精准提取原告的核心诉求、事实依据、法律依据与证据清单，同时梳理出原告诉求与事实、法律依据之间的逻辑关系。例如，在离婚纠纷中，系统会从原告起诉状中拆解出“离婚请求”“子女抚养权归属请求”“财产分割请求”等核心诉求，明确原告主张离婚的事实理由（如感情破裂的具体情形）、子女抚养权归属的依据（如自身抚养优势）以及财产分割的主张（如某房产归原告所有），并通过可视化图表展示原告诉求逻辑链条，让被告清晰了解原告的起诉核心与论证思路。</w:t>
      </w:r>
    </w:p>
    <w:p w14:paraId="63C07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漏洞挖掘环节是Legal-DD的核心竞争力，系统依托博弈论中的反向逻辑思维，站在被告视角对原告诉求逻辑进行全方位攻击，挖掘其中的事实漏洞、法律漏洞与逻辑漏洞。事实漏洞主要包括原告陈述的事实缺乏证据支撑、事实描述前后矛盾、关键事实遗漏等；法律漏洞包括原告引用的法律条文错误、法律适用范围不符、法律时效已过等；逻辑漏洞则是指原告诉求与事实、法律依据之间缺乏必然联系，论证逻辑不严密。例如，在买卖合同纠纷中，若原告主张被告支付货款，但未提供有效送货单或验收凭证，系统会识别出“事实漏洞——原告未证明货物已交付”；若原告引用的法律条文已被修订或废止，系统会指出“法律漏洞——法律依据失效”；若原告以“被告未按时付款”为由主张违约责任，但未明确合同约定的付款期限，系统会识别出“逻辑漏洞——诉求与事实依据缺乏关联性”。</w:t>
      </w:r>
    </w:p>
    <w:p w14:paraId="0AA35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为确保漏洞挖掘的全面性，系统会启动“红蓝军对抗升级”模式——蓝军（防御方）基于原告诉状拆解结果，初步构建防御方向；红军（模拟原告方）则强化原告诉求逻辑，补充可能的证据与论证思路；双方经过多轮对抗，不断完善漏洞挖掘结果，确保无遗漏关键防御点。同时，系统会调用海量同类案例数据库，参考司法实践中类似案件的抗辩成功要点，进一步丰富漏洞挖掘维度，确保挖掘出的漏洞具备实际抗辩价值，而非单纯的理论瑕疵。</w:t>
      </w:r>
    </w:p>
    <w:p w14:paraId="306C2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策略构建环节基于挖掘出的漏洞，生成针对性的防御策略。核心抗辩点针对原告诉求的关键漏洞，直接否定原告诉求的合法性或合理性，如“原告主张的借款事实缺乏转账凭证，核心抗辩点为‘借款事实不成立’”；辅助抗辩点作为补充，即便核心抗辩点不成立，仍可通过辅助抗辩点降低自身责任，如“即便借款事实成立，原告主张的利息标准超过法定上限，辅助抗辩点为‘利息部分不应支持’”；fallback 方案则针对极端情况，如所有抗辩点均不成立时，提出合理的和解或责任分担建议，如“若法院认定我方需支付货款，请求酌情减免逾期利息，因原告亦存在延迟供货情形”。</w:t>
      </w:r>
    </w:p>
    <w:p w14:paraId="1A3F7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策略构建过程中，系统同样遵循纳什均衡逻辑，确保防御策略是双方无法单方面优化的最优解。例如，在建设工程施工合同纠纷中，若原告主张被告支付工程款，系统挖掘出“原告施工工程存在质量缺陷，且未完成竣工验收”的核心漏洞，构建的防御策略会包括“核心抗辩点——工程未验收合格，付款条件未成就；辅助抗辩点——工程质量缺陷需原告承担维修责任，应扣除相应维修费用；fallback方案——若法院认定需支付工程款，请求按实际合格工程量结算”，同时预判原告可能的反驳逻辑（如“质量缺陷系被告设计问题导致”），并在策略中提前嵌入相关证据与法律依据，确保防御的有效性。</w:t>
      </w:r>
    </w:p>
    <w:p w14:paraId="70924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文书生成环节将防御策略转化为符合法律规范的答辩状与证据清单。答辩状的格式严格遵循最高法要求，内容上以“核心抗辩点+事实依据+法律依据+逻辑论证”为结构，针对原告诉状中的每一项诉求逐一回应，明确表达抗辩意见。例如，在劳动争议纠纷中，答辩状会针对原告主张的“未签订劳动合同二倍工资”，首先提出核心抗辩点“双方已签订书面劳动合同，原告系自身原因遗失”，随后附上劳动合同备案记录、工资发放凭证等证据依据，引用《劳动合同法》相关条款论证抗辩合法性，同时针对原告可能提出的“劳动合同系事后补签”反驳，提前补充“劳动合同签订时间有考勤记录、同事证言佐证”的表述，强化抗辩逻辑。</w:t>
      </w:r>
    </w:p>
    <w:p w14:paraId="7DF95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证据清单生成功能则根据防御策略，自动梳理需提交的证据材料，明确证据名称、证据来源、证明目的与提交优先级。例如，针对“工程质量缺陷”的抗辩点，系统会列出“工程质量检测报告（核心证据，证明目的：工程存在质量问题）”“监理单位工作记录（辅助证据，证明目的：质量缺陷系原告施工导致）”“原被告沟通记录（补充证据，证明目的：原告已知晓质量问题且未整改）”等，并标注证据提交优先级，帮助被告高效准备证据材料，避免证据遗漏或冗余。</w:t>
      </w:r>
    </w:p>
    <w:p w14:paraId="11CED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3.2.2 应用场景</w:t>
      </w:r>
    </w:p>
    <w:p w14:paraId="5BC52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Legal-DD的应用场景覆盖C端个人被告、B端企业/律所与G端相关主体，为不同类型的被告提供个性化防御解决方案。</w:t>
      </w:r>
    </w:p>
    <w:p w14:paraId="51346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对于C端个人被告而言，Legal-DD解决了不懂法律、不知如何抗辩的痛点。无论是面对离婚诉讼、债务纠纷、侵权索赔等常见案件，还是突然收到法院传票、不知所措的紧急情况，个人被告均可通过Legal-DD快速拆解原告诉求，挖掘其中的漏洞，生成专业答辩状与证据清单。例如，普通市民被起诉要求偿还“不存在的借款”，只需上传原告起诉状与相关材料，系统即可自动识别原告诉求中的事实漏洞（如无转账凭证、借款合同签名伪造），生成针对性答辩状，同时提示被告提交笔迹鉴定申请、银行流水等证据，帮助非专业人士有效维护自身合法权益。此外，系统的风险评估功能可让被告提前了解诉讼风险，若评估结果显示抗辩胜率较低，系统会建议通过和解方式解决纠纷，避免不必要的诉讼成本。</w:t>
      </w:r>
    </w:p>
    <w:p w14:paraId="1E81B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对于B端企业与律所而言，Legal-DD是提升答辩效率与质量的核心工具。企业法务在处理批量被诉案件（如物业服务合同纠纷、产品责任纠纷等）时，可通过系统快速生成答辩状初稿，大幅减少基础文书工作时间，将精力集中在核心争议点的应对上；在处理复杂商业纠纷（如股权转让纠纷、知识产权侵权纠纷等）时，系统的漏洞挖掘与策略构建功能可帮助法务穷尽所有抗辩角度，避免因思维局限导致防御不到位。例如，企业面临知识产权侵权索赔时，Legal-DD 可拆解原告的权利依据（如商标注册证、侵权证据），挖掘其中的漏洞（如商标未实际使用、侵权证据缺乏关联性），生成“不侵权抗辩”“合法来源抗辩”等多重防御策略，并提供相关案例参考，帮助企业制定最优应对方案。</w:t>
      </w:r>
    </w:p>
    <w:p w14:paraId="4E9A7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律所则可将Legal-DD作为庭前准备的辅助工具，律师在接手被告案件后，可通过系统快速完成诉求拆解、漏洞挖掘与策略初步构建，再结合自身专业经验进行优化，提升案件处理效率；同时，系统的“红蓝军对抗”功能可模拟庭审中的辩论场景，帮助律师提前预判原告的辩论逻辑，做好庭审准备。此外，对于青年律师而言，Legal-DD生成的策略报告与思维链（CoT）展示，可帮助其快速掌握不同类型案件的答辩逻辑与技巧，加速专业成长。</w:t>
      </w:r>
    </w:p>
    <w:p w14:paraId="2110C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G端场景中，Legal-DD可作为行政机关、事业单位等被告主体的答辩辅助工具。例如，行政机关面临行政诉讼时，系统可拆解原告的诉讼请求（如撤销行政行为、赔偿损失），挖掘行政行为作出过程中的程序合规性、法律依据适用性等问题，生成针对性答辩策略，确保行政机关的答辩既符合行政诉讼法规定，又能有效维护行政行为的合法性与权威性。</w:t>
      </w:r>
    </w:p>
    <w:p w14:paraId="12DA0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3.2.3 产品优势</w:t>
      </w:r>
    </w:p>
    <w:p w14:paraId="35A70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与传统答辩辅助工具和通用大模型相比，Legal-DD 具备三大核心优势。在防御精准性方面，传统工具仅能提供答辩状模板，无法根据原告诉求针对性挖掘漏洞，防御逻辑缺乏针对性；通用大模型生成的答辩状可能存在法律依据错误、漏洞识别不全面等问题。Legal-DD基于原告诉状的结构化拆解与博弈论反向逻辑，能够精准识别事实、法律与逻辑层面的核心漏洞，生成的防御策略直击原告要害，确保答辩的有效性。Justicia引擎的三重审计可对答辩状进行全面校验，DOC模块确保事实无遗漏，FOR模块确保格式合规，REA模块评估逻辑对抗性，让答辩质量有量化保障。</w:t>
      </w:r>
    </w:p>
    <w:p w14:paraId="5B262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防御主动性方面，传统答辩往往是被动回应，被告只能针对原告诉状逐一反驳，缺乏主动反击的策略设计；通用大模型缺乏法律博弈思维，生成的答辩状多为陈述性回应，对抗性不足。Legal-DD不仅能反驳原告诉求，还能通过核心抗辩点否定原告诉求合法性，通过辅助抗辩点降低自身责任，通过fallback方案应对极端情况，变“被动应对”为“主动防御”。</w:t>
      </w:r>
    </w:p>
    <w:p w14:paraId="1B83C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效率与成本方面，传统答辩准备过程中，被告（尤其是非专业人士）可能需要花费大量时间咨询律师、梳理事实、撰写文书，成本较高；律师处理基础答辩工作也需消耗较多时间。Legal-DD通过自动化流程将答辩准备周期大幅缩短，非专业用户可在数小时内完成从诉求拆解到答辩状生成的全流程，无需支付高昂律师费用；专业用户可快速生成初稿，提升工作效率，降低时间成本。此外，系统的证据组织功能可帮助用户精准梳理证据材料，避免盲目收集证据导致的资源浪费，进一步降低诉讼成本。</w:t>
      </w:r>
    </w:p>
    <w:p w14:paraId="2890F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3.3 Legal-CI（数字法官）：辅助审判系统</w:t>
      </w:r>
    </w:p>
    <w:p w14:paraId="3F814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随着司法改革的深入推进，法院“案多人少”的矛盾日益突出，法官年均办案量持续攀升，同时面临文书质量要求高、审判流程规范严、核心说理难度大的多重压力。传统审判辅助系统多局限于文书模板生成、案件信息管理等基础功能，无法对审判核心环节（如庭审控场、证据链校验、判决说理）提供有效支撑。Legal-CI以“法官的第二大脑”为定位，深度融合博弈论与法律科技，针对审判全流程提供智能化辅助，帮助法官提升审判效率、保障审判质量、规范审判流程，推动司法审判从人力密集型向智能高效型转型。</w:t>
      </w:r>
    </w:p>
    <w:p w14:paraId="7F165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3.3.1 核心功能</w:t>
      </w:r>
    </w:p>
    <w:p w14:paraId="33316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Legal-CI的核心价值是“为法官减负、为司法提质”，其功能设计贯穿“庭审前-庭审中-庭审后”全流程，涵盖“案件预处理-庭审控场-证据链校验-判决说理-文书生成”五大核心环节，形成闭环式审判辅助体系，既符合司法程序规范，又能精准解决法官核心痛点。</w:t>
      </w:r>
    </w:p>
    <w:p w14:paraId="0E8D8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庭审前案件预处理环节，系统通过自动化技术为法官梳理案件核心信息，降低阅卷成本。法官上传案卷材料（如起诉状、答辩状、证据材料、庭审笔录初稿等）后，系统通过OCR识别、自然语言处理与RAG检索技术，自动提取案件关键信息，包括当事人基本信息、核心诉求、争议焦点、证据清单、法律依据等，并生成“案件核心信息摘要”。摘要以结构化形式呈现，清晰展示原告诉求、被告抗辩意见、双方争议焦点（如事实争议：是否存在借款事实；法律争议：合同效力如何认定）以及关键证据的对应关系，帮助法官在短时间内快速把握案件全貌，无需逐页翻阅案卷。例如，在民间借贷纠纷中，案件核心信息摘要会明确列出原告主张的借款金额、借款时间、交付方式，被告抗辩的“未实际收到借款”，争议焦点“借款事实是否成立”，以及双方提交的转账凭证、聊天记录等关键证据，让法官一目了然。</w:t>
      </w:r>
    </w:p>
    <w:p w14:paraId="1E067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同时，系统会基于双方诉求与证据，自动梳理相关法律条文与同类案例，生成“法律与案例参考报告”。报告中会筛选出与案件争议焦点高度相关的法律条文（如《民法典》关于民间借贷的相关规定）、司法解释以及指导性案例、类案生效判决，标注裁判要点与本案的关联性，帮助法官快速掌握法律适用规则与司法实践倾向，为庭审准备与后续判决提供参考。例如，在合同效力争议案件中，系统会检索同类案件中关于合同无效情形的裁判标准，为法官认定本案合同效力提供借鉴。</w:t>
      </w:r>
    </w:p>
    <w:p w14:paraId="72DD3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庭审中控场环节，系统通过智能化手段辅助法官规范庭审流程、提升庭审效率。系统内置庭审流程规范模板，根据案件类型（如简易程序、普通程序）自动生成庭审提纲，明确庭审各阶段（如法庭调查、法庭辩论、最后陈述）的核心环节与时间分配建议，帮助法官有序推进庭审。在法庭调查阶段，系统会基于案件争议焦点，自动提示法官需核实的关键事实与证据，避免遗漏核心调查内容；例如，在侵权责任纠纷中，系统会提示法官核实“侵权行为是否存在、损害后果如何、侵权行为与损害后果之间是否存在因果关系、被告是否存在过错”等关键事实。</w:t>
      </w:r>
    </w:p>
    <w:p w14:paraId="74BB2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法庭辩论阶段，系统通过实时语音转文字技术记录双方辩论意见，并自动识别辩论焦点与逻辑漏洞，同步提示法官。例如，原告辩论中提出的某一事实缺乏证据支撑，系统会实时标注“原告该主张未提供有效证据佐证”，帮助法官及时追问，引导双方围绕争议焦点展开辩论，避免辩论偏离主题。同时，系统支持庭审过程中的证据调取与展示，法官可通过系统快速调取双方提交的证据材料，同步展示给双方当事人，便于当庭核对证据真实性、关联性与合法性，提升庭审效率。此外，系统还具备庭审时间管控功能，当某一环节超时或辩论陷入僵局时，系统会自动提醒法官，帮助法官合理分配庭审时间，确保庭审高效有序进行。</w:t>
      </w:r>
    </w:p>
    <w:p w14:paraId="1D57B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庭审中证据链校验环节，是保障审判质量的核心功能，系统基于博弈论逻辑与司法证据规则，对双方提交的证据进行全方位校验，辅助法官认定证据效力与案件事实。系统首先对单个证据进行合法性、真实性、关联性校验：合法性方面，核查证据的收集方式是否合法（如是否存在非法取证）、证据形式是否符合法律规定（如证人证言是否有签字捺印）；真实性方面，通过比对证据内容与案件事实、其他证据的一致性，识别虚假证据或矛盾证据（如两份证人证言关于同一事实的描述相互冲突）；关联性方面，判断证据是否与案件争议焦点直接相关，排除无关证据。</w:t>
      </w:r>
    </w:p>
    <w:p w14:paraId="3F0E3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此基础上，系统构建“证据链逻辑图谱”，展示各证据之间的关联关系（如转账凭证与聊天记录相互印证借款事实）、证据与争议焦点的对应关系，以及证据链的完整性与严密性。系统通过算法评估证据链的逻辑强度，识别证据链中的薄弱环节（如某一争议焦点缺乏有效证据支撑），并提示法官需进一步核实的内容。例如，在买卖合同纠纷中，原告提交了合同、送货单，但未提交验收单，系统会识别出“证据链薄弱环节——缺乏验收单证明货物符合约定质量”，提示法官当庭询问被告是否验收货物、验收结果如何，或要求原告补充提交验收证据。</w:t>
      </w:r>
    </w:p>
    <w:p w14:paraId="3EFD2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同时，系统引入“红蓝军证据对抗”逻辑，模拟双方针对证据效力的辩论过程：红军（支持原告证据方）论证证据的合法性、真实性、关联性；蓝军（支持被告证据方）提出证据异议（如证据系伪造、与本案无关）；系统基于证据规则与司法实践，判定双方论证的合理性，辅助法官作出证据采信与否的决定。例如，被告对原告提交的转账凭证提出“系其他款项往来，与本案无关”的异议，系统会比对转账凭证的备注信息、双方聊天记录中关于款项性质的约定等证据，评估被告异议的合理性，为法官采信证据提供参考。</w:t>
      </w:r>
    </w:p>
    <w:p w14:paraId="384F3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庭审后判决说理与文书生成环节，系统辅助法官构建判决逻辑、生成规范判决书，解决判决说理难、文书撰写繁的痛点。判决说理是审判的核心，系统基于案件争议焦点、证据采信结果与法律适用规则，自动生成判决说理框架，明确“事实认定-法律适用-判决结果”的逻辑链条。在事实认定部分，系统会整合庭审中核实的关键事实与采信的证据，清晰阐述事实认定的依据；在法律适用部分，系统会结合之前生成的“法律与案例参考报告”，引用相关法律条文与类案裁判规则，论证法律适用的正确性；在判决结果部分，系统会根据事实认定与法律适用，推导得出判决结论，并明确各方当事人的权利义务与履行期限。</w:t>
      </w:r>
    </w:p>
    <w:p w14:paraId="38DAB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同时，系统支持法官个性化调整说理内容，法官可根据自身审判思路与案件具体情况，对系统生成的说理框架进行修改、补充与完善，确保判决说理既符合法律规范，又具备个性化与说服力。例如，在复杂的合同纠纷中，法官可在系统生成的说理基础上，进一步阐述对合同条款的解释思路，或补充考量的公平原则、诚实信用原则等因素，让判决说理更充分、更透彻。</w:t>
      </w:r>
    </w:p>
    <w:p w14:paraId="6D3A8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判决书生成环节，系统严格遵循最高法判决书格式规范，基于判决说理内容自动生成完整判决书。系统通过AST模板对齐技术，确保判决书的结构完整性（如当事人信息、案由、诉讼请求、事实与理由、判决结果、诉讼费用承担等模块）与格式规范性（如法条引用格式、标点符号使用、段落排版等），同时支持自动插入证据采信情况、法律条文原文、类案参考等内容，大幅降低法官撰写文书的工作量。例如，系统会自动将采信的证据清单、相关法律条文全文嵌入判决书相应位置，无需法官手动录入，既节省时间，又能避免格式错误。</w:t>
      </w:r>
    </w:p>
    <w:p w14:paraId="509C0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此外，系统还具备“判决书质量校验”功能，通过Justicia评测引擎对生成的判决书进行全方位校验：DOC模块确保事实认定无遗漏、证据采信情况清晰；FOR模块确保格式符合最高法规范；REA模块评估判决说理的逻辑严密性与说服力，确保判决书质量达标。校验完成后，系统生成质量评估报告，提示法官需修改完善的内容，如“某一争议焦点的判决说理缺乏法律依据支撑，建议补充相关法条引用”，帮助法官提升判决书质量。</w:t>
      </w:r>
    </w:p>
    <w:p w14:paraId="5A2D3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3.3.2 应用场景</w:t>
      </w:r>
    </w:p>
    <w:p w14:paraId="4412F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Legal-CI的应用场景覆盖各级法院、各类民事案件以及不同审判程序，能够满足多样化的审判辅助需求，同时符合司法改革与智慧法院建设的要求。</w:t>
      </w:r>
    </w:p>
    <w:p w14:paraId="164FD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法院类型方面，基层法院作为案件受理量最大的主体，“案多人少”矛盾最为突出，Legal-CI可成为基层法院法官的核心辅助工具。基层法院审理的民事案件多为事实清楚、权利义务关系明确、争议不大的简单案件（如民间借贷、物业服务合同纠纷、小额劳动争议等），Legal-CI的自动化案件预处理、快速证据链校验与判决书生成功能，可大幅提升审判效率，帮助法官在保证审判质量的前提下，更快处理批量案件。例如，基层法院审理的小额民间借贷纠纷，法官通过系统快速获取案件核心信息摘要、法律与案例参考报告，庭审中借助系统辅助控场与证据校验，庭审后快速生成判决书，整个审判流程效率可提升 50% 以上。</w:t>
      </w:r>
    </w:p>
    <w:p w14:paraId="02326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中级法院与高级法院审理的案件多为复杂、疑难、重大案件（如重大合同纠纷、知识产权纠纷、涉外商事纠纷等），Legal-CI的争议焦点梳理、法律与案例参考、判决说理辅助功能可发挥重要作用。对于此类案件，法官面临的核心痛点是法律适用复杂、判决说理难度大，系统生成的“法律与案例参考报告”可帮助法官快速掌握相关法律规则与司法实践倾向，判决说理框架可为法官提供结构化思路，辅助法官构建严密的判决逻辑，确保判决结果的公正性与说服力。例如，在重大知识产权侵权纠纷中，系统可检索相关知识产权法律条文、司法解释以及指导性案例，梳理侵权认定、赔偿数额确定等核心争议焦点的裁判规则，为法官判决提供有力支撑。</w:t>
      </w:r>
    </w:p>
    <w:p w14:paraId="616BD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审判程序方面，Legal-CI既适配简易程序，也可满足普通程序的审判辅助需求。对于简易程序案件，系统的“快速处理”功能可实现案件预处理、庭审控场、文书生成的全流程高效辅助，符合简易程序“高效、快捷”的特点；对于普通程序案件，系统的“深度辅助”功能（如复杂证据链校验、详细法律与案例参考、个性化判决说理）可满足普通程序对审判质量与程序规范的更高要求。此外，系统还可适配小额诉讼程序、督促程序等特殊程序，根据不同程序的特点优化辅助功能，确保符合程序规范。</w:t>
      </w:r>
    </w:p>
    <w:p w14:paraId="7F319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案件类型方面，Legal-CI可覆盖各类民事案件，包括合同纠纷、侵权责任纠纷、婚姻家庭继承纠纷、物权纠纷、劳动争议纠纷等。不同类型案件的争议焦点与法律适用规则存在差异，系统通过内置不同案件类型的知识库与逻辑模型，可实现精准辅助。例如，在婚姻家庭纠纷中，系统会重点关注子女抚养权归属的法定条件、夫妻共同财产分割规则；在劳动争议纠纷中，会聚焦劳动合同效力认定、工资支付标准、经济补偿金计算等核心要点，确保辅助功能的针对性与专业性。</w:t>
      </w:r>
    </w:p>
    <w:p w14:paraId="5FD39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3.3.3 产品优势</w:t>
      </w:r>
    </w:p>
    <w:p w14:paraId="20145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相较于传统审判辅助系统与通用大模型，Legal-CI 具备四大核心优势，成为智慧法院建设的核心基础设施。</w:t>
      </w:r>
    </w:p>
    <w:p w14:paraId="1627E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效率提升方面，传统审判辅助系统仅能提供基础文书模板与案件信息管理功能，无法减轻法官阅卷、证据审核、判决说理等核心工作的负担；通用大模型缺乏司法程序规范与证据规则意识，生成的内容可能不符合审判要求，无法直接使用。Legal-CI通过全流程自动化辅助，将法官从繁琐的阅卷、文书撰写等工作中解放出来，案件预处理环节可将阅卷时间缩短70%以上，判决书生成环节可节省80%以上的时间，大幅提升审判效率，有效缓解“案多人少”矛盾。</w:t>
      </w:r>
    </w:p>
    <w:p w14:paraId="09E74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审判质量保障方面，传统工具无法对证据链逻辑与判决说理进行有效校验，法官可能因思维局限或工作疲劳导致事实认定偏差、法律适用错误；通用大模型存在“幻觉”问题，可能提供错误的法律依据或案例参考。Legal-CI 基于司法证据规则与博弈论逻辑，对证据链进行全方位校验，确保事实认定的准确性；通过权威法律条文与类案检索，保障法律适用的正确性；通过判决说理框架与质量校验，提升判决书的逻辑严密性与说服力，从多个维度保障审判质量，降低错案风险。</w:t>
      </w:r>
    </w:p>
    <w:p w14:paraId="75105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程序规范性方面，传统工具缺乏对庭审流程的有效辅助，可能导致庭审程序不规范；通用大模型无法理解司法程序的刚性要求，生成的内容可能违反程序规定。Legal-CI内置庭审流程规范模板，辅助法官严格遵循法定程序推进庭审，确保庭审的合法性与规范性；同时，系统的所有辅助功能均符合《民事诉讼法》等相关法律规定，生成的文书格式严格遵循最高法规范，确保审判活动全程合规，维护司法权威。</w:t>
      </w:r>
    </w:p>
    <w:p w14:paraId="004F6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可解释性方面，传统工具与通用大模型的辅助过程往往缺乏透明度，法官无法了解结果生成的逻辑；Legal-CI具备强可解释性，所有辅助结果（如案件核心信息摘要、证据链校验结论、判决说理框架）均会提供详细的生成依据，包括引用的法律条文、参考的案例、使用的算法逻辑等，同时生成思维链（CoT）报告，展示从案件材料到辅助结果的完整推理过程，让法官清晰了解辅助逻辑，可根据自身专业判断进行调整，确保审判的主导权始终掌握在法官手中，符合“ AI 辅助审判，法官主导决策”的司法原则。</w:t>
      </w:r>
    </w:p>
    <w:p w14:paraId="259E7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3.4 产品矩阵协同机制</w:t>
      </w:r>
    </w:p>
    <w:p w14:paraId="6926B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“元弈言枢”产品矩阵的核心魅力，从来不是三个独立产品的简单叠加，而是让起诉、答辩、审判三个环节像齿轮一样精准咬合，在多智能体的实时交互与博弈对抗中，持续自我优化、自我升级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。博弈论的价值从不是一次性的对抗结果，而是通过智能体之间、产品之间、用户与系统之间的不断交互，实现系统的集体进化。</w:t>
      </w:r>
      <w:bookmarkStart w:id="0" w:name="_GoBack"/>
      <w:bookmarkEnd w:id="0"/>
    </w:p>
    <w:p w14:paraId="4A489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为了实现这种协同，我们搭建了MCP（多智能体协作协议）与 A2A（智能体交互协议）两大核心支柱，让Legal-CD、Legal-DD、Legal-CI能真正实现实时交互与博弈对抗。MCP负责把控全局方向，它会把让法律服务更高效、更可靠这个大目标，转化为每个产品的具体行动指南：比如让Legal-CD挖深事实细节、Legal-DD找准对抗漏洞、Legal-CI 把好裁判关口，同时根据不同案件的复杂程度灵活调配资源——遇到高发的民间借贷纠纷，就多给Legal-CD和 Legal-DD一些算力支持，让它们能展开数千次虚拟对抗；遇到批量案件，就优化数据流转效率，让信息在三个产品间无缝传递。而A2A协议则负责打通沟通壁垒，它给智能体们制定了统一的语言规范，不管是Legal-CD输出的案件事实，还是Legal-DD提出的抗辩观点，都会附带清晰的依据、置信度和适用场景，比如“借款5万元（有转账记录佐证，可信度99%）”，避免信息传递中出现偏差；更重要的是，它支持智能体之间的即时反馈，Legal-DD针对起诉策略提出抗辩后，会马上告诉Legal-CD</w:t>
      </w:r>
      <w:r>
        <w:rPr>
          <w:rFonts w:hint="eastAsia" w:eastAsia="宋体" w:cs="宋体"/>
          <w:sz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“这个点你没考虑到，胜率可能下降20%”，而Legal-CD能立刻调整思路，形成“生成-对抗-优化”的快速循环。</w:t>
      </w:r>
    </w:p>
    <w:p w14:paraId="161DB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三大产品的场景联动机制突破单一产品边界，形成全流程的价值放大。我们设计的起诉、答辩、审判的场景联动引擎，能让同一案件在不同产品环节中实现数据与逻辑的无缝衔接，且每一环的交互结果都会形成反馈，反哺前序环节优化。例如，C端用户通过Legal-CD生成民间借贷纠纷起诉状后，系统会自动将“事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实原库”“初始策略博弈记录”同步至Legal-DD后台；当被告通过Legal-DD上传答辩意见时，A2A协议会触发Legal-DD的Discriminator智能体，基于Legal-CD的起诉逻辑进行针对性抗辩，同时将“漏洞识别结果”“抗辩策略胜率”通过MCP 协议反馈给Legal-CD，Legal-CD则会生成“补充证据建议”推送给原告，帮助其完善起诉材料——这是“起诉</w:t>
      </w:r>
      <w:r>
        <w:rPr>
          <w:rFonts w:hint="eastAsia" w:eastAsia="宋体" w:cs="宋体"/>
          <w:sz w:val="24"/>
          <w:lang w:val="en-US" w:eastAsia="zh-CN"/>
        </w:rPr>
        <w:t>-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答辩”的双向反馈；而当案件进入法院审理阶段，Legal-CI会通过MCP协议调取Legal-CD与Legal-DD的全部博弈记录、证据争议点数据，其Adjudicator智能体一方面基于这些数据生成庭审提纲，聚焦双方核心争议；另一方面在庭审结束后，将“证据采信结果”“裁判逻辑要点”反馈给Legal-CD与Legal-DD，Legal-CD会优化后续类似案件的事实挖掘维度，Legal-DD则会调整漏洞识别模型的权重——这是“审判-起诉/答辩”的反向赋能。这种联动并非单向传递，而是形成“起诉生成策略→答辩对抗反馈→起诉优化完善→审判校验赋能→双方模型升级”的闭环，让博弈论的对抗逻辑贯穿诉讼全流程，每一次案件处理都能推动整个产品矩阵的能力迭代。</w:t>
      </w:r>
    </w:p>
    <w:p w14:paraId="794AF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9. 财务规划</w:t>
      </w:r>
    </w:p>
    <w:p w14:paraId="7AADE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财务规划作为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元弈言枢</w:t>
      </w:r>
      <w:r>
        <w:rPr>
          <w:rFonts w:hint="eastAsia"/>
          <w:lang w:eastAsia="zh-CN"/>
        </w:rPr>
        <w:t>”</w:t>
      </w:r>
      <w:r>
        <w:rPr>
          <w:rFonts w:hint="eastAsia"/>
        </w:rPr>
        <w:t>项目商业落地的核心支撑，基于市场需求、产品迭代节奏与行业发展规律，构建了涵盖融资规划、成本结构、收益预测、财务分析及风险管控的全维度财务体系。本规划既立足当前技术研发与市场拓展的实际需求，又兼顾长期盈利能力与行业价值沉淀，为项目稳健发展提供量化指引。</w:t>
      </w:r>
    </w:p>
    <w:p w14:paraId="78413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9.1 融资需求与资金用途</w:t>
      </w:r>
    </w:p>
    <w:p w14:paraId="52E29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9.1.1 融资规模确定</w:t>
      </w:r>
    </w:p>
    <w:p w14:paraId="4C564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结合项目研发周期、市场拓展节奏及行业同类项目融资基准，本次计划融资总额为5000万元人民币。融资规模的测算基于以下核心逻辑：一是技术研发的核心投入，包括多智能体博弈架构优化、Justicia评测引擎迭代及算力支持，需覆盖2年核心研发周期；二是市场推广与用户获取，涵盖C端流量运营、B端律所合作拓展及G端政府采购对接的全渠道投入；三是团队扩张与运营保障，补充“法技融合”型核心人才及日常运营成本；四是风险准备金，预留10%资金应对技术迭代延迟、市场竞争加剧等不确定性因素。</w:t>
      </w:r>
    </w:p>
    <w:p w14:paraId="016ED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9.1.2 资金用途明细</w:t>
      </w:r>
    </w:p>
    <w:p w14:paraId="59DE4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融资资金将严格按照“研发优先、市场协同、高效集约”的原则分配，具体用途如下表所示：</w:t>
      </w:r>
    </w:p>
    <w:tbl>
      <w:tblPr>
        <w:tblStyle w:val="2"/>
        <w:tblW w:w="4944" w:type="pct"/>
        <w:tblInd w:w="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1603"/>
        <w:gridCol w:w="773"/>
        <w:gridCol w:w="5085"/>
      </w:tblGrid>
      <w:tr w14:paraId="6B507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  <w:tblHeader/>
        </w:trPr>
        <w:tc>
          <w:tcPr>
            <w:tcW w:w="573" w:type="pct"/>
            <w:shd w:val="clear" w:color="auto" w:fill="B9CDE5"/>
            <w:vAlign w:val="center"/>
          </w:tcPr>
          <w:p w14:paraId="05559374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资金用途类别</w:t>
            </w:r>
          </w:p>
        </w:tc>
        <w:tc>
          <w:tcPr>
            <w:tcW w:w="951" w:type="pct"/>
            <w:shd w:val="clear" w:color="auto" w:fill="B9CDE5"/>
            <w:vAlign w:val="center"/>
          </w:tcPr>
          <w:p w14:paraId="4EC99127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金额（万元）</w:t>
            </w:r>
          </w:p>
        </w:tc>
        <w:tc>
          <w:tcPr>
            <w:tcW w:w="458" w:type="pct"/>
            <w:shd w:val="clear" w:color="auto" w:fill="B9CDE5"/>
            <w:vAlign w:val="center"/>
          </w:tcPr>
          <w:p w14:paraId="710E4367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占比</w:t>
            </w:r>
          </w:p>
        </w:tc>
        <w:tc>
          <w:tcPr>
            <w:tcW w:w="3017" w:type="pct"/>
            <w:shd w:val="clear" w:color="auto" w:fill="B9CDE5"/>
            <w:vAlign w:val="center"/>
          </w:tcPr>
          <w:p w14:paraId="4E96E53B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核心投入方向</w:t>
            </w:r>
          </w:p>
        </w:tc>
      </w:tr>
      <w:tr w14:paraId="2654A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" w:type="pct"/>
            <w:vAlign w:val="center"/>
          </w:tcPr>
          <w:p w14:paraId="58CEFAD5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算力成本</w:t>
            </w:r>
          </w:p>
        </w:tc>
        <w:tc>
          <w:tcPr>
            <w:tcW w:w="951" w:type="pct"/>
            <w:vAlign w:val="center"/>
          </w:tcPr>
          <w:p w14:paraId="6434B944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2000</w:t>
            </w:r>
          </w:p>
        </w:tc>
        <w:tc>
          <w:tcPr>
            <w:tcW w:w="458" w:type="pct"/>
            <w:vAlign w:val="center"/>
          </w:tcPr>
          <w:p w14:paraId="6F8347E6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40%</w:t>
            </w:r>
          </w:p>
        </w:tc>
        <w:tc>
          <w:tcPr>
            <w:tcW w:w="3017" w:type="pct"/>
            <w:vAlign w:val="center"/>
          </w:tcPr>
          <w:p w14:paraId="558E58D5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多智能体红蓝对抗训练算力、海量法律数据存储与检索算力、云端服务部署算力（含弹性扩容储备）</w:t>
            </w:r>
          </w:p>
        </w:tc>
      </w:tr>
      <w:tr w14:paraId="08B38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" w:type="pct"/>
            <w:vAlign w:val="center"/>
          </w:tcPr>
          <w:p w14:paraId="21028403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研发人力成本</w:t>
            </w:r>
          </w:p>
        </w:tc>
        <w:tc>
          <w:tcPr>
            <w:tcW w:w="951" w:type="pct"/>
            <w:vAlign w:val="center"/>
          </w:tcPr>
          <w:p w14:paraId="42890851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1500</w:t>
            </w:r>
          </w:p>
        </w:tc>
        <w:tc>
          <w:tcPr>
            <w:tcW w:w="458" w:type="pct"/>
            <w:vAlign w:val="center"/>
          </w:tcPr>
          <w:p w14:paraId="4EF35178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30%</w:t>
            </w:r>
          </w:p>
        </w:tc>
        <w:tc>
          <w:tcPr>
            <w:tcW w:w="3017" w:type="pct"/>
            <w:vAlign w:val="center"/>
          </w:tcPr>
          <w:p w14:paraId="63C2C56C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算法工程师、法律AI产品经理、法学专业顾问、测试工程师等核心人才薪酬及股权激励</w:t>
            </w:r>
          </w:p>
        </w:tc>
      </w:tr>
      <w:tr w14:paraId="26C4F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" w:type="pct"/>
            <w:vAlign w:val="center"/>
          </w:tcPr>
          <w:p w14:paraId="58D93BAB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营销推广成本</w:t>
            </w:r>
          </w:p>
        </w:tc>
        <w:tc>
          <w:tcPr>
            <w:tcW w:w="951" w:type="pct"/>
            <w:vAlign w:val="center"/>
          </w:tcPr>
          <w:p w14:paraId="4DF5D38D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1000</w:t>
            </w:r>
          </w:p>
        </w:tc>
        <w:tc>
          <w:tcPr>
            <w:tcW w:w="458" w:type="pct"/>
            <w:vAlign w:val="center"/>
          </w:tcPr>
          <w:p w14:paraId="3D7119A9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20%</w:t>
            </w:r>
          </w:p>
        </w:tc>
        <w:tc>
          <w:tcPr>
            <w:tcW w:w="3017" w:type="pct"/>
            <w:vAlign w:val="center"/>
          </w:tcPr>
          <w:p w14:paraId="24A21280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C端（微信小程序推广、内容营销、用户裂变活动）、B端（律所行业展会、定向合作洽谈）、G端（政务对接渠道建设、行业解决方案演示）</w:t>
            </w:r>
          </w:p>
        </w:tc>
      </w:tr>
      <w:tr w14:paraId="7F7D0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" w:type="pct"/>
            <w:vAlign w:val="center"/>
          </w:tcPr>
          <w:p w14:paraId="308B1956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运营杂项成本</w:t>
            </w:r>
          </w:p>
        </w:tc>
        <w:tc>
          <w:tcPr>
            <w:tcW w:w="951" w:type="pct"/>
            <w:vAlign w:val="center"/>
          </w:tcPr>
          <w:p w14:paraId="016485D9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300</w:t>
            </w:r>
          </w:p>
        </w:tc>
        <w:tc>
          <w:tcPr>
            <w:tcW w:w="458" w:type="pct"/>
            <w:vAlign w:val="center"/>
          </w:tcPr>
          <w:p w14:paraId="30F0FB4C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6%</w:t>
            </w:r>
          </w:p>
        </w:tc>
        <w:tc>
          <w:tcPr>
            <w:tcW w:w="3017" w:type="pct"/>
            <w:vAlign w:val="center"/>
          </w:tcPr>
          <w:p w14:paraId="3A7350DC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办公场地租赁、软硬件采购、法律合规咨询、财务审计、行政开支等</w:t>
            </w:r>
          </w:p>
        </w:tc>
      </w:tr>
      <w:tr w14:paraId="1A9FD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" w:type="pct"/>
            <w:vAlign w:val="center"/>
          </w:tcPr>
          <w:p w14:paraId="72102BD2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风险准备金</w:t>
            </w:r>
          </w:p>
        </w:tc>
        <w:tc>
          <w:tcPr>
            <w:tcW w:w="951" w:type="pct"/>
            <w:vAlign w:val="center"/>
          </w:tcPr>
          <w:p w14:paraId="14FC2D1B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200</w:t>
            </w:r>
          </w:p>
        </w:tc>
        <w:tc>
          <w:tcPr>
            <w:tcW w:w="458" w:type="pct"/>
            <w:vAlign w:val="center"/>
          </w:tcPr>
          <w:p w14:paraId="5CBF6B8C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4%</w:t>
            </w:r>
          </w:p>
        </w:tc>
        <w:tc>
          <w:tcPr>
            <w:tcW w:w="3017" w:type="pct"/>
            <w:vAlign w:val="center"/>
          </w:tcPr>
          <w:p w14:paraId="557AABB3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应对技术研发风险、市场拓展不及预期、政策变动等突发情况</w:t>
            </w:r>
          </w:p>
        </w:tc>
      </w:tr>
      <w:tr w14:paraId="3D53F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" w:type="pct"/>
            <w:vAlign w:val="center"/>
          </w:tcPr>
          <w:p w14:paraId="61626820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合计</w:t>
            </w:r>
          </w:p>
        </w:tc>
        <w:tc>
          <w:tcPr>
            <w:tcW w:w="951" w:type="pct"/>
            <w:vAlign w:val="center"/>
          </w:tcPr>
          <w:p w14:paraId="6C50A92E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5000</w:t>
            </w:r>
          </w:p>
        </w:tc>
        <w:tc>
          <w:tcPr>
            <w:tcW w:w="458" w:type="pct"/>
            <w:vAlign w:val="center"/>
          </w:tcPr>
          <w:p w14:paraId="25A545D0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3017" w:type="pct"/>
            <w:vAlign w:val="center"/>
          </w:tcPr>
          <w:p w14:paraId="57D2B3DB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-</w:t>
            </w:r>
          </w:p>
        </w:tc>
      </w:tr>
    </w:tbl>
    <w:p w14:paraId="400A198F">
      <w:pPr>
        <w:rPr>
          <w:rFonts w:hint="eastAsia"/>
        </w:rPr>
      </w:pPr>
    </w:p>
    <w:p w14:paraId="48B5D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资金使用将建立动态监控机制，由财务部门按月度出具资金使用报告，核心管理层季度复盘投入产出比，确保资金向高回报环节倾斜。例如，若C端用户获取成本低于预期且转化率达标，将适度增加B端市场推广投入；若技术研发提前达成里程碑，可将部分算力成本结余用于算法专利布局。</w:t>
      </w:r>
    </w:p>
    <w:p w14:paraId="6F4B9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b/>
          <w:bCs/>
          <w:sz w:val="28"/>
          <w:szCs w:val="36"/>
        </w:rPr>
        <w:t>9.2 成本结构分析</w:t>
      </w:r>
    </w:p>
    <w:p w14:paraId="01C75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项目成本遵循“研发驱动、规模效应递减”的规律，前期以固定成本为主，随着用户规模扩大与产品成熟度提升，可变成本占比逐步优化。以下从成本性态、时间维度分别展开分析：</w:t>
      </w:r>
    </w:p>
    <w:p w14:paraId="505AE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9.2.1 成本性态分类</w:t>
      </w:r>
    </w:p>
    <w:p w14:paraId="6AD97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根据成本与业务量（用户数、案件处理量、API调用次数）的关联程度，将成本划分为固定成本与可变成本：</w:t>
      </w:r>
    </w:p>
    <w:tbl>
      <w:tblPr>
        <w:tblStyle w:val="2"/>
        <w:tblW w:w="4941" w:type="pct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2517"/>
        <w:gridCol w:w="1114"/>
        <w:gridCol w:w="3867"/>
      </w:tblGrid>
      <w:tr w14:paraId="48BEB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3" w:hRule="atLeast"/>
          <w:tblHeader/>
        </w:trPr>
        <w:tc>
          <w:tcPr>
            <w:tcW w:w="548" w:type="pct"/>
            <w:shd w:val="clear" w:color="auto" w:fill="B9CDE5"/>
            <w:vAlign w:val="center"/>
          </w:tcPr>
          <w:p w14:paraId="3948150F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成本类型</w:t>
            </w:r>
          </w:p>
        </w:tc>
        <w:tc>
          <w:tcPr>
            <w:tcW w:w="1494" w:type="pct"/>
            <w:shd w:val="clear" w:color="auto" w:fill="B9CDE5"/>
            <w:vAlign w:val="center"/>
          </w:tcPr>
          <w:p w14:paraId="489695F3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包含项目</w:t>
            </w:r>
          </w:p>
        </w:tc>
        <w:tc>
          <w:tcPr>
            <w:tcW w:w="661" w:type="pct"/>
            <w:shd w:val="clear" w:color="auto" w:fill="B9CDE5"/>
            <w:vAlign w:val="center"/>
          </w:tcPr>
          <w:p w14:paraId="20D34414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年度平均成本（万元）</w:t>
            </w:r>
          </w:p>
        </w:tc>
        <w:tc>
          <w:tcPr>
            <w:tcW w:w="2295" w:type="pct"/>
            <w:shd w:val="clear" w:color="auto" w:fill="B9CDE5"/>
            <w:vAlign w:val="center"/>
          </w:tcPr>
          <w:p w14:paraId="3D0E83FE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成本特征</w:t>
            </w:r>
          </w:p>
        </w:tc>
      </w:tr>
      <w:tr w14:paraId="57758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" w:type="pct"/>
            <w:vAlign w:val="center"/>
          </w:tcPr>
          <w:p w14:paraId="5F1A7CB5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固定成本</w:t>
            </w:r>
          </w:p>
        </w:tc>
        <w:tc>
          <w:tcPr>
            <w:tcW w:w="1494" w:type="pct"/>
            <w:vAlign w:val="center"/>
          </w:tcPr>
          <w:p w14:paraId="1A4E0521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核心研发人力薪酬、办公场地租赁、核心设备采购、长期技术授权费</w:t>
            </w:r>
          </w:p>
        </w:tc>
        <w:tc>
          <w:tcPr>
            <w:tcW w:w="661" w:type="pct"/>
            <w:vAlign w:val="center"/>
          </w:tcPr>
          <w:p w14:paraId="37BD51B6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2100</w:t>
            </w:r>
          </w:p>
        </w:tc>
        <w:tc>
          <w:tcPr>
            <w:tcW w:w="2295" w:type="pct"/>
            <w:vAlign w:val="center"/>
          </w:tcPr>
          <w:p w14:paraId="1D892053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不随业务量变化，是项目运营的基础保障成本，前期占比高，后期随营收增长摊薄</w:t>
            </w:r>
          </w:p>
        </w:tc>
      </w:tr>
      <w:tr w14:paraId="24887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" w:type="pct"/>
            <w:vAlign w:val="center"/>
          </w:tcPr>
          <w:p w14:paraId="205B13F7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可变成本</w:t>
            </w:r>
          </w:p>
        </w:tc>
        <w:tc>
          <w:tcPr>
            <w:tcW w:w="1494" w:type="pct"/>
            <w:vAlign w:val="center"/>
          </w:tcPr>
          <w:p w14:paraId="4123B940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弹性算力成本、营销推广费（按效果付费部分）、API接口调用费、用户服务外包费</w:t>
            </w:r>
          </w:p>
        </w:tc>
        <w:tc>
          <w:tcPr>
            <w:tcW w:w="661" w:type="pct"/>
            <w:vAlign w:val="center"/>
          </w:tcPr>
          <w:p w14:paraId="298BCC73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900</w:t>
            </w:r>
          </w:p>
        </w:tc>
        <w:tc>
          <w:tcPr>
            <w:tcW w:w="2295" w:type="pct"/>
            <w:vAlign w:val="center"/>
          </w:tcPr>
          <w:p w14:paraId="259C4266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与业务量正相关，C端用户增长、B端API调用频次提升将带动成本增加，但单位可变成本随规模扩大呈下降趋势（如算力批量采购折扣、营销边际效应提升）</w:t>
            </w:r>
          </w:p>
        </w:tc>
      </w:tr>
      <w:tr w14:paraId="48CA5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8" w:type="pct"/>
            <w:vAlign w:val="center"/>
          </w:tcPr>
          <w:p w14:paraId="40A42F9B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年度总成本（年均）</w:t>
            </w:r>
          </w:p>
        </w:tc>
        <w:tc>
          <w:tcPr>
            <w:tcW w:w="1494" w:type="pct"/>
            <w:vAlign w:val="center"/>
          </w:tcPr>
          <w:p w14:paraId="1BA180FC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-</w:t>
            </w:r>
          </w:p>
        </w:tc>
        <w:tc>
          <w:tcPr>
            <w:tcW w:w="661" w:type="pct"/>
            <w:vAlign w:val="center"/>
          </w:tcPr>
          <w:p w14:paraId="482963DD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3000</w:t>
            </w:r>
          </w:p>
        </w:tc>
        <w:tc>
          <w:tcPr>
            <w:tcW w:w="2295" w:type="pct"/>
            <w:vAlign w:val="center"/>
          </w:tcPr>
          <w:p w14:paraId="2581D914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前两年因研发投入集中，总成本略高；第三年起随规模效应显现，总成本增速低于营收增速</w:t>
            </w:r>
          </w:p>
        </w:tc>
      </w:tr>
    </w:tbl>
    <w:p w14:paraId="19C5B170">
      <w:pPr>
        <w:rPr>
          <w:rFonts w:hint="eastAsia"/>
        </w:rPr>
      </w:pPr>
    </w:p>
    <w:p w14:paraId="515D6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9.2.2 分年度成本预测（未来5年）</w:t>
      </w:r>
    </w:p>
    <w:p w14:paraId="49CDE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结合项目发展阶段（PMF验证期、生态构建期、行业标准期），分年度成本预测如下表所示：</w:t>
      </w:r>
    </w:p>
    <w:tbl>
      <w:tblPr>
        <w:tblStyle w:val="2"/>
        <w:tblW w:w="4941" w:type="pct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5"/>
        <w:gridCol w:w="1010"/>
        <w:gridCol w:w="1101"/>
        <w:gridCol w:w="1059"/>
        <w:gridCol w:w="1059"/>
        <w:gridCol w:w="1013"/>
        <w:gridCol w:w="1055"/>
        <w:gridCol w:w="979"/>
      </w:tblGrid>
      <w:tr w14:paraId="34BFD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679" w:type="pct"/>
            <w:shd w:val="clear" w:color="auto" w:fill="B9CDE5"/>
            <w:vAlign w:val="center"/>
          </w:tcPr>
          <w:p w14:paraId="240284E2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年度</w:t>
            </w:r>
          </w:p>
        </w:tc>
        <w:tc>
          <w:tcPr>
            <w:tcW w:w="599" w:type="pct"/>
            <w:shd w:val="clear" w:color="auto" w:fill="B9CDE5"/>
            <w:vAlign w:val="center"/>
          </w:tcPr>
          <w:p w14:paraId="722ED637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算力成本（万元）</w:t>
            </w:r>
          </w:p>
        </w:tc>
        <w:tc>
          <w:tcPr>
            <w:tcW w:w="653" w:type="pct"/>
            <w:shd w:val="clear" w:color="auto" w:fill="B9CDE5"/>
            <w:vAlign w:val="center"/>
          </w:tcPr>
          <w:p w14:paraId="1466660F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研发人力成本（万元）</w:t>
            </w:r>
          </w:p>
        </w:tc>
        <w:tc>
          <w:tcPr>
            <w:tcW w:w="628" w:type="pct"/>
            <w:shd w:val="clear" w:color="auto" w:fill="B9CDE5"/>
            <w:vAlign w:val="center"/>
          </w:tcPr>
          <w:p w14:paraId="36F8E5C4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营销推广成本（万元）</w:t>
            </w:r>
          </w:p>
        </w:tc>
        <w:tc>
          <w:tcPr>
            <w:tcW w:w="628" w:type="pct"/>
            <w:shd w:val="clear" w:color="auto" w:fill="B9CDE5"/>
            <w:vAlign w:val="center"/>
          </w:tcPr>
          <w:p w14:paraId="7F5C7E49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运营杂项成本（万元）</w:t>
            </w:r>
          </w:p>
        </w:tc>
        <w:tc>
          <w:tcPr>
            <w:tcW w:w="601" w:type="pct"/>
            <w:shd w:val="clear" w:color="auto" w:fill="B9CDE5"/>
            <w:vAlign w:val="center"/>
          </w:tcPr>
          <w:p w14:paraId="480B52C9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风险准备金（万元）</w:t>
            </w:r>
          </w:p>
        </w:tc>
        <w:tc>
          <w:tcPr>
            <w:tcW w:w="626" w:type="pct"/>
            <w:shd w:val="clear" w:color="auto" w:fill="B9CDE5"/>
            <w:vAlign w:val="center"/>
          </w:tcPr>
          <w:p w14:paraId="76B709CB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年度总成本（万元）</w:t>
            </w:r>
          </w:p>
        </w:tc>
        <w:tc>
          <w:tcPr>
            <w:tcW w:w="581" w:type="pct"/>
            <w:shd w:val="clear" w:color="auto" w:fill="B9CDE5"/>
            <w:vAlign w:val="center"/>
          </w:tcPr>
          <w:p w14:paraId="65D82625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成本增长率</w:t>
            </w:r>
          </w:p>
        </w:tc>
      </w:tr>
      <w:tr w14:paraId="7C211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9" w:type="pct"/>
            <w:vAlign w:val="center"/>
          </w:tcPr>
          <w:p w14:paraId="14A67A96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第1年（PMF验证期）</w:t>
            </w:r>
          </w:p>
        </w:tc>
        <w:tc>
          <w:tcPr>
            <w:tcW w:w="599" w:type="pct"/>
            <w:vAlign w:val="center"/>
          </w:tcPr>
          <w:p w14:paraId="2E12959A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800</w:t>
            </w:r>
          </w:p>
        </w:tc>
        <w:tc>
          <w:tcPr>
            <w:tcW w:w="653" w:type="pct"/>
            <w:vAlign w:val="center"/>
          </w:tcPr>
          <w:p w14:paraId="7705D9E3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600</w:t>
            </w:r>
          </w:p>
        </w:tc>
        <w:tc>
          <w:tcPr>
            <w:tcW w:w="628" w:type="pct"/>
            <w:vAlign w:val="center"/>
          </w:tcPr>
          <w:p w14:paraId="2FED08F7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300</w:t>
            </w:r>
          </w:p>
        </w:tc>
        <w:tc>
          <w:tcPr>
            <w:tcW w:w="628" w:type="pct"/>
            <w:vAlign w:val="center"/>
          </w:tcPr>
          <w:p w14:paraId="45714704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60</w:t>
            </w:r>
          </w:p>
        </w:tc>
        <w:tc>
          <w:tcPr>
            <w:tcW w:w="601" w:type="pct"/>
            <w:vAlign w:val="center"/>
          </w:tcPr>
          <w:p w14:paraId="7B01E27F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40</w:t>
            </w:r>
          </w:p>
        </w:tc>
        <w:tc>
          <w:tcPr>
            <w:tcW w:w="626" w:type="pct"/>
            <w:vAlign w:val="center"/>
          </w:tcPr>
          <w:p w14:paraId="7E041C66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1800</w:t>
            </w:r>
          </w:p>
        </w:tc>
        <w:tc>
          <w:tcPr>
            <w:tcW w:w="581" w:type="pct"/>
            <w:vAlign w:val="center"/>
          </w:tcPr>
          <w:p w14:paraId="46C0F257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-</w:t>
            </w:r>
          </w:p>
        </w:tc>
      </w:tr>
      <w:tr w14:paraId="3DC0C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9" w:type="pct"/>
            <w:vAlign w:val="center"/>
          </w:tcPr>
          <w:p w14:paraId="0D261DB8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第2年（生态构建期）</w:t>
            </w:r>
          </w:p>
        </w:tc>
        <w:tc>
          <w:tcPr>
            <w:tcW w:w="599" w:type="pct"/>
            <w:vAlign w:val="center"/>
          </w:tcPr>
          <w:p w14:paraId="4FBC5C2A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1000</w:t>
            </w:r>
          </w:p>
        </w:tc>
        <w:tc>
          <w:tcPr>
            <w:tcW w:w="653" w:type="pct"/>
            <w:vAlign w:val="center"/>
          </w:tcPr>
          <w:p w14:paraId="44237507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700</w:t>
            </w:r>
          </w:p>
        </w:tc>
        <w:tc>
          <w:tcPr>
            <w:tcW w:w="628" w:type="pct"/>
            <w:vAlign w:val="center"/>
          </w:tcPr>
          <w:p w14:paraId="11DBFB2C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400</w:t>
            </w:r>
          </w:p>
        </w:tc>
        <w:tc>
          <w:tcPr>
            <w:tcW w:w="628" w:type="pct"/>
            <w:vAlign w:val="center"/>
          </w:tcPr>
          <w:p w14:paraId="24A1BB81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80</w:t>
            </w:r>
          </w:p>
        </w:tc>
        <w:tc>
          <w:tcPr>
            <w:tcW w:w="601" w:type="pct"/>
            <w:vAlign w:val="center"/>
          </w:tcPr>
          <w:p w14:paraId="1032BFC8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50</w:t>
            </w:r>
          </w:p>
        </w:tc>
        <w:tc>
          <w:tcPr>
            <w:tcW w:w="626" w:type="pct"/>
            <w:vAlign w:val="center"/>
          </w:tcPr>
          <w:p w14:paraId="634030ED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2230</w:t>
            </w:r>
          </w:p>
        </w:tc>
        <w:tc>
          <w:tcPr>
            <w:tcW w:w="581" w:type="pct"/>
            <w:vAlign w:val="center"/>
          </w:tcPr>
          <w:p w14:paraId="2361F635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23.9%</w:t>
            </w:r>
          </w:p>
        </w:tc>
      </w:tr>
      <w:tr w14:paraId="71F3A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9" w:type="pct"/>
            <w:vAlign w:val="center"/>
          </w:tcPr>
          <w:p w14:paraId="65BE313D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第3年（行业标准期）</w:t>
            </w:r>
          </w:p>
        </w:tc>
        <w:tc>
          <w:tcPr>
            <w:tcW w:w="599" w:type="pct"/>
            <w:vAlign w:val="center"/>
          </w:tcPr>
          <w:p w14:paraId="563742F5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1200</w:t>
            </w:r>
          </w:p>
        </w:tc>
        <w:tc>
          <w:tcPr>
            <w:tcW w:w="653" w:type="pct"/>
            <w:vAlign w:val="center"/>
          </w:tcPr>
          <w:p w14:paraId="2284FEE3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800</w:t>
            </w:r>
          </w:p>
        </w:tc>
        <w:tc>
          <w:tcPr>
            <w:tcW w:w="628" w:type="pct"/>
            <w:vAlign w:val="center"/>
          </w:tcPr>
          <w:p w14:paraId="0DB2B4C2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500</w:t>
            </w:r>
          </w:p>
        </w:tc>
        <w:tc>
          <w:tcPr>
            <w:tcW w:w="628" w:type="pct"/>
            <w:vAlign w:val="center"/>
          </w:tcPr>
          <w:p w14:paraId="7A4572F1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100</w:t>
            </w:r>
          </w:p>
        </w:tc>
        <w:tc>
          <w:tcPr>
            <w:tcW w:w="601" w:type="pct"/>
            <w:vAlign w:val="center"/>
          </w:tcPr>
          <w:p w14:paraId="02DDDE17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60</w:t>
            </w:r>
          </w:p>
        </w:tc>
        <w:tc>
          <w:tcPr>
            <w:tcW w:w="626" w:type="pct"/>
            <w:vAlign w:val="center"/>
          </w:tcPr>
          <w:p w14:paraId="73252D84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2660</w:t>
            </w:r>
          </w:p>
        </w:tc>
        <w:tc>
          <w:tcPr>
            <w:tcW w:w="581" w:type="pct"/>
            <w:vAlign w:val="center"/>
          </w:tcPr>
          <w:p w14:paraId="2545D45B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19.3%</w:t>
            </w:r>
          </w:p>
        </w:tc>
      </w:tr>
      <w:tr w14:paraId="74430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9" w:type="pct"/>
            <w:vAlign w:val="center"/>
          </w:tcPr>
          <w:p w14:paraId="75569999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第4年</w:t>
            </w:r>
          </w:p>
        </w:tc>
        <w:tc>
          <w:tcPr>
            <w:tcW w:w="599" w:type="pct"/>
            <w:vAlign w:val="center"/>
          </w:tcPr>
          <w:p w14:paraId="10307C3C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1500</w:t>
            </w:r>
          </w:p>
        </w:tc>
        <w:tc>
          <w:tcPr>
            <w:tcW w:w="653" w:type="pct"/>
            <w:vAlign w:val="center"/>
          </w:tcPr>
          <w:p w14:paraId="6CC93647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900</w:t>
            </w:r>
          </w:p>
        </w:tc>
        <w:tc>
          <w:tcPr>
            <w:tcW w:w="628" w:type="pct"/>
            <w:vAlign w:val="center"/>
          </w:tcPr>
          <w:p w14:paraId="799E0DB3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600</w:t>
            </w:r>
          </w:p>
        </w:tc>
        <w:tc>
          <w:tcPr>
            <w:tcW w:w="628" w:type="pct"/>
            <w:vAlign w:val="center"/>
          </w:tcPr>
          <w:p w14:paraId="273C385C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120</w:t>
            </w:r>
          </w:p>
        </w:tc>
        <w:tc>
          <w:tcPr>
            <w:tcW w:w="601" w:type="pct"/>
            <w:vAlign w:val="center"/>
          </w:tcPr>
          <w:p w14:paraId="75E12FDA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70</w:t>
            </w:r>
          </w:p>
        </w:tc>
        <w:tc>
          <w:tcPr>
            <w:tcW w:w="626" w:type="pct"/>
            <w:vAlign w:val="center"/>
          </w:tcPr>
          <w:p w14:paraId="6BC46AA5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3190</w:t>
            </w:r>
          </w:p>
        </w:tc>
        <w:tc>
          <w:tcPr>
            <w:tcW w:w="581" w:type="pct"/>
            <w:vAlign w:val="center"/>
          </w:tcPr>
          <w:p w14:paraId="04FDA126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19.9%</w:t>
            </w:r>
          </w:p>
        </w:tc>
      </w:tr>
      <w:tr w14:paraId="3DD73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9" w:type="pct"/>
            <w:vAlign w:val="center"/>
          </w:tcPr>
          <w:p w14:paraId="1B923C89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第5年</w:t>
            </w:r>
          </w:p>
        </w:tc>
        <w:tc>
          <w:tcPr>
            <w:tcW w:w="599" w:type="pct"/>
            <w:vAlign w:val="center"/>
          </w:tcPr>
          <w:p w14:paraId="0DD1885D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1800</w:t>
            </w:r>
          </w:p>
        </w:tc>
        <w:tc>
          <w:tcPr>
            <w:tcW w:w="653" w:type="pct"/>
            <w:vAlign w:val="center"/>
          </w:tcPr>
          <w:p w14:paraId="7A06AB63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1000</w:t>
            </w:r>
          </w:p>
        </w:tc>
        <w:tc>
          <w:tcPr>
            <w:tcW w:w="628" w:type="pct"/>
            <w:vAlign w:val="center"/>
          </w:tcPr>
          <w:p w14:paraId="3322F0BB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700</w:t>
            </w:r>
          </w:p>
        </w:tc>
        <w:tc>
          <w:tcPr>
            <w:tcW w:w="628" w:type="pct"/>
            <w:vAlign w:val="center"/>
          </w:tcPr>
          <w:p w14:paraId="71398DB9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140</w:t>
            </w:r>
          </w:p>
        </w:tc>
        <w:tc>
          <w:tcPr>
            <w:tcW w:w="601" w:type="pct"/>
            <w:vAlign w:val="center"/>
          </w:tcPr>
          <w:p w14:paraId="40A005D4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80</w:t>
            </w:r>
          </w:p>
        </w:tc>
        <w:tc>
          <w:tcPr>
            <w:tcW w:w="626" w:type="pct"/>
            <w:vAlign w:val="center"/>
          </w:tcPr>
          <w:p w14:paraId="35C489AB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3720</w:t>
            </w:r>
          </w:p>
        </w:tc>
        <w:tc>
          <w:tcPr>
            <w:tcW w:w="581" w:type="pct"/>
            <w:vAlign w:val="center"/>
          </w:tcPr>
          <w:p w14:paraId="035C7C48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16.6%</w:t>
            </w:r>
          </w:p>
        </w:tc>
      </w:tr>
    </w:tbl>
    <w:p w14:paraId="25DA49F3">
      <w:pPr>
        <w:rPr>
          <w:rFonts w:hint="eastAsia"/>
        </w:rPr>
      </w:pPr>
    </w:p>
    <w:p w14:paraId="4D253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成本增长逻辑说明：第1年聚焦MVP开发与C端初步验证，研发与算力投入集中但营销成本可控；第2-3年随着B端合作拓展与G端项目落地，算力需求（支撑更多对抗训练与文书生成）、研发投入（功能迭代与协议优化）及营销成本（行业推广与品牌建设）稳步增长；第4-5年进入规模化运营阶段，成本增长速率放缓，核心得益于单位算力成本下降、研发效率提升及营销渠道复用带来的规模效应。</w:t>
      </w:r>
    </w:p>
    <w:p w14:paraId="20E2B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9.3 收益预测</w:t>
      </w:r>
    </w:p>
    <w:p w14:paraId="09101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收益预测基于项目“To C+To B+To G”的三维商业模式，结合市场规模、渗透率目标及定价策略，采用“分业务线测算+整体汇总”的方式，确保预测的合理性与可实现性。</w:t>
      </w:r>
    </w:p>
    <w:p w14:paraId="6D8B0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9.3.1 市场规模与渗透率假设</w:t>
      </w:r>
    </w:p>
    <w:p w14:paraId="57621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C端市场：中国民事案件年受理量超1000万件，其中简单民事案件（如民间借贷、劳务纠纷）占比约60%，目标用户群体（无力承担高额律师费的当事人）约300万/年。项目第1年渗透率0.5%，第5年提升至5%。</w:t>
      </w:r>
    </w:p>
    <w:p w14:paraId="5008E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B端市场：全国律师数量超60万人，律所超3万家，其中中小型律所（10人以下）占比约80%，是核心目标客户。项目第2年启动B端拓展，第5年渗透率达8%。</w:t>
      </w:r>
    </w:p>
    <w:p w14:paraId="36A68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G端市场：全国法院超3000家，其中基层法院占比约70%，对简易程序辅助系统需求迫切。项目第3年启动G端对接，第5年渗透率达15%。</w:t>
      </w:r>
    </w:p>
    <w:p w14:paraId="0859D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9.3.2 定价策略与收益测算</w:t>
      </w:r>
    </w:p>
    <w:p w14:paraId="00CBC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各业务线定价基于成本加成法与市场竞争导向，兼顾普惠性与盈利能力：</w:t>
      </w:r>
    </w:p>
    <w:p w14:paraId="579A0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（1）To C业务（Freemium模式）</w:t>
      </w:r>
    </w:p>
    <w:p w14:paraId="10960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免费服务：基础法律咨询、简单法律问题解答、文书模板参考。</w:t>
      </w:r>
    </w:p>
    <w:p w14:paraId="3CF55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付费服务：“纳什均衡版”高胜率文书生成（含Justicia评测报告），定价29.9元/份。</w:t>
      </w:r>
    </w:p>
    <w:p w14:paraId="2C1BA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收益测算：按年度付费用户数×平均付费次数（1.2次/用户，部分用户可能涉及起诉+答辩两次文书生成）。</w:t>
      </w:r>
    </w:p>
    <w:p w14:paraId="2C085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（2）To B业务（SaaS订阅+API调用）</w:t>
      </w:r>
    </w:p>
    <w:p w14:paraId="45588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SaaS订阅：针对律所的“虚拟模拟法庭”服务，按律所规模定价，小型律所（1-10人）1.2万元/年，中型律所（11-50人）3.6万元/年，大型律所（50人以上）10万元/年。</w:t>
      </w:r>
    </w:p>
    <w:p w14:paraId="04B6B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API调用：为企业法务部门提供定制化接口服务，定价0.5元/次调用（按年度调用量阶梯折扣）。</w:t>
      </w:r>
    </w:p>
    <w:p w14:paraId="7A90B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收益测算：SaaS订阅收益（各类型律所数量×对应定价）+ API调用收益（年度调用量×单价）。</w:t>
      </w:r>
    </w:p>
    <w:p w14:paraId="6B08C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（3）To G业务（项目定制/政府采购）</w:t>
      </w:r>
    </w:p>
    <w:p w14:paraId="6CC98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定价方式：按案件处理量收费，基础服务费+按件计费，基础服务费50万元/法院，按件计费10元/件（简易程序案件）。</w:t>
      </w:r>
    </w:p>
    <w:p w14:paraId="26509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收益测算：合作法院数量×（基础服务费+年度处理案件量×按件计费单价），假设单法院年均处理简易程序案件1万件。</w:t>
      </w:r>
    </w:p>
    <w:p w14:paraId="73E8E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9.3.3 分年度收益预测（未来5年）</w:t>
      </w:r>
    </w:p>
    <w:tbl>
      <w:tblPr>
        <w:tblStyle w:val="2"/>
        <w:tblpPr w:leftFromText="180" w:rightFromText="180" w:vertAnchor="text" w:horzAnchor="page" w:tblpX="1920" w:tblpY="504"/>
        <w:tblOverlap w:val="never"/>
        <w:tblW w:w="493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"/>
        <w:gridCol w:w="1756"/>
        <w:gridCol w:w="1666"/>
        <w:gridCol w:w="1666"/>
        <w:gridCol w:w="1465"/>
        <w:gridCol w:w="1275"/>
      </w:tblGrid>
      <w:tr w14:paraId="4C662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42" w:type="pct"/>
            <w:shd w:val="clear" w:color="auto" w:fill="B9CDE5"/>
            <w:vAlign w:val="center"/>
          </w:tcPr>
          <w:p w14:paraId="41FEABD4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年度</w:t>
            </w:r>
          </w:p>
        </w:tc>
        <w:tc>
          <w:tcPr>
            <w:tcW w:w="1044" w:type="pct"/>
            <w:shd w:val="clear" w:color="auto" w:fill="B9CDE5"/>
            <w:vAlign w:val="center"/>
          </w:tcPr>
          <w:p w14:paraId="3DA9D1B8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 xml:space="preserve">To </w:t>
            </w: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C业务收益（万元）</w:t>
            </w:r>
          </w:p>
        </w:tc>
        <w:tc>
          <w:tcPr>
            <w:tcW w:w="991" w:type="pct"/>
            <w:shd w:val="clear" w:color="auto" w:fill="B9CDE5"/>
            <w:vAlign w:val="center"/>
          </w:tcPr>
          <w:p w14:paraId="6DE17840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 xml:space="preserve">To </w:t>
            </w: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B业务收益（万元）</w:t>
            </w:r>
          </w:p>
        </w:tc>
        <w:tc>
          <w:tcPr>
            <w:tcW w:w="991" w:type="pct"/>
            <w:shd w:val="clear" w:color="auto" w:fill="B9CDE5"/>
            <w:vAlign w:val="center"/>
          </w:tcPr>
          <w:p w14:paraId="5B694C6A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 xml:space="preserve">To </w:t>
            </w: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G业务收益（万元）</w:t>
            </w:r>
          </w:p>
        </w:tc>
        <w:tc>
          <w:tcPr>
            <w:tcW w:w="871" w:type="pct"/>
            <w:shd w:val="clear" w:color="auto" w:fill="B9CDE5"/>
            <w:vAlign w:val="center"/>
          </w:tcPr>
          <w:p w14:paraId="17D62E4A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总收益（万元）</w:t>
            </w:r>
          </w:p>
        </w:tc>
        <w:tc>
          <w:tcPr>
            <w:tcW w:w="758" w:type="pct"/>
            <w:shd w:val="clear" w:color="auto" w:fill="B9CDE5"/>
            <w:vAlign w:val="center"/>
          </w:tcPr>
          <w:p w14:paraId="4D488D98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营收增长率</w:t>
            </w:r>
          </w:p>
        </w:tc>
      </w:tr>
      <w:tr w14:paraId="242E5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" w:type="pct"/>
            <w:vAlign w:val="center"/>
          </w:tcPr>
          <w:p w14:paraId="68FCB8C5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第1年</w:t>
            </w:r>
          </w:p>
        </w:tc>
        <w:tc>
          <w:tcPr>
            <w:tcW w:w="1044" w:type="pct"/>
            <w:vAlign w:val="center"/>
          </w:tcPr>
          <w:p w14:paraId="546317D4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53.8</w:t>
            </w:r>
          </w:p>
        </w:tc>
        <w:tc>
          <w:tcPr>
            <w:tcW w:w="991" w:type="pct"/>
            <w:vAlign w:val="center"/>
          </w:tcPr>
          <w:p w14:paraId="7C71B3DE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91" w:type="pct"/>
            <w:vAlign w:val="center"/>
          </w:tcPr>
          <w:p w14:paraId="61E76836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871" w:type="pct"/>
            <w:vAlign w:val="center"/>
          </w:tcPr>
          <w:p w14:paraId="159C5A71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53.8</w:t>
            </w:r>
          </w:p>
        </w:tc>
        <w:tc>
          <w:tcPr>
            <w:tcW w:w="758" w:type="pct"/>
            <w:vAlign w:val="center"/>
          </w:tcPr>
          <w:p w14:paraId="5AE8B619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-</w:t>
            </w:r>
          </w:p>
        </w:tc>
      </w:tr>
      <w:tr w14:paraId="7541D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" w:type="pct"/>
            <w:vAlign w:val="center"/>
          </w:tcPr>
          <w:p w14:paraId="660D881F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第2年</w:t>
            </w:r>
          </w:p>
        </w:tc>
        <w:tc>
          <w:tcPr>
            <w:tcW w:w="1044" w:type="pct"/>
            <w:vAlign w:val="center"/>
          </w:tcPr>
          <w:p w14:paraId="4AECB524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358.8</w:t>
            </w:r>
          </w:p>
        </w:tc>
        <w:tc>
          <w:tcPr>
            <w:tcW w:w="991" w:type="pct"/>
            <w:vAlign w:val="center"/>
          </w:tcPr>
          <w:p w14:paraId="30F4BB26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480</w:t>
            </w:r>
          </w:p>
        </w:tc>
        <w:tc>
          <w:tcPr>
            <w:tcW w:w="991" w:type="pct"/>
            <w:vAlign w:val="center"/>
          </w:tcPr>
          <w:p w14:paraId="5B5CD1E3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871" w:type="pct"/>
            <w:vAlign w:val="center"/>
          </w:tcPr>
          <w:p w14:paraId="736090E7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838.8</w:t>
            </w:r>
          </w:p>
        </w:tc>
        <w:tc>
          <w:tcPr>
            <w:tcW w:w="758" w:type="pct"/>
            <w:vAlign w:val="center"/>
          </w:tcPr>
          <w:p w14:paraId="62CAD207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1459.1%</w:t>
            </w:r>
          </w:p>
        </w:tc>
      </w:tr>
      <w:tr w14:paraId="6D6E4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" w:type="pct"/>
            <w:vAlign w:val="center"/>
          </w:tcPr>
          <w:p w14:paraId="4054C533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第3年</w:t>
            </w:r>
          </w:p>
        </w:tc>
        <w:tc>
          <w:tcPr>
            <w:tcW w:w="1044" w:type="pct"/>
            <w:vAlign w:val="center"/>
          </w:tcPr>
          <w:p w14:paraId="717D1BFE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1076.4</w:t>
            </w:r>
          </w:p>
        </w:tc>
        <w:tc>
          <w:tcPr>
            <w:tcW w:w="991" w:type="pct"/>
            <w:vAlign w:val="center"/>
          </w:tcPr>
          <w:p w14:paraId="6170E444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1680</w:t>
            </w:r>
          </w:p>
        </w:tc>
        <w:tc>
          <w:tcPr>
            <w:tcW w:w="991" w:type="pct"/>
            <w:vAlign w:val="center"/>
          </w:tcPr>
          <w:p w14:paraId="121C9427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450</w:t>
            </w:r>
          </w:p>
        </w:tc>
        <w:tc>
          <w:tcPr>
            <w:tcW w:w="871" w:type="pct"/>
            <w:vAlign w:val="center"/>
          </w:tcPr>
          <w:p w14:paraId="55F2487E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3206.4</w:t>
            </w:r>
          </w:p>
        </w:tc>
        <w:tc>
          <w:tcPr>
            <w:tcW w:w="758" w:type="pct"/>
            <w:vAlign w:val="center"/>
          </w:tcPr>
          <w:p w14:paraId="18BE35DE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282.2%</w:t>
            </w:r>
          </w:p>
        </w:tc>
      </w:tr>
      <w:tr w14:paraId="27F79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" w:type="pct"/>
            <w:vAlign w:val="center"/>
          </w:tcPr>
          <w:p w14:paraId="2A829CE7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第4年</w:t>
            </w:r>
          </w:p>
        </w:tc>
        <w:tc>
          <w:tcPr>
            <w:tcW w:w="1044" w:type="pct"/>
            <w:vAlign w:val="center"/>
          </w:tcPr>
          <w:p w14:paraId="11D867A5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2152.8</w:t>
            </w:r>
          </w:p>
        </w:tc>
        <w:tc>
          <w:tcPr>
            <w:tcW w:w="991" w:type="pct"/>
            <w:vAlign w:val="center"/>
          </w:tcPr>
          <w:p w14:paraId="6DFF0E56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3600</w:t>
            </w:r>
          </w:p>
        </w:tc>
        <w:tc>
          <w:tcPr>
            <w:tcW w:w="991" w:type="pct"/>
            <w:vAlign w:val="center"/>
          </w:tcPr>
          <w:p w14:paraId="4BC94B6F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1350</w:t>
            </w:r>
          </w:p>
        </w:tc>
        <w:tc>
          <w:tcPr>
            <w:tcW w:w="871" w:type="pct"/>
            <w:vAlign w:val="center"/>
          </w:tcPr>
          <w:p w14:paraId="26416753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7102.8</w:t>
            </w:r>
          </w:p>
        </w:tc>
        <w:tc>
          <w:tcPr>
            <w:tcW w:w="758" w:type="pct"/>
            <w:vAlign w:val="center"/>
          </w:tcPr>
          <w:p w14:paraId="011D68BA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121.5%</w:t>
            </w:r>
          </w:p>
        </w:tc>
      </w:tr>
      <w:tr w14:paraId="75BF8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" w:type="pct"/>
            <w:vAlign w:val="center"/>
          </w:tcPr>
          <w:p w14:paraId="1BB41194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第5年</w:t>
            </w:r>
          </w:p>
        </w:tc>
        <w:tc>
          <w:tcPr>
            <w:tcW w:w="1044" w:type="pct"/>
            <w:vAlign w:val="center"/>
          </w:tcPr>
          <w:p w14:paraId="6E0170B1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3229.2</w:t>
            </w:r>
          </w:p>
        </w:tc>
        <w:tc>
          <w:tcPr>
            <w:tcW w:w="991" w:type="pct"/>
            <w:vAlign w:val="center"/>
          </w:tcPr>
          <w:p w14:paraId="0A609BF4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6000</w:t>
            </w:r>
          </w:p>
        </w:tc>
        <w:tc>
          <w:tcPr>
            <w:tcW w:w="991" w:type="pct"/>
            <w:vAlign w:val="center"/>
          </w:tcPr>
          <w:p w14:paraId="69B12768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2700</w:t>
            </w:r>
          </w:p>
        </w:tc>
        <w:tc>
          <w:tcPr>
            <w:tcW w:w="871" w:type="pct"/>
            <w:vAlign w:val="center"/>
          </w:tcPr>
          <w:p w14:paraId="7E55FCCD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11929.2</w:t>
            </w:r>
          </w:p>
        </w:tc>
        <w:tc>
          <w:tcPr>
            <w:tcW w:w="758" w:type="pct"/>
            <w:vAlign w:val="center"/>
          </w:tcPr>
          <w:p w14:paraId="61BE6D0B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67.9%</w:t>
            </w:r>
          </w:p>
        </w:tc>
      </w:tr>
    </w:tbl>
    <w:p w14:paraId="22006BF8">
      <w:pPr>
        <w:rPr>
          <w:rFonts w:hint="eastAsia"/>
        </w:rPr>
      </w:pPr>
    </w:p>
    <w:p w14:paraId="273DE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收益增长逻辑说明：第1年为C端验证期，收益规模较小，主要用于验证商业模式；第2年B端业务启动，C端用户通过前期积累实现快速增长，总营收大幅提升；第3年G端业务落地，三大业务线协同发力，营收增速保持高位；第4-5年进入稳步增长期，增速逐步回归行业合理水平，但因基数扩大，绝对增量持续提升。</w:t>
      </w:r>
    </w:p>
    <w:p w14:paraId="663D3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9.4 财务指标分析</w:t>
      </w:r>
    </w:p>
    <w:p w14:paraId="2CAC6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基于成本与收益预测，对项目核心财务指标进行测算，以评估项目的盈利能力、偿债能力及投资回报水平。</w:t>
      </w:r>
    </w:p>
    <w:p w14:paraId="142DB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9.4.1 盈利能力分析</w:t>
      </w:r>
    </w:p>
    <w:p w14:paraId="74A2B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核心盈利能力指标包括毛利率、净利率、盈亏平衡点，测算如下表所示：</w:t>
      </w: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390"/>
        <w:gridCol w:w="1198"/>
        <w:gridCol w:w="1264"/>
        <w:gridCol w:w="1223"/>
        <w:gridCol w:w="1576"/>
        <w:gridCol w:w="1223"/>
      </w:tblGrid>
      <w:tr w14:paraId="2EF7C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E3CCF2A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年度</w:t>
            </w:r>
          </w:p>
        </w:tc>
        <w:tc>
          <w:tcPr>
            <w:shd w:val="clear" w:color="auto" w:fill="B9CDE5"/>
          </w:tcPr>
          <w:p w14:paraId="1B433855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总营收（万元）</w:t>
            </w:r>
          </w:p>
        </w:tc>
        <w:tc>
          <w:tcPr>
            <w:shd w:val="clear" w:color="auto" w:fill="B9CDE5"/>
          </w:tcPr>
          <w:p w14:paraId="10E2E942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总成本（万元）</w:t>
            </w:r>
          </w:p>
        </w:tc>
        <w:tc>
          <w:tcPr>
            <w:shd w:val="clear" w:color="auto" w:fill="B9CDE5"/>
          </w:tcPr>
          <w:p w14:paraId="25E82273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毛利（万元）</w:t>
            </w:r>
          </w:p>
        </w:tc>
        <w:tc>
          <w:tcPr>
            <w:shd w:val="clear" w:color="auto" w:fill="B9CDE5"/>
          </w:tcPr>
          <w:p w14:paraId="4DCB2F25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毛利率</w:t>
            </w:r>
          </w:p>
        </w:tc>
        <w:tc>
          <w:tcPr>
            <w:shd w:val="clear" w:color="auto" w:fill="B9CDE5"/>
          </w:tcPr>
          <w:p w14:paraId="105013A9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净利润（万元）</w:t>
            </w:r>
          </w:p>
        </w:tc>
        <w:tc>
          <w:tcPr>
            <w:shd w:val="clear" w:color="auto" w:fill="B9CDE5"/>
          </w:tcPr>
          <w:p w14:paraId="15EA727C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净利率</w:t>
            </w:r>
          </w:p>
        </w:tc>
      </w:tr>
      <w:tr w14:paraId="1F765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C0CEA6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第1年</w:t>
            </w:r>
          </w:p>
        </w:tc>
        <w:tc>
          <w:p w14:paraId="3F6CDD9C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53.8</w:t>
            </w:r>
          </w:p>
        </w:tc>
        <w:tc>
          <w:p w14:paraId="0CAB847F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1800</w:t>
            </w:r>
          </w:p>
        </w:tc>
        <w:tc>
          <w:p w14:paraId="70CB5F6F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-1746.2</w:t>
            </w:r>
          </w:p>
        </w:tc>
        <w:tc>
          <w:p w14:paraId="558D6FDF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-3245.7%</w:t>
            </w:r>
          </w:p>
        </w:tc>
        <w:tc>
          <w:p w14:paraId="5ADDFB64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-1800（含税费及附加）</w:t>
            </w:r>
          </w:p>
        </w:tc>
        <w:tc>
          <w:p w14:paraId="44213138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-3345.7%</w:t>
            </w:r>
          </w:p>
        </w:tc>
      </w:tr>
      <w:tr w14:paraId="3408D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D8D398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第2年</w:t>
            </w:r>
          </w:p>
        </w:tc>
        <w:tc>
          <w:p w14:paraId="5F3CDE03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838.8</w:t>
            </w:r>
          </w:p>
        </w:tc>
        <w:tc>
          <w:p w14:paraId="5B79E41D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2230</w:t>
            </w:r>
          </w:p>
        </w:tc>
        <w:tc>
          <w:p w14:paraId="27E54ECF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-1391.2</w:t>
            </w:r>
          </w:p>
        </w:tc>
        <w:tc>
          <w:p w14:paraId="25A73679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-165.9%</w:t>
            </w:r>
          </w:p>
        </w:tc>
        <w:tc>
          <w:p w14:paraId="6D185B89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-1450</w:t>
            </w:r>
          </w:p>
        </w:tc>
        <w:tc>
          <w:p w14:paraId="433402ED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-172.8%</w:t>
            </w:r>
          </w:p>
        </w:tc>
      </w:tr>
      <w:tr w14:paraId="2C737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CA0E51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第3年</w:t>
            </w:r>
          </w:p>
        </w:tc>
        <w:tc>
          <w:p w14:paraId="06AA71B8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3206.4</w:t>
            </w:r>
          </w:p>
        </w:tc>
        <w:tc>
          <w:p w14:paraId="602C7244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2660</w:t>
            </w:r>
          </w:p>
        </w:tc>
        <w:tc>
          <w:p w14:paraId="0E73B607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546.4</w:t>
            </w:r>
          </w:p>
        </w:tc>
        <w:tc>
          <w:p w14:paraId="53CA36E8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17.0%</w:t>
            </w:r>
          </w:p>
        </w:tc>
        <w:tc>
          <w:p w14:paraId="4DDBAAE8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420</w:t>
            </w:r>
          </w:p>
        </w:tc>
        <w:tc>
          <w:p w14:paraId="51927962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13.1%</w:t>
            </w:r>
          </w:p>
        </w:tc>
      </w:tr>
      <w:tr w14:paraId="699B2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2707FE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第4年</w:t>
            </w:r>
          </w:p>
        </w:tc>
        <w:tc>
          <w:p w14:paraId="03FDE2D3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7102.8</w:t>
            </w:r>
          </w:p>
        </w:tc>
        <w:tc>
          <w:p w14:paraId="415B1495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3190</w:t>
            </w:r>
          </w:p>
        </w:tc>
        <w:tc>
          <w:p w14:paraId="0447ADA2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3912.8</w:t>
            </w:r>
          </w:p>
        </w:tc>
        <w:tc>
          <w:p w14:paraId="322021E8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55.1%</w:t>
            </w:r>
          </w:p>
        </w:tc>
        <w:tc>
          <w:p w14:paraId="295EA52C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3200</w:t>
            </w:r>
          </w:p>
        </w:tc>
        <w:tc>
          <w:p w14:paraId="07DC4F98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45.0%</w:t>
            </w:r>
          </w:p>
        </w:tc>
      </w:tr>
      <w:tr w14:paraId="372C6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5D7F53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第5年</w:t>
            </w:r>
          </w:p>
        </w:tc>
        <w:tc>
          <w:p w14:paraId="29147C97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11929.2</w:t>
            </w:r>
          </w:p>
        </w:tc>
        <w:tc>
          <w:p w14:paraId="70EC177A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3720</w:t>
            </w:r>
          </w:p>
        </w:tc>
        <w:tc>
          <w:p w14:paraId="527D0DF1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8209.2</w:t>
            </w:r>
          </w:p>
        </w:tc>
        <w:tc>
          <w:p w14:paraId="6E81EBDD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68.8%</w:t>
            </w:r>
          </w:p>
        </w:tc>
        <w:tc>
          <w:p w14:paraId="0CE7E791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6800</w:t>
            </w:r>
          </w:p>
        </w:tc>
        <w:tc>
          <w:p w14:paraId="49697C62">
            <w:pPr>
              <w:spacing w:before="60" w:after="60" w:line="360" w:lineRule="auto"/>
              <w:ind w:firstLine="0" w:firstLineChars="0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57.0%</w:t>
            </w:r>
          </w:p>
        </w:tc>
      </w:tr>
    </w:tbl>
    <w:p w14:paraId="723329DA">
      <w:pPr>
        <w:rPr>
          <w:rFonts w:hint="eastAsia"/>
        </w:rPr>
      </w:pPr>
    </w:p>
    <w:p w14:paraId="100A1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注：净利润计算已扣除增值税、企业所得税及各项附加税费，第1-2年因亏损无需缴纳企业所得税，第3年起按25%税率缴纳。</w:t>
      </w:r>
    </w:p>
    <w:p w14:paraId="6E7C1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盈利能力分析结论：项目前两年处于投入期，因研发与营销成本较高，呈现亏损状态；第3年实现盈亏平衡并产生正向净利润，毛利率17.0%，净利率13.1%，标志着商业模式的成功验证；第4-5年随着规模效应显现，毛利率稳步提升至68.8%，净利率达57.0%，远超行业平均水平（法律科技行业平均净利率约30%），核心得益于可变成本占比下降、高毛利的B端与G端业务占比提升。</w:t>
      </w:r>
    </w:p>
    <w:p w14:paraId="2CAD6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9.4.2 投资回报分析</w:t>
      </w:r>
    </w:p>
    <w:p w14:paraId="1037A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核心投资回报指标包括投资回收期、内部收益率（IRR）与净现值（NPV），假设折现率为12%（行业平均折现率）：</w:t>
      </w:r>
    </w:p>
    <w:tbl>
      <w:tblPr>
        <w:tblStyle w:val="2"/>
        <w:tblW w:w="4930" w:type="pct"/>
        <w:tblInd w:w="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1222"/>
        <w:gridCol w:w="5446"/>
      </w:tblGrid>
      <w:tr w14:paraId="4E88E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32" w:type="pct"/>
            <w:shd w:val="clear" w:color="auto" w:fill="B9CDE5"/>
            <w:vAlign w:val="center"/>
          </w:tcPr>
          <w:p w14:paraId="422055D7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指标</w:t>
            </w:r>
          </w:p>
        </w:tc>
        <w:tc>
          <w:tcPr>
            <w:tcW w:w="727" w:type="pct"/>
            <w:shd w:val="clear" w:color="auto" w:fill="B9CDE5"/>
            <w:vAlign w:val="center"/>
          </w:tcPr>
          <w:p w14:paraId="7937B0D3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数值</w:t>
            </w:r>
          </w:p>
        </w:tc>
        <w:tc>
          <w:tcPr>
            <w:tcW w:w="3240" w:type="pct"/>
            <w:shd w:val="clear" w:color="auto" w:fill="B9CDE5"/>
            <w:vAlign w:val="center"/>
          </w:tcPr>
          <w:p w14:paraId="5CD3D43A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78D09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pct"/>
            <w:vAlign w:val="center"/>
          </w:tcPr>
          <w:p w14:paraId="56C0842C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静态投资回收期</w:t>
            </w:r>
          </w:p>
        </w:tc>
        <w:tc>
          <w:tcPr>
            <w:tcW w:w="727" w:type="pct"/>
            <w:vAlign w:val="center"/>
          </w:tcPr>
          <w:p w14:paraId="4C7C17EB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3.5年</w:t>
            </w:r>
          </w:p>
        </w:tc>
        <w:tc>
          <w:tcPr>
            <w:tcW w:w="3240" w:type="pct"/>
            <w:vAlign w:val="center"/>
          </w:tcPr>
          <w:p w14:paraId="27368D0C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从项目启动至累计净利润覆盖初始融资5000万元的时间</w:t>
            </w:r>
          </w:p>
        </w:tc>
      </w:tr>
      <w:tr w14:paraId="7E4AC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pct"/>
            <w:vAlign w:val="center"/>
          </w:tcPr>
          <w:p w14:paraId="7A8F29F4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动态投资回收期</w:t>
            </w:r>
          </w:p>
        </w:tc>
        <w:tc>
          <w:tcPr>
            <w:tcW w:w="727" w:type="pct"/>
            <w:vAlign w:val="center"/>
          </w:tcPr>
          <w:p w14:paraId="78BF8B81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3.8年</w:t>
            </w:r>
          </w:p>
        </w:tc>
        <w:tc>
          <w:tcPr>
            <w:tcW w:w="3240" w:type="pct"/>
            <w:vAlign w:val="center"/>
          </w:tcPr>
          <w:p w14:paraId="313A7B44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考虑资金时间价值后，累计净现值覆盖初始融资的时间</w:t>
            </w:r>
          </w:p>
        </w:tc>
      </w:tr>
      <w:tr w14:paraId="495F6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pct"/>
            <w:vAlign w:val="center"/>
          </w:tcPr>
          <w:p w14:paraId="2BF9D424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内部收益率（IRR）</w:t>
            </w:r>
          </w:p>
        </w:tc>
        <w:tc>
          <w:tcPr>
            <w:tcW w:w="727" w:type="pct"/>
            <w:vAlign w:val="center"/>
          </w:tcPr>
          <w:p w14:paraId="1A6AA3A2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42.5%</w:t>
            </w:r>
          </w:p>
        </w:tc>
        <w:tc>
          <w:tcPr>
            <w:tcW w:w="3240" w:type="pct"/>
            <w:vAlign w:val="center"/>
          </w:tcPr>
          <w:p w14:paraId="009A8DB5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远高于行业平均水平（20%-30%），项目投资价值显著</w:t>
            </w:r>
          </w:p>
        </w:tc>
      </w:tr>
      <w:tr w14:paraId="059E6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pct"/>
            <w:vAlign w:val="center"/>
          </w:tcPr>
          <w:p w14:paraId="1EC65AA1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净现值（NPV）</w:t>
            </w:r>
          </w:p>
        </w:tc>
        <w:tc>
          <w:tcPr>
            <w:tcW w:w="727" w:type="pct"/>
            <w:vAlign w:val="center"/>
          </w:tcPr>
          <w:p w14:paraId="58C1FA13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12860万元</w:t>
            </w:r>
          </w:p>
        </w:tc>
        <w:tc>
          <w:tcPr>
            <w:tcW w:w="3240" w:type="pct"/>
            <w:vAlign w:val="center"/>
          </w:tcPr>
          <w:p w14:paraId="6E71328E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折现率12%前提下，项目未来现金流的现值总和，为正说明项目可行</w:t>
            </w:r>
          </w:p>
        </w:tc>
      </w:tr>
    </w:tbl>
    <w:p w14:paraId="41B32005">
      <w:pPr>
        <w:rPr>
          <w:rFonts w:hint="eastAsia"/>
        </w:rPr>
      </w:pPr>
    </w:p>
    <w:p w14:paraId="70776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投资回报分析结论：项目静态投资回收期3.5年，动态投资回收期3.8年，处于科技类创业项目合理回收期范围内（通常为3-5年）；IRR达42.5%，NPV为正，表明项目具有较强的投资吸引力，能够为投资者带来超额回报。</w:t>
      </w:r>
    </w:p>
    <w:p w14:paraId="1FECF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9.4.3 偿债能力分析</w:t>
      </w:r>
    </w:p>
    <w:p w14:paraId="78250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项目融资为股权融资，无长期债务，短期偿债能力主要通过流动比率与速动比率衡量（假设流动负债主要为应付账款与应付职工薪酬）：</w:t>
      </w:r>
    </w:p>
    <w:tbl>
      <w:tblPr>
        <w:tblStyle w:val="2"/>
        <w:tblW w:w="4948" w:type="pct"/>
        <w:tblInd w:w="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2405"/>
        <w:gridCol w:w="2405"/>
        <w:gridCol w:w="1323"/>
        <w:gridCol w:w="1324"/>
      </w:tblGrid>
      <w:tr w14:paraId="0B66E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78" w:type="pct"/>
            <w:shd w:val="clear" w:color="auto" w:fill="B9CDE5"/>
            <w:vAlign w:val="center"/>
          </w:tcPr>
          <w:p w14:paraId="6780C0C8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年度</w:t>
            </w:r>
          </w:p>
        </w:tc>
        <w:tc>
          <w:tcPr>
            <w:tcW w:w="1425" w:type="pct"/>
            <w:shd w:val="clear" w:color="auto" w:fill="B9CDE5"/>
            <w:vAlign w:val="center"/>
          </w:tcPr>
          <w:p w14:paraId="36E76C83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流动资产（万元）</w:t>
            </w:r>
          </w:p>
        </w:tc>
        <w:tc>
          <w:tcPr>
            <w:tcW w:w="1425" w:type="pct"/>
            <w:shd w:val="clear" w:color="auto" w:fill="B9CDE5"/>
            <w:vAlign w:val="center"/>
          </w:tcPr>
          <w:p w14:paraId="1FA9686C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流动负债（万元）</w:t>
            </w:r>
          </w:p>
        </w:tc>
        <w:tc>
          <w:tcPr>
            <w:tcW w:w="784" w:type="pct"/>
            <w:shd w:val="clear" w:color="auto" w:fill="B9CDE5"/>
            <w:vAlign w:val="center"/>
          </w:tcPr>
          <w:p w14:paraId="131EA268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流动比率</w:t>
            </w:r>
          </w:p>
        </w:tc>
        <w:tc>
          <w:tcPr>
            <w:tcW w:w="784" w:type="pct"/>
            <w:shd w:val="clear" w:color="auto" w:fill="B9CDE5"/>
            <w:vAlign w:val="center"/>
          </w:tcPr>
          <w:p w14:paraId="02CF7505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b/>
                <w:sz w:val="24"/>
                <w:szCs w:val="24"/>
                <w:lang w:val="en-US" w:eastAsia="zh-CN" w:bidi="ar-SA"/>
              </w:rPr>
              <w:t>速动比率</w:t>
            </w:r>
          </w:p>
        </w:tc>
      </w:tr>
      <w:tr w14:paraId="5E4A1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8" w:type="pct"/>
            <w:vAlign w:val="center"/>
          </w:tcPr>
          <w:p w14:paraId="74C5B9B2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第1年</w:t>
            </w:r>
          </w:p>
        </w:tc>
        <w:tc>
          <w:tcPr>
            <w:tcW w:w="1425" w:type="pct"/>
            <w:vAlign w:val="center"/>
          </w:tcPr>
          <w:p w14:paraId="42683D76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3200</w:t>
            </w:r>
          </w:p>
        </w:tc>
        <w:tc>
          <w:tcPr>
            <w:tcW w:w="1425" w:type="pct"/>
            <w:vAlign w:val="center"/>
          </w:tcPr>
          <w:p w14:paraId="3900583B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300</w:t>
            </w:r>
          </w:p>
        </w:tc>
        <w:tc>
          <w:tcPr>
            <w:tcW w:w="784" w:type="pct"/>
            <w:vAlign w:val="center"/>
          </w:tcPr>
          <w:p w14:paraId="5D1EEC50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10.67</w:t>
            </w:r>
          </w:p>
        </w:tc>
        <w:tc>
          <w:tcPr>
            <w:tcW w:w="784" w:type="pct"/>
            <w:vAlign w:val="center"/>
          </w:tcPr>
          <w:p w14:paraId="5C53A42B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10.67</w:t>
            </w:r>
          </w:p>
        </w:tc>
      </w:tr>
      <w:tr w14:paraId="0B5E9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8" w:type="pct"/>
            <w:vAlign w:val="center"/>
          </w:tcPr>
          <w:p w14:paraId="1ADB6DB3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第2年</w:t>
            </w:r>
          </w:p>
        </w:tc>
        <w:tc>
          <w:tcPr>
            <w:tcW w:w="1425" w:type="pct"/>
            <w:vAlign w:val="center"/>
          </w:tcPr>
          <w:p w14:paraId="1D0C1791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2500</w:t>
            </w:r>
          </w:p>
        </w:tc>
        <w:tc>
          <w:tcPr>
            <w:tcW w:w="1425" w:type="pct"/>
            <w:vAlign w:val="center"/>
          </w:tcPr>
          <w:p w14:paraId="7D2516C7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450</w:t>
            </w:r>
          </w:p>
        </w:tc>
        <w:tc>
          <w:tcPr>
            <w:tcW w:w="784" w:type="pct"/>
            <w:vAlign w:val="center"/>
          </w:tcPr>
          <w:p w14:paraId="4AB7F6F6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5.56</w:t>
            </w:r>
          </w:p>
        </w:tc>
        <w:tc>
          <w:tcPr>
            <w:tcW w:w="784" w:type="pct"/>
            <w:vAlign w:val="center"/>
          </w:tcPr>
          <w:p w14:paraId="3F559A7E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5.56</w:t>
            </w:r>
          </w:p>
        </w:tc>
      </w:tr>
      <w:tr w14:paraId="2EB81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8" w:type="pct"/>
            <w:vAlign w:val="center"/>
          </w:tcPr>
          <w:p w14:paraId="3E96DBDD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第3年</w:t>
            </w:r>
          </w:p>
        </w:tc>
        <w:tc>
          <w:tcPr>
            <w:tcW w:w="1425" w:type="pct"/>
            <w:vAlign w:val="center"/>
          </w:tcPr>
          <w:p w14:paraId="2D638501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3800</w:t>
            </w:r>
          </w:p>
        </w:tc>
        <w:tc>
          <w:tcPr>
            <w:tcW w:w="1425" w:type="pct"/>
            <w:vAlign w:val="center"/>
          </w:tcPr>
          <w:p w14:paraId="4E4BD7E9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600</w:t>
            </w:r>
          </w:p>
        </w:tc>
        <w:tc>
          <w:tcPr>
            <w:tcW w:w="784" w:type="pct"/>
            <w:vAlign w:val="center"/>
          </w:tcPr>
          <w:p w14:paraId="56ED925F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6.33</w:t>
            </w:r>
          </w:p>
        </w:tc>
        <w:tc>
          <w:tcPr>
            <w:tcW w:w="784" w:type="pct"/>
            <w:vAlign w:val="center"/>
          </w:tcPr>
          <w:p w14:paraId="26780CA7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6.33</w:t>
            </w:r>
          </w:p>
        </w:tc>
      </w:tr>
      <w:tr w14:paraId="1236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8" w:type="pct"/>
            <w:vAlign w:val="center"/>
          </w:tcPr>
          <w:p w14:paraId="1D85CCCC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第4年</w:t>
            </w:r>
          </w:p>
        </w:tc>
        <w:tc>
          <w:tcPr>
            <w:tcW w:w="1425" w:type="pct"/>
            <w:vAlign w:val="center"/>
          </w:tcPr>
          <w:p w14:paraId="6A93962F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6500</w:t>
            </w:r>
          </w:p>
        </w:tc>
        <w:tc>
          <w:tcPr>
            <w:tcW w:w="1425" w:type="pct"/>
            <w:vAlign w:val="center"/>
          </w:tcPr>
          <w:p w14:paraId="24AF3B6A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800</w:t>
            </w:r>
          </w:p>
        </w:tc>
        <w:tc>
          <w:tcPr>
            <w:tcW w:w="784" w:type="pct"/>
            <w:vAlign w:val="center"/>
          </w:tcPr>
          <w:p w14:paraId="0710E186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8.13</w:t>
            </w:r>
          </w:p>
        </w:tc>
        <w:tc>
          <w:tcPr>
            <w:tcW w:w="784" w:type="pct"/>
            <w:vAlign w:val="center"/>
          </w:tcPr>
          <w:p w14:paraId="6E523F11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8.13</w:t>
            </w:r>
          </w:p>
        </w:tc>
      </w:tr>
      <w:tr w14:paraId="37F11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8" w:type="pct"/>
            <w:vAlign w:val="center"/>
          </w:tcPr>
          <w:p w14:paraId="6E8FD9F0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第5年</w:t>
            </w:r>
          </w:p>
        </w:tc>
        <w:tc>
          <w:tcPr>
            <w:tcW w:w="1425" w:type="pct"/>
            <w:vAlign w:val="center"/>
          </w:tcPr>
          <w:p w14:paraId="29CBF7D9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10200</w:t>
            </w:r>
          </w:p>
        </w:tc>
        <w:tc>
          <w:tcPr>
            <w:tcW w:w="1425" w:type="pct"/>
            <w:vAlign w:val="center"/>
          </w:tcPr>
          <w:p w14:paraId="192AF366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1000</w:t>
            </w:r>
          </w:p>
        </w:tc>
        <w:tc>
          <w:tcPr>
            <w:tcW w:w="784" w:type="pct"/>
            <w:vAlign w:val="center"/>
          </w:tcPr>
          <w:p w14:paraId="61D470B5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10.20</w:t>
            </w:r>
          </w:p>
        </w:tc>
        <w:tc>
          <w:tcPr>
            <w:tcW w:w="784" w:type="pct"/>
            <w:vAlign w:val="center"/>
          </w:tcPr>
          <w:p w14:paraId="53EF659E">
            <w:pPr>
              <w:spacing w:before="60" w:after="60" w:line="360" w:lineRule="auto"/>
              <w:ind w:firstLine="0" w:firstLineChars="0"/>
              <w:jc w:val="center"/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Cambria Math" w:hAnsi="Cambria Math" w:eastAsia="Cambria Math" w:cs="Times New Roman"/>
                <w:sz w:val="24"/>
                <w:szCs w:val="24"/>
                <w:lang w:val="en-US" w:eastAsia="zh-CN" w:bidi="ar-SA"/>
              </w:rPr>
              <w:t>10.20</w:t>
            </w:r>
          </w:p>
        </w:tc>
      </w:tr>
    </w:tbl>
    <w:p w14:paraId="6B3E538C">
      <w:pPr>
        <w:rPr>
          <w:rFonts w:hint="eastAsia"/>
        </w:rPr>
      </w:pPr>
    </w:p>
    <w:p w14:paraId="6A5F0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偿债能力分析结论：各年度流动比率与速动比率均远高于2:1的安全标准，表明项目流动资产足以覆盖流动负债，短期偿债能力极强，无资金链断裂风险。</w:t>
      </w:r>
    </w:p>
    <w:p w14:paraId="1594F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9.5 财务风险与应对策略</w:t>
      </w:r>
    </w:p>
    <w:p w14:paraId="32A4E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9.5.1 核心财务风险识别</w:t>
      </w:r>
    </w:p>
    <w:p w14:paraId="5C42B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1. 成本超支风险：算力成本受AI训练需求波动影响，若多智能体对抗训练复杂度提升，可能导致算力成本超支；研发人力成本因核心人才稀缺性，可能面临薪酬上涨压力。</w:t>
      </w:r>
    </w:p>
    <w:p w14:paraId="7FDDE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2. 收益不及预期风险：C端用户获取成本高于预期、B端律所付费意愿不足、G端政府采购流程延迟，均可能导致营收增长不及预测。</w:t>
      </w:r>
    </w:p>
    <w:p w14:paraId="6B49D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3. 现金流风险：前两年项目处于亏损状态，若融资资金使用效率不高，可能面临短期现金流紧张。</w:t>
      </w:r>
    </w:p>
    <w:p w14:paraId="57A15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9.5.2 风险应对策略</w:t>
      </w:r>
    </w:p>
    <w:p w14:paraId="6A0C4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1. 成本控制策略：与云计算服务商签订长期框架协议，锁定算力采购价格，争取批量采购折扣；优化研发流程，提高研发效率，减少无效投入；建立人力成本动态监控机制，核心人才采用“薪酬+股权激励”模式，平衡成本与留存。</w:t>
      </w:r>
    </w:p>
    <w:p w14:paraId="2ACFD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2. 收益保障策略：C端市场采用“内容营销+用户裂变”模式，降低获客成本；B端市场优先与区域头部律所合作，树立标杆案例，提升付费转化率；G端市场组建专业政务对接团队，提前布局政策导向，缩短采购流程。</w:t>
      </w:r>
    </w:p>
    <w:p w14:paraId="78396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3. 现金流管理策略：制定严格的资金使用计划，按月度分解预算，避免资金闲置；建立现金流预警机制，当现金储备低于6个月运营成本时，启动应急方案（如调整营销投入、寻求追加融资）；优化收款周期，B端采用“预付费+年付”模式，G端争取预付款比例不低于50%。</w:t>
      </w:r>
    </w:p>
    <w:p w14:paraId="1AD44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9.6 财务总结</w:t>
      </w:r>
    </w:p>
    <w:p w14:paraId="1F7E9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元弈言枢</w:t>
      </w:r>
      <w:r>
        <w:rPr>
          <w:rFonts w:hint="eastAsia"/>
          <w:lang w:eastAsia="zh-CN"/>
        </w:rPr>
        <w:t>”</w:t>
      </w:r>
      <w:r>
        <w:rPr>
          <w:rFonts w:hint="eastAsia"/>
        </w:rPr>
        <w:t>项目财务规划基于“技术驱动、市场导向、稳健发展”的核心逻辑，通过5000万元融资投入，构建了“To C+To B+To G”的多元化收益体系。项目前两年处于投入期，聚焦技术研发与市场验证；第3年实现盈亏平衡并进入盈利期，盈利能力持续增强，第5年净利率预计达57.0%；投资回收期3.8年，IRR42.5%，投资价值显著。</w:t>
      </w:r>
    </w:p>
    <w:p w14:paraId="799C6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rPr>
          <w:rFonts w:hint="eastAsia"/>
        </w:rPr>
        <w:t>财务风险可控，通过成本控制、收益保障与现金流管理策略，可有效应对潜在风险。整体来看，项目财务模型具备较强的合理性与可行性，能够支撑项目从技术验证走向规模化盈利，为投资者创造可观回报，同时实现“让优质法律服务触手可及”的项目使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935767"/>
    <w:rsid w:val="14784D7B"/>
    <w:rsid w:val="19A50196"/>
    <w:rsid w:val="341D019F"/>
    <w:rsid w:val="55F235A0"/>
    <w:rsid w:val="5862192B"/>
    <w:rsid w:val="5A1F73C7"/>
    <w:rsid w:val="5D652A12"/>
    <w:rsid w:val="796F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宋体" w:eastAsiaTheme="minorEastAsia"/>
      <w:kern w:val="2"/>
      <w:sz w:val="24"/>
      <w:szCs w:val="3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14317</Words>
  <Characters>15121</Characters>
  <Lines>0</Lines>
  <Paragraphs>0</Paragraphs>
  <TotalTime>4</TotalTime>
  <ScaleCrop>false</ScaleCrop>
  <LinksUpToDate>false</LinksUpToDate>
  <CharactersWithSpaces>15163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2025-04-24T00:46:00Z</dcterms:created>
  <dc:creator>ge</dc:creator>
  <cp:lastModifiedBy>didida</cp:lastModifiedBy>
  <dcterms:modified xsi:type="dcterms:W3CDTF">2026-01-09T13:35:20Z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4DC20AC67F3B48BBB2EF505AFB7A67DE_12</vt:lpwstr>
  </property>
  <property fmtid="{D5CDD505-2E9C-101B-9397-08002B2CF9AE}" pid="4" name="KSOTemplateDocerSaveRecord">
    <vt:lpwstr>eyJoZGlkIjoiNWM5NjJkZDM1YzQ5ZGNmZWM4OTQxMWYxZWQ4MzFlNGEiLCJ1c2VySWQiOiIxMDUzNjA5OTY4In0=</vt:lpwstr>
  </property>
</Properties>
</file>