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345" w:type="dxa"/>
        <w:tblInd w:w="28" w:type="dxa"/>
        <w:tblLayout w:type="fixed"/>
        <w:tblCellMar>
          <w:top w:w="0" w:type="dxa"/>
          <w:left w:w="28" w:type="dxa"/>
          <w:bottom w:w="0" w:type="dxa"/>
          <w:right w:w="28" w:type="dxa"/>
        </w:tblCellMar>
      </w:tblPr>
      <w:tblGrid>
        <w:gridCol w:w="2100"/>
        <w:gridCol w:w="1728"/>
        <w:gridCol w:w="1701"/>
        <w:gridCol w:w="1191"/>
        <w:gridCol w:w="1365"/>
        <w:gridCol w:w="1260"/>
      </w:tblGrid>
      <w:tr w14:paraId="5E867B21">
        <w:tblPrEx>
          <w:tblCellMar>
            <w:top w:w="0" w:type="dxa"/>
            <w:left w:w="28" w:type="dxa"/>
            <w:bottom w:w="0" w:type="dxa"/>
            <w:right w:w="28" w:type="dxa"/>
          </w:tblCellMar>
        </w:tblPrEx>
        <w:trPr>
          <w:tblHeader/>
        </w:trPr>
        <w:tc>
          <w:tcPr>
            <w:tcW w:w="2100" w:type="dxa"/>
            <w:tcBorders>
              <w:top w:val="single" w:color="auto" w:sz="6" w:space="0"/>
              <w:left w:val="single" w:color="auto" w:sz="6" w:space="0"/>
              <w:bottom w:val="single" w:color="auto" w:sz="6" w:space="0"/>
              <w:right w:val="single" w:color="auto" w:sz="6" w:space="0"/>
            </w:tcBorders>
            <w:vAlign w:val="center"/>
          </w:tcPr>
          <w:p w14:paraId="61AF5575">
            <w:pPr>
              <w:wordWrap w:val="0"/>
              <w:jc w:val="center"/>
            </w:pPr>
            <w:r>
              <w:t>报审学科组</w:t>
            </w:r>
          </w:p>
        </w:tc>
        <w:tc>
          <w:tcPr>
            <w:tcW w:w="1728" w:type="dxa"/>
            <w:tcBorders>
              <w:top w:val="single" w:color="auto" w:sz="6" w:space="0"/>
              <w:left w:val="single" w:color="auto" w:sz="6" w:space="0"/>
              <w:bottom w:val="single" w:color="auto" w:sz="6" w:space="0"/>
              <w:right w:val="single" w:color="auto" w:sz="4" w:space="0"/>
            </w:tcBorders>
            <w:vAlign w:val="center"/>
          </w:tcPr>
          <w:p w14:paraId="1E6E5C72">
            <w:pPr>
              <w:wordWrap w:val="0"/>
              <w:ind w:firstLine="105" w:firstLineChars="50"/>
              <w:jc w:val="center"/>
            </w:pPr>
            <w:r>
              <w:rPr>
                <w:rFonts w:hint="eastAsia"/>
              </w:rPr>
              <w:t>报审亚学科组</w:t>
            </w:r>
          </w:p>
        </w:tc>
        <w:tc>
          <w:tcPr>
            <w:tcW w:w="1701" w:type="dxa"/>
            <w:tcBorders>
              <w:top w:val="nil"/>
              <w:left w:val="single" w:color="auto" w:sz="4" w:space="0"/>
              <w:bottom w:val="nil"/>
              <w:right w:val="nil"/>
            </w:tcBorders>
            <w:vAlign w:val="center"/>
          </w:tcPr>
          <w:p w14:paraId="0ADD4D52">
            <w:pPr>
              <w:wordWrap w:val="0"/>
              <w:ind w:left="199" w:hanging="199" w:hangingChars="95"/>
              <w:jc w:val="center"/>
            </w:pPr>
          </w:p>
        </w:tc>
        <w:tc>
          <w:tcPr>
            <w:tcW w:w="1191" w:type="dxa"/>
            <w:tcBorders>
              <w:left w:val="nil"/>
            </w:tcBorders>
            <w:vAlign w:val="center"/>
          </w:tcPr>
          <w:p w14:paraId="66EBF656">
            <w:pPr>
              <w:wordWrap w:val="0"/>
              <w:jc w:val="center"/>
            </w:pPr>
          </w:p>
        </w:tc>
        <w:tc>
          <w:tcPr>
            <w:tcW w:w="1365" w:type="dxa"/>
            <w:tcBorders>
              <w:top w:val="single" w:color="auto" w:sz="6" w:space="0"/>
              <w:left w:val="single" w:color="auto" w:sz="6" w:space="0"/>
              <w:bottom w:val="single" w:color="auto" w:sz="6" w:space="0"/>
              <w:right w:val="single" w:color="auto" w:sz="6" w:space="0"/>
            </w:tcBorders>
            <w:vAlign w:val="center"/>
          </w:tcPr>
          <w:p w14:paraId="05564040">
            <w:pPr>
              <w:wordWrap w:val="0"/>
              <w:jc w:val="center"/>
            </w:pPr>
            <w:r>
              <w:t>申报编号</w:t>
            </w:r>
          </w:p>
        </w:tc>
        <w:tc>
          <w:tcPr>
            <w:tcW w:w="1260" w:type="dxa"/>
            <w:tcBorders>
              <w:top w:val="single" w:color="auto" w:sz="6" w:space="0"/>
              <w:left w:val="single" w:color="auto" w:sz="6" w:space="0"/>
              <w:bottom w:val="single" w:color="auto" w:sz="6" w:space="0"/>
              <w:right w:val="single" w:color="auto" w:sz="6" w:space="0"/>
            </w:tcBorders>
            <w:vAlign w:val="center"/>
          </w:tcPr>
          <w:p w14:paraId="58EB8627">
            <w:pPr>
              <w:wordWrap w:val="0"/>
              <w:jc w:val="center"/>
            </w:pPr>
            <w:r>
              <w:t>资助编号</w:t>
            </w:r>
          </w:p>
        </w:tc>
      </w:tr>
      <w:tr w14:paraId="09C131BD">
        <w:tblPrEx>
          <w:tblCellMar>
            <w:top w:w="0" w:type="dxa"/>
            <w:left w:w="28" w:type="dxa"/>
            <w:bottom w:w="0" w:type="dxa"/>
            <w:right w:w="28" w:type="dxa"/>
          </w:tblCellMar>
        </w:tblPrEx>
        <w:tc>
          <w:tcPr>
            <w:tcW w:w="2100" w:type="dxa"/>
            <w:tcBorders>
              <w:top w:val="single" w:color="auto" w:sz="6" w:space="0"/>
              <w:left w:val="single" w:color="auto" w:sz="6" w:space="0"/>
              <w:bottom w:val="single" w:color="auto" w:sz="6" w:space="0"/>
              <w:right w:val="single" w:color="auto" w:sz="6" w:space="0"/>
            </w:tcBorders>
            <w:vAlign w:val="center"/>
          </w:tcPr>
          <w:p w14:paraId="682E8F95">
            <w:pPr>
              <w:wordWrap w:val="0"/>
              <w:jc w:val="center"/>
            </w:pPr>
            <w:r>
              <w:rPr>
                <w:rFonts w:hint="eastAsia"/>
              </w:rPr>
              <w:t>信息科学</w:t>
            </w:r>
          </w:p>
        </w:tc>
        <w:tc>
          <w:tcPr>
            <w:tcW w:w="1728" w:type="dxa"/>
            <w:tcBorders>
              <w:top w:val="single" w:color="auto" w:sz="6" w:space="0"/>
              <w:left w:val="single" w:color="auto" w:sz="6" w:space="0"/>
              <w:bottom w:val="single" w:color="auto" w:sz="6" w:space="0"/>
              <w:right w:val="single" w:color="auto" w:sz="4" w:space="0"/>
            </w:tcBorders>
            <w:vAlign w:val="center"/>
          </w:tcPr>
          <w:p w14:paraId="5D4724DD">
            <w:pPr>
              <w:wordWrap w:val="0"/>
              <w:jc w:val="center"/>
            </w:pPr>
            <w:r>
              <w:rPr>
                <w:rFonts w:hint="eastAsia"/>
              </w:rPr>
              <w:t>人工智能</w:t>
            </w:r>
          </w:p>
        </w:tc>
        <w:tc>
          <w:tcPr>
            <w:tcW w:w="1701" w:type="dxa"/>
            <w:tcBorders>
              <w:top w:val="nil"/>
              <w:left w:val="single" w:color="auto" w:sz="4" w:space="0"/>
              <w:bottom w:val="nil"/>
              <w:right w:val="nil"/>
            </w:tcBorders>
            <w:vAlign w:val="center"/>
          </w:tcPr>
          <w:p w14:paraId="0D5E150B">
            <w:pPr>
              <w:wordWrap w:val="0"/>
              <w:jc w:val="center"/>
            </w:pPr>
          </w:p>
        </w:tc>
        <w:tc>
          <w:tcPr>
            <w:tcW w:w="1191" w:type="dxa"/>
            <w:tcBorders>
              <w:left w:val="nil"/>
            </w:tcBorders>
            <w:vAlign w:val="center"/>
          </w:tcPr>
          <w:p w14:paraId="6D5A09E8">
            <w:pPr>
              <w:wordWrap w:val="0"/>
              <w:jc w:val="center"/>
            </w:pPr>
          </w:p>
        </w:tc>
        <w:tc>
          <w:tcPr>
            <w:tcW w:w="1365" w:type="dxa"/>
            <w:tcBorders>
              <w:top w:val="single" w:color="auto" w:sz="6" w:space="0"/>
              <w:left w:val="single" w:color="auto" w:sz="6" w:space="0"/>
              <w:bottom w:val="single" w:color="auto" w:sz="6" w:space="0"/>
              <w:right w:val="single" w:color="auto" w:sz="6" w:space="0"/>
            </w:tcBorders>
            <w:vAlign w:val="center"/>
          </w:tcPr>
          <w:p w14:paraId="323AEAFD">
            <w:pPr>
              <w:wordWrap w:val="0"/>
              <w:jc w:val="center"/>
            </w:pPr>
            <w:r>
              <w:rPr>
                <w:rFonts w:hint="eastAsia"/>
                <w:color w:val="FF0000"/>
              </w:rPr>
              <w:t>（无需填写）</w:t>
            </w:r>
          </w:p>
        </w:tc>
        <w:tc>
          <w:tcPr>
            <w:tcW w:w="1260" w:type="dxa"/>
            <w:tcBorders>
              <w:top w:val="single" w:color="auto" w:sz="6" w:space="0"/>
              <w:left w:val="single" w:color="auto" w:sz="6" w:space="0"/>
              <w:bottom w:val="single" w:color="auto" w:sz="6" w:space="0"/>
              <w:right w:val="single" w:color="auto" w:sz="6" w:space="0"/>
            </w:tcBorders>
            <w:vAlign w:val="center"/>
          </w:tcPr>
          <w:p w14:paraId="1955C05B">
            <w:pPr>
              <w:wordWrap w:val="0"/>
              <w:jc w:val="center"/>
            </w:pPr>
            <w:r>
              <w:rPr>
                <w:rFonts w:hint="eastAsia"/>
                <w:color w:val="FF0000"/>
              </w:rPr>
              <w:t>（无需填写）</w:t>
            </w:r>
          </w:p>
        </w:tc>
      </w:tr>
    </w:tbl>
    <w:p w14:paraId="539DC87F">
      <w:pPr>
        <w:jc w:val="right"/>
      </w:pPr>
    </w:p>
    <w:p w14:paraId="672189C0">
      <w:pPr>
        <w:wordWrap w:val="0"/>
      </w:pPr>
    </w:p>
    <w:p w14:paraId="0CAE6DE2">
      <w:pPr>
        <w:wordWrap w:val="0"/>
        <w:jc w:val="center"/>
        <w:rPr>
          <w:rFonts w:eastAsia="黑体"/>
          <w:b/>
          <w:sz w:val="48"/>
        </w:rPr>
      </w:pPr>
      <w:r>
        <w:rPr>
          <w:rFonts w:eastAsia="黑体"/>
          <w:b/>
          <w:spacing w:val="-20"/>
          <w:sz w:val="48"/>
        </w:rPr>
        <w:t>北京市自然科学基金</w:t>
      </w:r>
      <w:r>
        <w:rPr>
          <w:rFonts w:eastAsia="黑体"/>
          <w:b/>
          <w:sz w:val="48"/>
        </w:rPr>
        <w:t>申请书</w:t>
      </w:r>
    </w:p>
    <w:p w14:paraId="1ABA367E">
      <w:pPr>
        <w:wordWrap w:val="0"/>
        <w:jc w:val="center"/>
        <w:rPr>
          <w:rFonts w:eastAsia="黑体"/>
          <w:b/>
          <w:spacing w:val="-20"/>
          <w:sz w:val="48"/>
        </w:rPr>
      </w:pPr>
      <w:r>
        <w:rPr>
          <w:rFonts w:hint="eastAsia" w:eastAsia="黑体"/>
          <w:b/>
          <w:spacing w:val="-20"/>
          <w:sz w:val="48"/>
        </w:rPr>
        <w:t>（本科生“启研”计划）</w:t>
      </w:r>
    </w:p>
    <w:p w14:paraId="74C94CDF">
      <w:pPr>
        <w:wordWrap w:val="0"/>
      </w:pPr>
    </w:p>
    <w:p w14:paraId="699703B1">
      <w:pPr>
        <w:wordWrap w:val="0"/>
      </w:pPr>
    </w:p>
    <w:tbl>
      <w:tblPr>
        <w:tblStyle w:val="13"/>
        <w:tblW w:w="9356" w:type="dxa"/>
        <w:tblInd w:w="108" w:type="dxa"/>
        <w:tblLayout w:type="fixed"/>
        <w:tblCellMar>
          <w:top w:w="0" w:type="dxa"/>
          <w:left w:w="108" w:type="dxa"/>
          <w:bottom w:w="0" w:type="dxa"/>
          <w:right w:w="108" w:type="dxa"/>
        </w:tblCellMar>
      </w:tblPr>
      <w:tblGrid>
        <w:gridCol w:w="1626"/>
        <w:gridCol w:w="7730"/>
      </w:tblGrid>
      <w:tr w14:paraId="4F159E25">
        <w:tblPrEx>
          <w:tblCellMar>
            <w:top w:w="0" w:type="dxa"/>
            <w:left w:w="108" w:type="dxa"/>
            <w:bottom w:w="0" w:type="dxa"/>
            <w:right w:w="108" w:type="dxa"/>
          </w:tblCellMar>
        </w:tblPrEx>
        <w:trPr>
          <w:trHeight w:val="695" w:hRule="atLeast"/>
        </w:trPr>
        <w:tc>
          <w:tcPr>
            <w:tcW w:w="1626" w:type="dxa"/>
            <w:vAlign w:val="center"/>
          </w:tcPr>
          <w:p w14:paraId="617580BB">
            <w:pPr>
              <w:wordWrap w:val="0"/>
              <w:rPr>
                <w:rFonts w:eastAsia="黑体"/>
              </w:rPr>
            </w:pPr>
            <w:r>
              <w:rPr>
                <w:rFonts w:eastAsia="黑体"/>
                <w:sz w:val="28"/>
              </w:rPr>
              <w:t>项目名称：</w:t>
            </w:r>
          </w:p>
        </w:tc>
        <w:tc>
          <w:tcPr>
            <w:tcW w:w="7730" w:type="dxa"/>
            <w:vAlign w:val="center"/>
          </w:tcPr>
          <w:p w14:paraId="73D86132">
            <w:pPr>
              <w:wordWrap w:val="0"/>
              <w:rPr>
                <w:sz w:val="28"/>
              </w:rPr>
            </w:pPr>
            <w:r>
              <w:rPr>
                <w:rFonts w:hint="eastAsia"/>
                <w:sz w:val="28"/>
              </w:rPr>
              <w:t>基于扩展式博弈建模的多智能体协同模拟法庭系统</w:t>
            </w:r>
          </w:p>
        </w:tc>
      </w:tr>
      <w:tr w14:paraId="1A798F40">
        <w:tblPrEx>
          <w:tblCellMar>
            <w:top w:w="0" w:type="dxa"/>
            <w:left w:w="108" w:type="dxa"/>
            <w:bottom w:w="0" w:type="dxa"/>
            <w:right w:w="108" w:type="dxa"/>
          </w:tblCellMar>
        </w:tblPrEx>
        <w:trPr>
          <w:trHeight w:val="695" w:hRule="atLeast"/>
        </w:trPr>
        <w:tc>
          <w:tcPr>
            <w:tcW w:w="1626" w:type="dxa"/>
            <w:vAlign w:val="center"/>
          </w:tcPr>
          <w:p w14:paraId="0B60C956">
            <w:pPr>
              <w:wordWrap w:val="0"/>
              <w:rPr>
                <w:rFonts w:eastAsia="黑体"/>
              </w:rPr>
            </w:pPr>
            <w:r>
              <w:rPr>
                <w:rFonts w:eastAsia="黑体"/>
                <w:sz w:val="28"/>
              </w:rPr>
              <w:t>申 请 者：</w:t>
            </w:r>
          </w:p>
        </w:tc>
        <w:tc>
          <w:tcPr>
            <w:tcW w:w="7730" w:type="dxa"/>
            <w:vAlign w:val="center"/>
          </w:tcPr>
          <w:p w14:paraId="1B189E31">
            <w:pPr>
              <w:wordWrap w:val="0"/>
              <w:rPr>
                <w:sz w:val="28"/>
              </w:rPr>
            </w:pPr>
            <w:r>
              <w:rPr>
                <w:rFonts w:hint="eastAsia"/>
                <w:sz w:val="28"/>
              </w:rPr>
              <w:t>余果</w:t>
            </w:r>
          </w:p>
        </w:tc>
      </w:tr>
      <w:tr w14:paraId="13CE3B19">
        <w:tblPrEx>
          <w:tblCellMar>
            <w:top w:w="0" w:type="dxa"/>
            <w:left w:w="108" w:type="dxa"/>
            <w:bottom w:w="0" w:type="dxa"/>
            <w:right w:w="108" w:type="dxa"/>
          </w:tblCellMar>
        </w:tblPrEx>
        <w:trPr>
          <w:trHeight w:val="695" w:hRule="atLeast"/>
        </w:trPr>
        <w:tc>
          <w:tcPr>
            <w:tcW w:w="1626" w:type="dxa"/>
            <w:vAlign w:val="center"/>
          </w:tcPr>
          <w:p w14:paraId="44794EBC">
            <w:pPr>
              <w:wordWrap w:val="0"/>
              <w:rPr>
                <w:rFonts w:eastAsia="黑体"/>
                <w:sz w:val="28"/>
              </w:rPr>
            </w:pPr>
            <w:r>
              <w:rPr>
                <w:rFonts w:hint="eastAsia" w:eastAsia="黑体"/>
                <w:sz w:val="28"/>
              </w:rPr>
              <w:t>入学年份</w:t>
            </w:r>
            <w:r>
              <w:rPr>
                <w:rFonts w:eastAsia="黑体"/>
                <w:sz w:val="28"/>
              </w:rPr>
              <w:t>：</w:t>
            </w:r>
          </w:p>
        </w:tc>
        <w:tc>
          <w:tcPr>
            <w:tcW w:w="7730" w:type="dxa"/>
            <w:vAlign w:val="center"/>
          </w:tcPr>
          <w:p w14:paraId="7CCE5CE2">
            <w:pPr>
              <w:wordWrap w:val="0"/>
              <w:rPr>
                <w:sz w:val="28"/>
              </w:rPr>
            </w:pPr>
            <w:r>
              <w:rPr>
                <w:rFonts w:hint="eastAsia"/>
                <w:sz w:val="28"/>
              </w:rPr>
              <w:t>2023年</w:t>
            </w:r>
          </w:p>
        </w:tc>
      </w:tr>
      <w:tr w14:paraId="2C0805F7">
        <w:tblPrEx>
          <w:tblCellMar>
            <w:top w:w="0" w:type="dxa"/>
            <w:left w:w="108" w:type="dxa"/>
            <w:bottom w:w="0" w:type="dxa"/>
            <w:right w:w="108" w:type="dxa"/>
          </w:tblCellMar>
        </w:tblPrEx>
        <w:trPr>
          <w:trHeight w:val="695" w:hRule="atLeast"/>
        </w:trPr>
        <w:tc>
          <w:tcPr>
            <w:tcW w:w="1626" w:type="dxa"/>
            <w:vAlign w:val="center"/>
          </w:tcPr>
          <w:p w14:paraId="69BDDE42">
            <w:pPr>
              <w:wordWrap w:val="0"/>
              <w:rPr>
                <w:rFonts w:eastAsia="黑体"/>
                <w:sz w:val="28"/>
              </w:rPr>
            </w:pPr>
            <w:r>
              <w:rPr>
                <w:rFonts w:eastAsia="黑体"/>
                <w:sz w:val="28"/>
              </w:rPr>
              <w:t>手    机：</w:t>
            </w:r>
          </w:p>
        </w:tc>
        <w:tc>
          <w:tcPr>
            <w:tcW w:w="7730" w:type="dxa"/>
            <w:vAlign w:val="center"/>
          </w:tcPr>
          <w:p w14:paraId="34048250">
            <w:pPr>
              <w:wordWrap w:val="0"/>
              <w:rPr>
                <w:sz w:val="28"/>
              </w:rPr>
            </w:pPr>
            <w:r>
              <w:rPr>
                <w:rFonts w:hint="eastAsia"/>
                <w:sz w:val="28"/>
              </w:rPr>
              <w:t>19805560176</w:t>
            </w:r>
          </w:p>
        </w:tc>
      </w:tr>
      <w:tr w14:paraId="60694A82">
        <w:tblPrEx>
          <w:tblCellMar>
            <w:top w:w="0" w:type="dxa"/>
            <w:left w:w="108" w:type="dxa"/>
            <w:bottom w:w="0" w:type="dxa"/>
            <w:right w:w="108" w:type="dxa"/>
          </w:tblCellMar>
        </w:tblPrEx>
        <w:trPr>
          <w:trHeight w:val="695" w:hRule="atLeast"/>
        </w:trPr>
        <w:tc>
          <w:tcPr>
            <w:tcW w:w="1626" w:type="dxa"/>
            <w:vAlign w:val="center"/>
          </w:tcPr>
          <w:p w14:paraId="4AD99279">
            <w:pPr>
              <w:wordWrap w:val="0"/>
              <w:rPr>
                <w:rFonts w:eastAsia="黑体"/>
              </w:rPr>
            </w:pPr>
            <w:r>
              <w:rPr>
                <w:rFonts w:eastAsia="黑体"/>
                <w:sz w:val="28"/>
              </w:rPr>
              <w:t>电子邮箱：</w:t>
            </w:r>
          </w:p>
        </w:tc>
        <w:tc>
          <w:tcPr>
            <w:tcW w:w="7730" w:type="dxa"/>
            <w:vAlign w:val="center"/>
          </w:tcPr>
          <w:p w14:paraId="17D4F936">
            <w:pPr>
              <w:wordWrap w:val="0"/>
              <w:rPr>
                <w:sz w:val="28"/>
              </w:rPr>
            </w:pPr>
            <w:r>
              <w:rPr>
                <w:rFonts w:hint="eastAsia"/>
                <w:sz w:val="28"/>
              </w:rPr>
              <w:t>19805560176@163.com</w:t>
            </w:r>
          </w:p>
        </w:tc>
      </w:tr>
      <w:tr w14:paraId="3085C841">
        <w:tblPrEx>
          <w:tblCellMar>
            <w:top w:w="0" w:type="dxa"/>
            <w:left w:w="108" w:type="dxa"/>
            <w:bottom w:w="0" w:type="dxa"/>
            <w:right w:w="108" w:type="dxa"/>
          </w:tblCellMar>
        </w:tblPrEx>
        <w:trPr>
          <w:trHeight w:val="695" w:hRule="atLeast"/>
        </w:trPr>
        <w:tc>
          <w:tcPr>
            <w:tcW w:w="1626" w:type="dxa"/>
            <w:vAlign w:val="center"/>
          </w:tcPr>
          <w:p w14:paraId="425C386A">
            <w:pPr>
              <w:wordWrap w:val="0"/>
              <w:rPr>
                <w:rFonts w:eastAsia="黑体"/>
              </w:rPr>
            </w:pPr>
            <w:r>
              <w:rPr>
                <w:rFonts w:eastAsia="黑体"/>
                <w:sz w:val="28"/>
              </w:rPr>
              <w:t>依托单位：</w:t>
            </w:r>
          </w:p>
        </w:tc>
        <w:tc>
          <w:tcPr>
            <w:tcW w:w="7730" w:type="dxa"/>
            <w:vAlign w:val="center"/>
          </w:tcPr>
          <w:p w14:paraId="66ED1685">
            <w:pPr>
              <w:wordWrap w:val="0"/>
              <w:rPr>
                <w:sz w:val="28"/>
              </w:rPr>
            </w:pPr>
            <w:r>
              <w:rPr>
                <w:rFonts w:hint="eastAsia"/>
                <w:sz w:val="28"/>
              </w:rPr>
              <w:t>北京理工大学</w:t>
            </w:r>
          </w:p>
        </w:tc>
      </w:tr>
      <w:tr w14:paraId="5AEA200F">
        <w:tblPrEx>
          <w:tblCellMar>
            <w:top w:w="0" w:type="dxa"/>
            <w:left w:w="108" w:type="dxa"/>
            <w:bottom w:w="0" w:type="dxa"/>
            <w:right w:w="108" w:type="dxa"/>
          </w:tblCellMar>
        </w:tblPrEx>
        <w:trPr>
          <w:trHeight w:val="695" w:hRule="atLeast"/>
        </w:trPr>
        <w:tc>
          <w:tcPr>
            <w:tcW w:w="1626" w:type="dxa"/>
            <w:vAlign w:val="center"/>
          </w:tcPr>
          <w:p w14:paraId="17603A96">
            <w:pPr>
              <w:wordWrap w:val="0"/>
              <w:rPr>
                <w:rFonts w:eastAsia="黑体"/>
              </w:rPr>
            </w:pPr>
            <w:r>
              <w:rPr>
                <w:rFonts w:eastAsia="黑体"/>
                <w:sz w:val="28"/>
              </w:rPr>
              <w:t>通信地址：</w:t>
            </w:r>
          </w:p>
        </w:tc>
        <w:tc>
          <w:tcPr>
            <w:tcW w:w="7730" w:type="dxa"/>
            <w:vAlign w:val="center"/>
          </w:tcPr>
          <w:p w14:paraId="61B43F38">
            <w:pPr>
              <w:wordWrap w:val="0"/>
              <w:rPr>
                <w:sz w:val="28"/>
              </w:rPr>
            </w:pPr>
            <w:r>
              <w:rPr>
                <w:rFonts w:hint="eastAsia"/>
                <w:sz w:val="28"/>
              </w:rPr>
              <w:t>北京市房山区北京理工大学良乡校区甘棠园</w:t>
            </w:r>
          </w:p>
        </w:tc>
      </w:tr>
      <w:tr w14:paraId="62F0E67A">
        <w:tblPrEx>
          <w:tblCellMar>
            <w:top w:w="0" w:type="dxa"/>
            <w:left w:w="108" w:type="dxa"/>
            <w:bottom w:w="0" w:type="dxa"/>
            <w:right w:w="108" w:type="dxa"/>
          </w:tblCellMar>
        </w:tblPrEx>
        <w:trPr>
          <w:trHeight w:val="695" w:hRule="atLeast"/>
        </w:trPr>
        <w:tc>
          <w:tcPr>
            <w:tcW w:w="1626" w:type="dxa"/>
            <w:vAlign w:val="center"/>
          </w:tcPr>
          <w:p w14:paraId="62DCBBAF">
            <w:pPr>
              <w:wordWrap w:val="0"/>
              <w:rPr>
                <w:rFonts w:eastAsia="黑体"/>
              </w:rPr>
            </w:pPr>
            <w:r>
              <w:rPr>
                <w:rFonts w:eastAsia="黑体"/>
                <w:sz w:val="28"/>
              </w:rPr>
              <w:t>填写日期：</w:t>
            </w:r>
          </w:p>
        </w:tc>
        <w:tc>
          <w:tcPr>
            <w:tcW w:w="7730" w:type="dxa"/>
            <w:vAlign w:val="center"/>
          </w:tcPr>
          <w:p w14:paraId="4919196A">
            <w:pPr>
              <w:wordWrap w:val="0"/>
              <w:rPr>
                <w:sz w:val="28"/>
              </w:rPr>
            </w:pPr>
            <w:r>
              <w:rPr>
                <w:rFonts w:hint="eastAsia"/>
                <w:sz w:val="28"/>
              </w:rPr>
              <w:t>2026年4月14日</w:t>
            </w:r>
          </w:p>
        </w:tc>
      </w:tr>
    </w:tbl>
    <w:p w14:paraId="4EC6B089">
      <w:pPr>
        <w:wordWrap w:val="0"/>
        <w:rPr>
          <w:rFonts w:eastAsia="隶书_GB2312"/>
          <w:b/>
          <w:sz w:val="32"/>
        </w:rPr>
      </w:pPr>
    </w:p>
    <w:p w14:paraId="376F45EC">
      <w:pPr>
        <w:wordWrap w:val="0"/>
        <w:rPr>
          <w:rFonts w:eastAsia="隶书_GB2312"/>
          <w:b/>
          <w:sz w:val="32"/>
        </w:rPr>
      </w:pPr>
    </w:p>
    <w:p w14:paraId="42DA3385">
      <w:pPr>
        <w:wordWrap w:val="0"/>
        <w:rPr>
          <w:rFonts w:eastAsia="隶书_GB2312"/>
          <w:b/>
          <w:sz w:val="32"/>
        </w:rPr>
      </w:pPr>
    </w:p>
    <w:p w14:paraId="47F7456A">
      <w:pPr>
        <w:wordWrap w:val="0"/>
        <w:rPr>
          <w:rFonts w:eastAsia="隶书_GB2312"/>
          <w:b/>
          <w:sz w:val="32"/>
        </w:rPr>
      </w:pPr>
    </w:p>
    <w:p w14:paraId="742ED403">
      <w:pPr>
        <w:tabs>
          <w:tab w:val="left" w:pos="525"/>
        </w:tabs>
        <w:wordWrap w:val="0"/>
        <w:ind w:hanging="360"/>
        <w:jc w:val="center"/>
        <w:rPr>
          <w:rFonts w:eastAsia="仿宋_GB2312"/>
          <w:b/>
          <w:sz w:val="32"/>
        </w:rPr>
      </w:pPr>
      <w:r>
        <w:rPr>
          <w:rFonts w:eastAsia="仿宋_GB2312"/>
          <w:b/>
          <w:sz w:val="32"/>
        </w:rPr>
        <w:t>北京市自然科学基金委员会</w:t>
      </w:r>
      <w:r>
        <w:rPr>
          <w:rFonts w:hint="eastAsia" w:eastAsia="仿宋_GB2312"/>
          <w:b/>
          <w:sz w:val="32"/>
        </w:rPr>
        <w:t>办公室制</w:t>
      </w:r>
    </w:p>
    <w:p w14:paraId="4388757E">
      <w:pPr>
        <w:tabs>
          <w:tab w:val="left" w:pos="525"/>
        </w:tabs>
        <w:ind w:hanging="360"/>
        <w:jc w:val="center"/>
        <w:rPr>
          <w:rFonts w:eastAsia="仿宋_GB2312"/>
          <w:b/>
          <w:sz w:val="32"/>
        </w:rPr>
      </w:pPr>
      <w:r>
        <w:rPr>
          <w:rFonts w:hint="eastAsia" w:eastAsia="仿宋_GB2312"/>
          <w:b/>
          <w:sz w:val="32"/>
        </w:rPr>
        <w:t>二</w:t>
      </w:r>
      <w:r>
        <w:rPr>
          <w:rFonts w:hint="eastAsia" w:ascii="仿宋_GB2312" w:eastAsia="仿宋_GB2312"/>
          <w:b/>
          <w:sz w:val="32"/>
        </w:rPr>
        <w:t>〇</w:t>
      </w:r>
      <w:r>
        <w:rPr>
          <w:rFonts w:hint="eastAsia" w:eastAsia="仿宋_GB2312"/>
          <w:b/>
          <w:sz w:val="32"/>
        </w:rPr>
        <w:t>二</w:t>
      </w:r>
      <w:r>
        <w:rPr>
          <w:rFonts w:hint="eastAsia" w:ascii="仿宋_GB2312" w:eastAsia="仿宋_GB2312"/>
          <w:b/>
          <w:sz w:val="32"/>
        </w:rPr>
        <w:t>六</w:t>
      </w:r>
      <w:r>
        <w:rPr>
          <w:rFonts w:hint="eastAsia" w:eastAsia="仿宋_GB2312"/>
          <w:b/>
          <w:sz w:val="32"/>
        </w:rPr>
        <w:t>年</w:t>
      </w:r>
    </w:p>
    <w:p w14:paraId="65104D18">
      <w:pPr>
        <w:suppressAutoHyphens/>
        <w:wordWrap w:val="0"/>
        <w:adjustRightInd/>
        <w:spacing w:line="240" w:lineRule="auto"/>
        <w:jc w:val="center"/>
        <w:textAlignment w:val="auto"/>
        <w:rPr>
          <w:b/>
          <w:bCs/>
          <w:kern w:val="1"/>
          <w:sz w:val="28"/>
          <w:szCs w:val="28"/>
        </w:rPr>
      </w:pPr>
      <w:r>
        <w:rPr>
          <w:sz w:val="28"/>
        </w:rPr>
        <w:br w:type="page"/>
      </w:r>
      <w:r>
        <w:rPr>
          <w:b/>
          <w:bCs/>
          <w:kern w:val="1"/>
          <w:sz w:val="28"/>
          <w:szCs w:val="28"/>
          <w:lang w:eastAsia="ar-SA"/>
        </w:rPr>
        <w:t>填表说明</w:t>
      </w:r>
    </w:p>
    <w:p w14:paraId="3D6A8841">
      <w:pPr>
        <w:suppressAutoHyphens/>
        <w:wordWrap w:val="0"/>
        <w:adjustRightInd/>
        <w:spacing w:line="360" w:lineRule="auto"/>
        <w:jc w:val="center"/>
        <w:textAlignment w:val="auto"/>
        <w:rPr>
          <w:rFonts w:ascii="仿宋_GB2312" w:eastAsia="仿宋_GB2312"/>
          <w:b/>
          <w:bCs/>
          <w:kern w:val="1"/>
          <w:sz w:val="28"/>
          <w:szCs w:val="28"/>
        </w:rPr>
      </w:pPr>
    </w:p>
    <w:p w14:paraId="3AFA0D17">
      <w:pPr>
        <w:pStyle w:val="20"/>
        <w:wordWrap w:val="0"/>
        <w:spacing w:before="0"/>
        <w:ind w:left="425" w:hanging="424" w:hangingChars="177"/>
        <w:rPr>
          <w:rFonts w:ascii="Times New Roman" w:hAnsi="Times New Roman" w:eastAsia="仿宋_GB2312"/>
          <w:sz w:val="24"/>
          <w:szCs w:val="24"/>
        </w:rPr>
      </w:pPr>
      <w:r>
        <w:rPr>
          <w:rFonts w:ascii="Times New Roman" w:hAnsi="Times New Roman" w:eastAsia="仿宋_GB2312"/>
          <w:sz w:val="24"/>
          <w:szCs w:val="24"/>
        </w:rPr>
        <w:t>一、填报</w:t>
      </w:r>
      <w:r>
        <w:rPr>
          <w:rFonts w:hint="eastAsia" w:ascii="Times New Roman" w:hAnsi="Times New Roman" w:eastAsia="仿宋_GB2312"/>
          <w:sz w:val="24"/>
          <w:szCs w:val="24"/>
        </w:rPr>
        <w:t>申请</w:t>
      </w:r>
      <w:r>
        <w:rPr>
          <w:rFonts w:ascii="Times New Roman" w:hAnsi="Times New Roman" w:eastAsia="仿宋_GB2312"/>
          <w:sz w:val="24"/>
          <w:szCs w:val="24"/>
        </w:rPr>
        <w:t>书前，请查阅市自然科学基金的有关</w:t>
      </w:r>
      <w:r>
        <w:rPr>
          <w:rFonts w:hint="eastAsia" w:ascii="Times New Roman" w:hAnsi="Times New Roman" w:eastAsia="仿宋_GB2312"/>
          <w:sz w:val="24"/>
          <w:szCs w:val="24"/>
        </w:rPr>
        <w:t>管理</w:t>
      </w:r>
      <w:r>
        <w:rPr>
          <w:rFonts w:ascii="Times New Roman" w:hAnsi="Times New Roman" w:eastAsia="仿宋_GB2312"/>
          <w:sz w:val="24"/>
          <w:szCs w:val="24"/>
        </w:rPr>
        <w:t>规定</w:t>
      </w:r>
      <w:r>
        <w:rPr>
          <w:rFonts w:hint="eastAsia" w:ascii="Times New Roman" w:hAnsi="Times New Roman" w:eastAsia="仿宋_GB2312"/>
          <w:sz w:val="24"/>
          <w:szCs w:val="24"/>
        </w:rPr>
        <w:t>。请认真填写</w:t>
      </w:r>
      <w:r>
        <w:rPr>
          <w:rFonts w:hint="eastAsia" w:ascii="Times New Roman" w:hAnsi="Times New Roman" w:eastAsia="仿宋_GB2312"/>
          <w:sz w:val="24"/>
          <w:szCs w:val="24"/>
          <w:lang w:eastAsia="zh-CN"/>
        </w:rPr>
        <w:t>申请书</w:t>
      </w:r>
      <w:r>
        <w:rPr>
          <w:rFonts w:hint="eastAsia" w:ascii="Times New Roman" w:hAnsi="Times New Roman" w:eastAsia="仿宋_GB2312"/>
          <w:sz w:val="24"/>
          <w:szCs w:val="24"/>
        </w:rPr>
        <w:t>各项内容，填写时须注意科学严谨、</w:t>
      </w:r>
      <w:r>
        <w:rPr>
          <w:rFonts w:ascii="Times New Roman" w:hAnsi="Times New Roman" w:eastAsia="仿宋_GB2312"/>
          <w:sz w:val="24"/>
          <w:szCs w:val="24"/>
        </w:rPr>
        <w:t>实事求是</w:t>
      </w:r>
      <w:r>
        <w:rPr>
          <w:rFonts w:hint="eastAsia" w:ascii="Times New Roman" w:hAnsi="Times New Roman" w:eastAsia="仿宋_GB2312"/>
          <w:sz w:val="24"/>
          <w:szCs w:val="24"/>
        </w:rPr>
        <w:t>、</w:t>
      </w:r>
      <w:r>
        <w:rPr>
          <w:rFonts w:ascii="Times New Roman" w:hAnsi="Times New Roman" w:eastAsia="仿宋_GB2312"/>
          <w:sz w:val="24"/>
          <w:szCs w:val="24"/>
        </w:rPr>
        <w:t>表达明确。外来语应用中文和英文同时表达，第一次出现的缩写词，须注出全称。</w:t>
      </w:r>
    </w:p>
    <w:p w14:paraId="25D4FF47">
      <w:pPr>
        <w:pStyle w:val="20"/>
        <w:wordWrap w:val="0"/>
        <w:spacing w:before="0"/>
        <w:ind w:left="425" w:hanging="424" w:hangingChars="177"/>
        <w:rPr>
          <w:rFonts w:ascii="Times New Roman" w:hAnsi="Times New Roman" w:eastAsia="仿宋_GB2312"/>
          <w:sz w:val="24"/>
          <w:szCs w:val="24"/>
        </w:rPr>
      </w:pPr>
      <w:r>
        <w:rPr>
          <w:rFonts w:ascii="Times New Roman" w:hAnsi="Times New Roman" w:eastAsia="仿宋_GB2312"/>
          <w:sz w:val="24"/>
          <w:szCs w:val="24"/>
        </w:rPr>
        <w:t>二、申请书为A4纸</w:t>
      </w:r>
      <w:r>
        <w:rPr>
          <w:rFonts w:hint="eastAsia" w:ascii="Times New Roman" w:hAnsi="Times New Roman" w:eastAsia="仿宋_GB2312"/>
          <w:sz w:val="24"/>
          <w:szCs w:val="24"/>
          <w:lang w:eastAsia="zh-CN"/>
        </w:rPr>
        <w:t>版面</w:t>
      </w:r>
      <w:r>
        <w:rPr>
          <w:rFonts w:ascii="Times New Roman" w:hAnsi="Times New Roman" w:eastAsia="仿宋_GB2312"/>
          <w:sz w:val="24"/>
          <w:szCs w:val="24"/>
        </w:rPr>
        <w:t>，申请书正文要求宋体5号字</w:t>
      </w:r>
      <w:r>
        <w:rPr>
          <w:rFonts w:ascii="Times New Roman" w:hAnsi="Times New Roman" w:eastAsia="仿宋_GB2312"/>
          <w:sz w:val="24"/>
          <w:szCs w:val="24"/>
          <w:lang w:eastAsia="zh-CN"/>
        </w:rPr>
        <w:t>，双面打印</w:t>
      </w:r>
      <w:r>
        <w:rPr>
          <w:rFonts w:ascii="Times New Roman" w:hAnsi="Times New Roman" w:eastAsia="仿宋_GB2312"/>
          <w:sz w:val="24"/>
          <w:szCs w:val="24"/>
        </w:rPr>
        <w:t>，于左侧装订成册</w:t>
      </w:r>
      <w:r>
        <w:rPr>
          <w:rFonts w:ascii="Times New Roman" w:hAnsi="Times New Roman" w:eastAsia="仿宋_GB2312"/>
          <w:sz w:val="24"/>
          <w:szCs w:val="24"/>
          <w:lang w:eastAsia="zh-CN"/>
        </w:rPr>
        <w:t>，</w:t>
      </w:r>
      <w:r>
        <w:rPr>
          <w:rFonts w:ascii="Times New Roman" w:hAnsi="Times New Roman" w:eastAsia="仿宋_GB2312"/>
          <w:sz w:val="24"/>
          <w:szCs w:val="24"/>
        </w:rPr>
        <w:t>一式</w:t>
      </w:r>
      <w:r>
        <w:rPr>
          <w:rFonts w:hint="eastAsia" w:ascii="Times New Roman" w:hAnsi="Times New Roman" w:eastAsia="仿宋_GB2312"/>
          <w:sz w:val="24"/>
          <w:szCs w:val="24"/>
          <w:lang w:eastAsia="zh-CN"/>
        </w:rPr>
        <w:t>一</w:t>
      </w:r>
      <w:r>
        <w:rPr>
          <w:rFonts w:ascii="Times New Roman" w:hAnsi="Times New Roman" w:eastAsia="仿宋_GB2312"/>
          <w:sz w:val="24"/>
          <w:szCs w:val="24"/>
        </w:rPr>
        <w:t>份（</w:t>
      </w:r>
      <w:r>
        <w:rPr>
          <w:rFonts w:hint="eastAsia" w:ascii="Times New Roman" w:hAnsi="Times New Roman" w:eastAsia="仿宋_GB2312"/>
          <w:sz w:val="24"/>
          <w:szCs w:val="24"/>
          <w:lang w:eastAsia="zh-CN"/>
        </w:rPr>
        <w:t>必须为盖章</w:t>
      </w:r>
      <w:r>
        <w:rPr>
          <w:rFonts w:ascii="Times New Roman" w:hAnsi="Times New Roman" w:eastAsia="仿宋_GB2312"/>
          <w:sz w:val="24"/>
          <w:szCs w:val="24"/>
        </w:rPr>
        <w:t>原件），报送北京市自然科学基金委员会办公室。</w:t>
      </w:r>
    </w:p>
    <w:p w14:paraId="77520B0D">
      <w:pPr>
        <w:pStyle w:val="20"/>
        <w:wordWrap w:val="0"/>
        <w:spacing w:before="0"/>
        <w:ind w:left="425" w:hanging="424" w:hangingChars="177"/>
        <w:rPr>
          <w:rFonts w:ascii="Times New Roman" w:hAnsi="Times New Roman" w:eastAsia="仿宋_GB2312"/>
          <w:sz w:val="24"/>
          <w:szCs w:val="24"/>
        </w:rPr>
      </w:pPr>
      <w:r>
        <w:rPr>
          <w:rFonts w:ascii="Times New Roman" w:hAnsi="Times New Roman" w:eastAsia="仿宋_GB2312"/>
          <w:sz w:val="24"/>
          <w:szCs w:val="24"/>
        </w:rPr>
        <w:t>三、简表说明</w:t>
      </w:r>
    </w:p>
    <w:p w14:paraId="217EDDC5">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1、简表内容：采用国家公布的标准简化字填写。</w:t>
      </w:r>
    </w:p>
    <w:p w14:paraId="1B0EA5B6">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2、项目名称：要确切反映研究内容，字数最多不超过40字（80字符）。</w:t>
      </w:r>
    </w:p>
    <w:p w14:paraId="1BF7F41D">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3、申报学科代码：使用北京市自然科学基金委员会办公室公布的学科分类目录及代码。</w:t>
      </w:r>
    </w:p>
    <w:p w14:paraId="125CAA78">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4、依托单位：须按单位公章填写全称。</w:t>
      </w:r>
    </w:p>
    <w:p w14:paraId="08047E56">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5、申请金额：用阿拉伯数字表示，以万元为单位，小数点后取两位。</w:t>
      </w:r>
    </w:p>
    <w:p w14:paraId="2F6F5A52">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6、执行周期：项目执行周期为1年或2年。</w:t>
      </w:r>
    </w:p>
    <w:p w14:paraId="5DE8D4A7">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7、项目组主要成员：指在项目组内对学术思想、研究方案的制订、理论分析及项目的完成起重要作用的学生及教师，每学年参加本项目研究工作应在4个月以上。申请者和项目组主要成员应当如实填报个人信息并对其真实性负责；同时，申请者还应对所有主要成员个人信息的真实性负责。</w:t>
      </w:r>
    </w:p>
    <w:p w14:paraId="4832F4D7">
      <w:pPr>
        <w:wordWrap w:val="0"/>
        <w:spacing w:line="360" w:lineRule="auto"/>
        <w:ind w:left="420"/>
        <w:outlineLvl w:val="0"/>
        <w:rPr>
          <w:rFonts w:eastAsia="黑体"/>
          <w:b/>
          <w:sz w:val="32"/>
        </w:rPr>
      </w:pPr>
      <w:r>
        <w:br w:type="page"/>
      </w:r>
      <w:r>
        <w:rPr>
          <w:rFonts w:hint="eastAsia" w:eastAsia="黑体"/>
          <w:b/>
          <w:sz w:val="32"/>
        </w:rPr>
        <w:t>一、</w:t>
      </w:r>
      <w:r>
        <w:rPr>
          <w:rFonts w:eastAsia="黑体"/>
          <w:b/>
          <w:sz w:val="32"/>
        </w:rPr>
        <w:t>简表</w:t>
      </w:r>
    </w:p>
    <w:tbl>
      <w:tblPr>
        <w:tblStyle w:val="13"/>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1923"/>
        <w:gridCol w:w="1633"/>
        <w:gridCol w:w="945"/>
        <w:gridCol w:w="1789"/>
        <w:gridCol w:w="2369"/>
      </w:tblGrid>
      <w:tr w14:paraId="31AA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67" w:hRule="atLeast"/>
        </w:trPr>
        <w:tc>
          <w:tcPr>
            <w:tcW w:w="697" w:type="dxa"/>
            <w:vMerge w:val="restart"/>
            <w:tcBorders>
              <w:top w:val="single" w:color="auto" w:sz="4" w:space="0"/>
              <w:left w:val="single" w:color="auto" w:sz="4" w:space="0"/>
              <w:right w:val="single" w:color="auto" w:sz="4" w:space="0"/>
            </w:tcBorders>
            <w:shd w:val="clear" w:color="auto" w:fill="FFFFFF"/>
            <w:vAlign w:val="center"/>
          </w:tcPr>
          <w:p w14:paraId="65E7C4B4">
            <w:pPr>
              <w:jc w:val="center"/>
              <w:rPr>
                <w:b/>
                <w:szCs w:val="21"/>
              </w:rPr>
            </w:pPr>
            <w:r>
              <w:rPr>
                <w:rFonts w:hint="eastAsia"/>
                <w:b/>
                <w:szCs w:val="21"/>
              </w:rPr>
              <w:t>申 请 者 信 息</w:t>
            </w:r>
          </w:p>
        </w:tc>
        <w:tc>
          <w:tcPr>
            <w:tcW w:w="1923" w:type="dxa"/>
            <w:tcBorders>
              <w:top w:val="single" w:color="auto" w:sz="4" w:space="0"/>
              <w:left w:val="single" w:color="auto" w:sz="4" w:space="0"/>
              <w:bottom w:val="single" w:color="auto" w:sz="4" w:space="0"/>
              <w:right w:val="single" w:color="auto" w:sz="4" w:space="0"/>
            </w:tcBorders>
            <w:vAlign w:val="center"/>
          </w:tcPr>
          <w:p w14:paraId="07721D1D">
            <w:pPr>
              <w:wordWrap w:val="0"/>
              <w:jc w:val="center"/>
            </w:pPr>
            <w:r>
              <w:t>姓名（中文）</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3FD38E58">
            <w:pPr>
              <w:wordWrap w:val="0"/>
              <w:jc w:val="center"/>
            </w:pPr>
            <w:r>
              <w:rPr>
                <w:rFonts w:hint="eastAsia"/>
              </w:rPr>
              <w:t>余果</w:t>
            </w:r>
          </w:p>
        </w:tc>
        <w:tc>
          <w:tcPr>
            <w:tcW w:w="1789" w:type="dxa"/>
            <w:tcBorders>
              <w:top w:val="single" w:color="auto" w:sz="4" w:space="0"/>
              <w:left w:val="single" w:color="auto" w:sz="4" w:space="0"/>
              <w:bottom w:val="single" w:color="auto" w:sz="4" w:space="0"/>
              <w:right w:val="single" w:color="auto" w:sz="4" w:space="0"/>
            </w:tcBorders>
            <w:vAlign w:val="center"/>
          </w:tcPr>
          <w:p w14:paraId="32089146">
            <w:pPr>
              <w:wordWrap w:val="0"/>
              <w:jc w:val="center"/>
            </w:pPr>
            <w:r>
              <w:t>姓名（拼音）</w:t>
            </w:r>
          </w:p>
        </w:tc>
        <w:tc>
          <w:tcPr>
            <w:tcW w:w="2369" w:type="dxa"/>
            <w:tcBorders>
              <w:top w:val="single" w:color="auto" w:sz="4" w:space="0"/>
              <w:left w:val="single" w:color="auto" w:sz="4" w:space="0"/>
              <w:bottom w:val="single" w:color="auto" w:sz="4" w:space="0"/>
              <w:right w:val="single" w:color="auto" w:sz="4" w:space="0"/>
            </w:tcBorders>
            <w:vAlign w:val="center"/>
          </w:tcPr>
          <w:p w14:paraId="0DB9F2F7">
            <w:pPr>
              <w:wordWrap w:val="0"/>
              <w:jc w:val="center"/>
            </w:pPr>
            <w:r>
              <w:rPr>
                <w:rFonts w:hint="eastAsia"/>
              </w:rPr>
              <w:t>YU GUO</w:t>
            </w:r>
          </w:p>
        </w:tc>
      </w:tr>
      <w:tr w14:paraId="592B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78FA4B4E">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3527DA1C">
            <w:pPr>
              <w:wordWrap w:val="0"/>
              <w:jc w:val="center"/>
            </w:pPr>
            <w:r>
              <w:t>性别</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54E737DE">
            <w:pPr>
              <w:wordWrap w:val="0"/>
              <w:jc w:val="center"/>
            </w:pPr>
            <w:r>
              <w:rPr>
                <w:rFonts w:hint="eastAsia"/>
              </w:rPr>
              <w:t>女</w:t>
            </w:r>
          </w:p>
        </w:tc>
        <w:tc>
          <w:tcPr>
            <w:tcW w:w="1789" w:type="dxa"/>
            <w:tcBorders>
              <w:top w:val="single" w:color="auto" w:sz="4" w:space="0"/>
              <w:left w:val="single" w:color="auto" w:sz="4" w:space="0"/>
              <w:bottom w:val="single" w:color="auto" w:sz="4" w:space="0"/>
              <w:right w:val="single" w:color="auto" w:sz="4" w:space="0"/>
            </w:tcBorders>
            <w:vAlign w:val="center"/>
          </w:tcPr>
          <w:p w14:paraId="4557155E">
            <w:pPr>
              <w:wordWrap w:val="0"/>
              <w:jc w:val="center"/>
            </w:pPr>
            <w:r>
              <w:t>民族</w:t>
            </w:r>
          </w:p>
        </w:tc>
        <w:tc>
          <w:tcPr>
            <w:tcW w:w="2369" w:type="dxa"/>
            <w:tcBorders>
              <w:top w:val="single" w:color="auto" w:sz="4" w:space="0"/>
              <w:left w:val="single" w:color="auto" w:sz="4" w:space="0"/>
              <w:bottom w:val="single" w:color="auto" w:sz="4" w:space="0"/>
              <w:right w:val="single" w:color="auto" w:sz="4" w:space="0"/>
            </w:tcBorders>
            <w:vAlign w:val="center"/>
          </w:tcPr>
          <w:p w14:paraId="38DB8932">
            <w:pPr>
              <w:wordWrap w:val="0"/>
              <w:jc w:val="center"/>
            </w:pPr>
            <w:r>
              <w:rPr>
                <w:rFonts w:hint="eastAsia"/>
              </w:rPr>
              <w:t>汉族</w:t>
            </w:r>
          </w:p>
        </w:tc>
      </w:tr>
      <w:tr w14:paraId="4C8C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656C27E3">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01432375">
            <w:pPr>
              <w:wordWrap w:val="0"/>
              <w:jc w:val="center"/>
            </w:pPr>
            <w:r>
              <w:t>出生</w:t>
            </w:r>
            <w:r>
              <w:rPr>
                <w:rFonts w:hint="eastAsia"/>
              </w:rPr>
              <w:t>日期</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07B3F9E0">
            <w:pPr>
              <w:wordWrap w:val="0"/>
              <w:jc w:val="center"/>
            </w:pPr>
            <w:r>
              <w:rPr>
                <w:rFonts w:hint="eastAsia"/>
              </w:rPr>
              <w:t>2005年08月21日</w:t>
            </w:r>
          </w:p>
        </w:tc>
        <w:tc>
          <w:tcPr>
            <w:tcW w:w="1789" w:type="dxa"/>
            <w:tcBorders>
              <w:top w:val="single" w:color="auto" w:sz="4" w:space="0"/>
              <w:left w:val="single" w:color="auto" w:sz="4" w:space="0"/>
              <w:bottom w:val="single" w:color="auto" w:sz="4" w:space="0"/>
              <w:right w:val="single" w:color="auto" w:sz="4" w:space="0"/>
            </w:tcBorders>
            <w:vAlign w:val="center"/>
          </w:tcPr>
          <w:p w14:paraId="1E85CCF6">
            <w:pPr>
              <w:wordWrap w:val="0"/>
              <w:jc w:val="center"/>
            </w:pPr>
            <w:r>
              <w:t>电子邮箱</w:t>
            </w:r>
          </w:p>
        </w:tc>
        <w:tc>
          <w:tcPr>
            <w:tcW w:w="2369" w:type="dxa"/>
            <w:tcBorders>
              <w:top w:val="single" w:color="auto" w:sz="4" w:space="0"/>
              <w:left w:val="single" w:color="auto" w:sz="4" w:space="0"/>
              <w:bottom w:val="single" w:color="auto" w:sz="4" w:space="0"/>
              <w:right w:val="single" w:color="auto" w:sz="4" w:space="0"/>
            </w:tcBorders>
            <w:vAlign w:val="center"/>
          </w:tcPr>
          <w:p w14:paraId="0E14BC65">
            <w:pPr>
              <w:wordWrap w:val="0"/>
              <w:jc w:val="center"/>
            </w:pPr>
            <w:r>
              <w:rPr>
                <w:rFonts w:hint="eastAsia"/>
              </w:rPr>
              <w:t>19805560176@163.com</w:t>
            </w:r>
          </w:p>
        </w:tc>
      </w:tr>
      <w:tr w14:paraId="017E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36E68EC8">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46005DEE">
            <w:pPr>
              <w:wordWrap w:val="0"/>
              <w:jc w:val="center"/>
            </w:pPr>
            <w:r>
              <w:rPr>
                <w:rFonts w:hint="eastAsia"/>
              </w:rPr>
              <w:t>入学年份</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1720540C">
            <w:pPr>
              <w:wordWrap w:val="0"/>
              <w:jc w:val="center"/>
            </w:pPr>
            <w:r>
              <w:rPr>
                <w:rFonts w:hint="eastAsia"/>
              </w:rPr>
              <w:t>2023年</w:t>
            </w:r>
          </w:p>
        </w:tc>
        <w:tc>
          <w:tcPr>
            <w:tcW w:w="1789" w:type="dxa"/>
            <w:tcBorders>
              <w:top w:val="single" w:color="auto" w:sz="4" w:space="0"/>
              <w:left w:val="single" w:color="auto" w:sz="4" w:space="0"/>
              <w:bottom w:val="single" w:color="auto" w:sz="4" w:space="0"/>
              <w:right w:val="single" w:color="auto" w:sz="4" w:space="0"/>
            </w:tcBorders>
            <w:vAlign w:val="center"/>
          </w:tcPr>
          <w:p w14:paraId="4E450901">
            <w:pPr>
              <w:wordWrap w:val="0"/>
              <w:jc w:val="center"/>
            </w:pPr>
            <w:r>
              <w:t>手机</w:t>
            </w:r>
          </w:p>
        </w:tc>
        <w:tc>
          <w:tcPr>
            <w:tcW w:w="2369" w:type="dxa"/>
            <w:tcBorders>
              <w:top w:val="single" w:color="auto" w:sz="4" w:space="0"/>
              <w:left w:val="single" w:color="auto" w:sz="4" w:space="0"/>
              <w:bottom w:val="single" w:color="auto" w:sz="4" w:space="0"/>
              <w:right w:val="single" w:color="auto" w:sz="4" w:space="0"/>
            </w:tcBorders>
            <w:vAlign w:val="center"/>
          </w:tcPr>
          <w:p w14:paraId="4977517E">
            <w:pPr>
              <w:wordWrap w:val="0"/>
              <w:jc w:val="center"/>
            </w:pPr>
            <w:r>
              <w:rPr>
                <w:rFonts w:hint="eastAsia"/>
              </w:rPr>
              <w:t>19805560176</w:t>
            </w:r>
          </w:p>
        </w:tc>
      </w:tr>
      <w:tr w14:paraId="2BBD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5D791CC5">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0A5196E0">
            <w:pPr>
              <w:wordWrap w:val="0"/>
              <w:jc w:val="center"/>
            </w:pPr>
            <w:r>
              <w:rPr>
                <w:rFonts w:hint="eastAsia"/>
              </w:rPr>
              <w:t>学院</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7715BE21">
            <w:pPr>
              <w:jc w:val="center"/>
            </w:pPr>
            <w:r>
              <w:rPr>
                <w:rFonts w:hint="eastAsia"/>
              </w:rPr>
              <w:t>法学院</w:t>
            </w:r>
          </w:p>
        </w:tc>
        <w:tc>
          <w:tcPr>
            <w:tcW w:w="1789" w:type="dxa"/>
            <w:tcBorders>
              <w:top w:val="single" w:color="auto" w:sz="4" w:space="0"/>
              <w:left w:val="single" w:color="auto" w:sz="4" w:space="0"/>
              <w:bottom w:val="single" w:color="auto" w:sz="4" w:space="0"/>
              <w:right w:val="single" w:color="auto" w:sz="4" w:space="0"/>
            </w:tcBorders>
            <w:vAlign w:val="center"/>
          </w:tcPr>
          <w:p w14:paraId="182BDF04">
            <w:pPr>
              <w:jc w:val="center"/>
            </w:pPr>
            <w:r>
              <w:rPr>
                <w:rFonts w:hint="eastAsia"/>
              </w:rPr>
              <w:t>班级</w:t>
            </w:r>
          </w:p>
        </w:tc>
        <w:tc>
          <w:tcPr>
            <w:tcW w:w="2369" w:type="dxa"/>
            <w:tcBorders>
              <w:top w:val="single" w:color="auto" w:sz="4" w:space="0"/>
              <w:left w:val="single" w:color="auto" w:sz="4" w:space="0"/>
              <w:bottom w:val="single" w:color="auto" w:sz="4" w:space="0"/>
              <w:right w:val="single" w:color="auto" w:sz="4" w:space="0"/>
            </w:tcBorders>
            <w:vAlign w:val="center"/>
          </w:tcPr>
          <w:p w14:paraId="66176D00">
            <w:pPr>
              <w:jc w:val="center"/>
            </w:pPr>
            <w:r>
              <w:rPr>
                <w:rFonts w:hint="eastAsia"/>
              </w:rPr>
              <w:t>明德2308</w:t>
            </w:r>
          </w:p>
        </w:tc>
      </w:tr>
      <w:tr w14:paraId="7C65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1F6F8252">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13E749ED">
            <w:pPr>
              <w:wordWrap w:val="0"/>
              <w:jc w:val="center"/>
            </w:pPr>
            <w:r>
              <w:rPr>
                <w:rFonts w:hint="eastAsia"/>
              </w:rPr>
              <w:t>专业</w:t>
            </w:r>
          </w:p>
        </w:tc>
        <w:tc>
          <w:tcPr>
            <w:tcW w:w="6736" w:type="dxa"/>
            <w:gridSpan w:val="4"/>
            <w:tcBorders>
              <w:top w:val="single" w:color="auto" w:sz="4" w:space="0"/>
              <w:left w:val="single" w:color="auto" w:sz="4" w:space="0"/>
              <w:bottom w:val="single" w:color="auto" w:sz="4" w:space="0"/>
              <w:right w:val="single" w:color="auto" w:sz="4" w:space="0"/>
            </w:tcBorders>
            <w:vAlign w:val="center"/>
          </w:tcPr>
          <w:p w14:paraId="2B0BBD2D">
            <w:pPr>
              <w:jc w:val="center"/>
            </w:pPr>
            <w:r>
              <w:rPr>
                <w:rFonts w:hint="eastAsia"/>
              </w:rPr>
              <w:t>法学</w:t>
            </w:r>
          </w:p>
        </w:tc>
      </w:tr>
      <w:tr w14:paraId="0617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4F24726B">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4446442B">
            <w:pPr>
              <w:wordWrap w:val="0"/>
              <w:jc w:val="center"/>
            </w:pPr>
            <w:r>
              <w:rPr>
                <w:rFonts w:hint="eastAsia"/>
              </w:rPr>
              <w:t>是否属于特殊培养计划</w:t>
            </w:r>
          </w:p>
        </w:tc>
        <w:tc>
          <w:tcPr>
            <w:tcW w:w="6736" w:type="dxa"/>
            <w:gridSpan w:val="4"/>
            <w:tcBorders>
              <w:top w:val="single" w:color="auto" w:sz="4" w:space="0"/>
              <w:left w:val="single" w:color="auto" w:sz="4" w:space="0"/>
              <w:bottom w:val="single" w:color="auto" w:sz="4" w:space="0"/>
              <w:right w:val="single" w:color="auto" w:sz="4" w:space="0"/>
            </w:tcBorders>
            <w:vAlign w:val="center"/>
          </w:tcPr>
          <w:p w14:paraId="56B20288">
            <w:pPr>
              <w:jc w:val="center"/>
            </w:pPr>
            <w:r>
              <w:rPr>
                <w:rFonts w:hint="eastAsia"/>
              </w:rPr>
              <w:t>□是 名称：</w:t>
            </w:r>
            <w:r>
              <w:rPr>
                <w:rFonts w:hint="eastAsia"/>
                <w:sz w:val="11"/>
                <w:szCs w:val="10"/>
                <w:u w:val="single"/>
              </w:rPr>
              <w:t>（如姚班、拔尖学生培养计划、徐特立学院、“三段式”培养体系等班级、计划、学院等）</w:t>
            </w:r>
            <w:r>
              <w:rPr>
                <w:rFonts w:hint="eastAsia"/>
              </w:rPr>
              <w:t xml:space="preserve"> ☑否</w:t>
            </w:r>
          </w:p>
        </w:tc>
      </w:tr>
      <w:tr w14:paraId="0AE2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restart"/>
            <w:shd w:val="clear" w:color="auto" w:fill="FFFFFF"/>
            <w:vAlign w:val="center"/>
          </w:tcPr>
          <w:p w14:paraId="6181340A">
            <w:pPr>
              <w:jc w:val="center"/>
              <w:rPr>
                <w:b/>
                <w:szCs w:val="21"/>
              </w:rPr>
            </w:pPr>
            <w:r>
              <w:rPr>
                <w:rFonts w:hint="eastAsia"/>
                <w:b/>
                <w:szCs w:val="21"/>
              </w:rPr>
              <w:t>依 托 单 位</w:t>
            </w:r>
          </w:p>
        </w:tc>
        <w:tc>
          <w:tcPr>
            <w:tcW w:w="1923" w:type="dxa"/>
            <w:vAlign w:val="center"/>
          </w:tcPr>
          <w:p w14:paraId="34B64138">
            <w:pPr>
              <w:wordWrap w:val="0"/>
              <w:jc w:val="center"/>
            </w:pPr>
            <w:r>
              <w:t>单位名称</w:t>
            </w:r>
          </w:p>
        </w:tc>
        <w:tc>
          <w:tcPr>
            <w:tcW w:w="2578" w:type="dxa"/>
            <w:gridSpan w:val="2"/>
            <w:vAlign w:val="center"/>
          </w:tcPr>
          <w:p w14:paraId="4EF0D629">
            <w:pPr>
              <w:wordWrap w:val="0"/>
              <w:jc w:val="center"/>
            </w:pPr>
            <w:r>
              <w:rPr>
                <w:rFonts w:hint="eastAsia"/>
              </w:rPr>
              <w:t>北京理工大学</w:t>
            </w:r>
          </w:p>
        </w:tc>
        <w:tc>
          <w:tcPr>
            <w:tcW w:w="1789" w:type="dxa"/>
            <w:vAlign w:val="center"/>
          </w:tcPr>
          <w:p w14:paraId="0854D46A">
            <w:pPr>
              <w:wordWrap w:val="0"/>
              <w:jc w:val="center"/>
            </w:pPr>
            <w:r>
              <w:t>单位类别</w:t>
            </w:r>
          </w:p>
        </w:tc>
        <w:tc>
          <w:tcPr>
            <w:tcW w:w="2369" w:type="dxa"/>
            <w:vAlign w:val="center"/>
          </w:tcPr>
          <w:p w14:paraId="3965A11A">
            <w:pPr>
              <w:wordWrap w:val="0"/>
              <w:jc w:val="center"/>
            </w:pPr>
            <w:r>
              <w:rPr>
                <w:rFonts w:hint="eastAsia"/>
              </w:rPr>
              <w:t>高等院校</w:t>
            </w:r>
          </w:p>
        </w:tc>
      </w:tr>
      <w:tr w14:paraId="1E9B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246ECB59">
            <w:pPr>
              <w:jc w:val="center"/>
              <w:rPr>
                <w:b/>
                <w:szCs w:val="21"/>
              </w:rPr>
            </w:pPr>
          </w:p>
        </w:tc>
        <w:tc>
          <w:tcPr>
            <w:tcW w:w="1923" w:type="dxa"/>
            <w:vAlign w:val="center"/>
          </w:tcPr>
          <w:p w14:paraId="497BE0C9">
            <w:pPr>
              <w:wordWrap w:val="0"/>
              <w:jc w:val="center"/>
            </w:pPr>
            <w:r>
              <w:t>隶属关系</w:t>
            </w:r>
          </w:p>
        </w:tc>
        <w:tc>
          <w:tcPr>
            <w:tcW w:w="2578" w:type="dxa"/>
            <w:gridSpan w:val="2"/>
            <w:vAlign w:val="center"/>
          </w:tcPr>
          <w:p w14:paraId="306B557D">
            <w:pPr>
              <w:wordWrap w:val="0"/>
              <w:jc w:val="center"/>
            </w:pPr>
            <w:r>
              <w:rPr>
                <w:rFonts w:hint="eastAsia"/>
              </w:rPr>
              <w:t>中央</w:t>
            </w:r>
          </w:p>
        </w:tc>
        <w:tc>
          <w:tcPr>
            <w:tcW w:w="1789" w:type="dxa"/>
            <w:vAlign w:val="center"/>
          </w:tcPr>
          <w:p w14:paraId="20BB676A">
            <w:pPr>
              <w:wordWrap w:val="0"/>
              <w:jc w:val="center"/>
            </w:pPr>
            <w:r>
              <w:t>邮政编码</w:t>
            </w:r>
          </w:p>
        </w:tc>
        <w:tc>
          <w:tcPr>
            <w:tcW w:w="2369" w:type="dxa"/>
            <w:vAlign w:val="center"/>
          </w:tcPr>
          <w:p w14:paraId="507B2087">
            <w:pPr>
              <w:wordWrap w:val="0"/>
              <w:jc w:val="center"/>
            </w:pPr>
            <w:r>
              <w:rPr>
                <w:rFonts w:hint="eastAsia"/>
              </w:rPr>
              <w:t>100081</w:t>
            </w:r>
          </w:p>
        </w:tc>
      </w:tr>
      <w:tr w14:paraId="6B68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57F282B4">
            <w:pPr>
              <w:jc w:val="center"/>
              <w:rPr>
                <w:b/>
                <w:szCs w:val="21"/>
              </w:rPr>
            </w:pPr>
          </w:p>
        </w:tc>
        <w:tc>
          <w:tcPr>
            <w:tcW w:w="1923" w:type="dxa"/>
            <w:vAlign w:val="center"/>
          </w:tcPr>
          <w:p w14:paraId="0D8D05E4">
            <w:pPr>
              <w:wordWrap w:val="0"/>
              <w:jc w:val="center"/>
            </w:pPr>
            <w:r>
              <w:t>通信地址</w:t>
            </w:r>
          </w:p>
        </w:tc>
        <w:tc>
          <w:tcPr>
            <w:tcW w:w="6736" w:type="dxa"/>
            <w:gridSpan w:val="4"/>
            <w:vAlign w:val="center"/>
          </w:tcPr>
          <w:p w14:paraId="7627AEC7">
            <w:pPr>
              <w:wordWrap w:val="0"/>
              <w:jc w:val="center"/>
            </w:pPr>
            <w:r>
              <w:rPr>
                <w:rFonts w:hint="eastAsia"/>
              </w:rPr>
              <w:t>北京市海淀区中关村南大街5号</w:t>
            </w:r>
          </w:p>
        </w:tc>
      </w:tr>
      <w:tr w14:paraId="30E40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34AEE1F5">
            <w:pPr>
              <w:jc w:val="center"/>
              <w:rPr>
                <w:b/>
                <w:szCs w:val="21"/>
              </w:rPr>
            </w:pPr>
          </w:p>
        </w:tc>
        <w:tc>
          <w:tcPr>
            <w:tcW w:w="1923" w:type="dxa"/>
            <w:vAlign w:val="center"/>
          </w:tcPr>
          <w:p w14:paraId="341F46A7">
            <w:pPr>
              <w:wordWrap w:val="0"/>
              <w:jc w:val="center"/>
            </w:pPr>
            <w:r>
              <w:t>联系人</w:t>
            </w:r>
          </w:p>
        </w:tc>
        <w:tc>
          <w:tcPr>
            <w:tcW w:w="2578" w:type="dxa"/>
            <w:gridSpan w:val="2"/>
            <w:vAlign w:val="center"/>
          </w:tcPr>
          <w:p w14:paraId="2EE6358F">
            <w:pPr>
              <w:wordWrap w:val="0"/>
              <w:jc w:val="center"/>
            </w:pPr>
            <w:r>
              <w:rPr>
                <w:rFonts w:hint="eastAsia"/>
              </w:rPr>
              <w:t>王玲玉</w:t>
            </w:r>
          </w:p>
        </w:tc>
        <w:tc>
          <w:tcPr>
            <w:tcW w:w="1789" w:type="dxa"/>
            <w:vAlign w:val="center"/>
          </w:tcPr>
          <w:p w14:paraId="50A16DF7">
            <w:pPr>
              <w:wordWrap w:val="0"/>
              <w:jc w:val="center"/>
            </w:pPr>
            <w:r>
              <w:t>联系电话</w:t>
            </w:r>
          </w:p>
        </w:tc>
        <w:tc>
          <w:tcPr>
            <w:tcW w:w="2369" w:type="dxa"/>
            <w:vAlign w:val="center"/>
          </w:tcPr>
          <w:p w14:paraId="5C046D5A">
            <w:pPr>
              <w:wordWrap w:val="0"/>
              <w:jc w:val="center"/>
            </w:pPr>
            <w:r>
              <w:rPr>
                <w:rFonts w:hint="eastAsia"/>
              </w:rPr>
              <w:t>010-68913590</w:t>
            </w:r>
          </w:p>
        </w:tc>
      </w:tr>
      <w:tr w14:paraId="615C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35F88EF5">
            <w:pPr>
              <w:jc w:val="center"/>
              <w:rPr>
                <w:b/>
                <w:szCs w:val="21"/>
              </w:rPr>
            </w:pPr>
          </w:p>
        </w:tc>
        <w:tc>
          <w:tcPr>
            <w:tcW w:w="1923" w:type="dxa"/>
            <w:vAlign w:val="center"/>
          </w:tcPr>
          <w:p w14:paraId="1B911384">
            <w:pPr>
              <w:wordWrap w:val="0"/>
              <w:jc w:val="center"/>
            </w:pPr>
            <w:r>
              <w:t>传真</w:t>
            </w:r>
          </w:p>
        </w:tc>
        <w:tc>
          <w:tcPr>
            <w:tcW w:w="2578" w:type="dxa"/>
            <w:gridSpan w:val="2"/>
            <w:vAlign w:val="center"/>
          </w:tcPr>
          <w:p w14:paraId="27A65F82">
            <w:pPr>
              <w:wordWrap w:val="0"/>
              <w:jc w:val="center"/>
            </w:pPr>
            <w:r>
              <w:rPr>
                <w:rFonts w:hint="eastAsia"/>
              </w:rPr>
              <w:t>010-68412886</w:t>
            </w:r>
          </w:p>
        </w:tc>
        <w:tc>
          <w:tcPr>
            <w:tcW w:w="1789" w:type="dxa"/>
            <w:vAlign w:val="center"/>
          </w:tcPr>
          <w:p w14:paraId="34AACCAD">
            <w:pPr>
              <w:wordWrap w:val="0"/>
              <w:jc w:val="center"/>
            </w:pPr>
            <w:r>
              <w:t>电子邮箱</w:t>
            </w:r>
          </w:p>
        </w:tc>
        <w:tc>
          <w:tcPr>
            <w:tcW w:w="2369" w:type="dxa"/>
            <w:vAlign w:val="center"/>
          </w:tcPr>
          <w:p w14:paraId="177AE982">
            <w:pPr>
              <w:wordWrap w:val="0"/>
              <w:jc w:val="center"/>
            </w:pPr>
            <w:r>
              <w:rPr>
                <w:rFonts w:hint="eastAsia"/>
              </w:rPr>
              <w:t>wly319@bit.edu.cn</w:t>
            </w:r>
          </w:p>
        </w:tc>
      </w:tr>
      <w:tr w14:paraId="5892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restart"/>
            <w:shd w:val="clear" w:color="auto" w:fill="FFFFFF"/>
            <w:vAlign w:val="center"/>
          </w:tcPr>
          <w:p w14:paraId="43041D1D">
            <w:pPr>
              <w:jc w:val="center"/>
              <w:rPr>
                <w:b/>
                <w:szCs w:val="21"/>
              </w:rPr>
            </w:pPr>
            <w:r>
              <w:rPr>
                <w:rFonts w:hint="eastAsia"/>
                <w:b/>
                <w:szCs w:val="21"/>
              </w:rPr>
              <w:t>项 目 基 本 信 息</w:t>
            </w:r>
          </w:p>
        </w:tc>
        <w:tc>
          <w:tcPr>
            <w:tcW w:w="1923" w:type="dxa"/>
            <w:vAlign w:val="center"/>
          </w:tcPr>
          <w:p w14:paraId="0FDDAB7E">
            <w:pPr>
              <w:wordWrap w:val="0"/>
              <w:jc w:val="center"/>
            </w:pPr>
            <w:r>
              <w:t>项目名称（中文）</w:t>
            </w:r>
          </w:p>
        </w:tc>
        <w:tc>
          <w:tcPr>
            <w:tcW w:w="6736" w:type="dxa"/>
            <w:gridSpan w:val="4"/>
            <w:vAlign w:val="center"/>
          </w:tcPr>
          <w:p w14:paraId="4608BEF7">
            <w:pPr>
              <w:wordWrap w:val="0"/>
              <w:jc w:val="center"/>
              <w:rPr>
                <w:highlight w:val="magenta"/>
              </w:rPr>
            </w:pPr>
            <w:r>
              <w:rPr>
                <w:rFonts w:hint="eastAsia" w:ascii="宋体" w:hAnsi="宋体" w:cs="宋体"/>
                <w:sz w:val="24"/>
                <w:szCs w:val="24"/>
              </w:rPr>
              <w:t>基于扩展式博弈建模的多智能体协同模拟法庭系统</w:t>
            </w:r>
          </w:p>
        </w:tc>
      </w:tr>
      <w:tr w14:paraId="4C69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extDirection w:val="tbRlV"/>
            <w:vAlign w:val="center"/>
          </w:tcPr>
          <w:p w14:paraId="14D2797E">
            <w:pPr>
              <w:jc w:val="center"/>
              <w:rPr>
                <w:b/>
                <w:szCs w:val="21"/>
              </w:rPr>
            </w:pPr>
          </w:p>
        </w:tc>
        <w:tc>
          <w:tcPr>
            <w:tcW w:w="1923" w:type="dxa"/>
            <w:vAlign w:val="center"/>
          </w:tcPr>
          <w:p w14:paraId="698B8DD8">
            <w:pPr>
              <w:wordWrap w:val="0"/>
              <w:jc w:val="center"/>
            </w:pPr>
            <w:r>
              <w:t>项目名称（英文）</w:t>
            </w:r>
          </w:p>
        </w:tc>
        <w:tc>
          <w:tcPr>
            <w:tcW w:w="6736" w:type="dxa"/>
            <w:gridSpan w:val="4"/>
            <w:vAlign w:val="center"/>
          </w:tcPr>
          <w:p w14:paraId="29CD84B7">
            <w:pPr>
              <w:jc w:val="center"/>
            </w:pPr>
            <w:r>
              <w:rPr>
                <w:rFonts w:hint="eastAsia"/>
              </w:rPr>
              <w:t>A Multi-Agent Cooperative Simulated Courtroom System Modeled with Extensive-Form Games</w:t>
            </w:r>
          </w:p>
        </w:tc>
      </w:tr>
      <w:tr w14:paraId="706A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7AF7F894">
            <w:pPr>
              <w:jc w:val="center"/>
              <w:rPr>
                <w:b/>
                <w:szCs w:val="21"/>
              </w:rPr>
            </w:pPr>
          </w:p>
        </w:tc>
        <w:tc>
          <w:tcPr>
            <w:tcW w:w="1923" w:type="dxa"/>
            <w:vAlign w:val="center"/>
          </w:tcPr>
          <w:p w14:paraId="16084EAA">
            <w:pPr>
              <w:wordWrap w:val="0"/>
              <w:jc w:val="center"/>
            </w:pPr>
            <w:r>
              <w:t>申报学科1（名称）</w:t>
            </w:r>
          </w:p>
        </w:tc>
        <w:tc>
          <w:tcPr>
            <w:tcW w:w="2578" w:type="dxa"/>
            <w:gridSpan w:val="2"/>
            <w:vAlign w:val="center"/>
          </w:tcPr>
          <w:p w14:paraId="57BE7DD6">
            <w:pPr>
              <w:wordWrap w:val="0"/>
              <w:jc w:val="center"/>
              <w:rPr>
                <w:highlight w:val="yellow"/>
              </w:rPr>
            </w:pPr>
            <w:r>
              <w:rPr>
                <w:rFonts w:hint="eastAsia"/>
              </w:rPr>
              <w:t>人工智能</w:t>
            </w:r>
          </w:p>
        </w:tc>
        <w:tc>
          <w:tcPr>
            <w:tcW w:w="1789" w:type="dxa"/>
            <w:vAlign w:val="center"/>
          </w:tcPr>
          <w:p w14:paraId="41EE6FC8">
            <w:pPr>
              <w:wordWrap w:val="0"/>
              <w:jc w:val="center"/>
            </w:pPr>
            <w:r>
              <w:t>申报学科1（代码）</w:t>
            </w:r>
          </w:p>
        </w:tc>
        <w:tc>
          <w:tcPr>
            <w:tcW w:w="2369" w:type="dxa"/>
            <w:vAlign w:val="center"/>
          </w:tcPr>
          <w:p w14:paraId="73431ADA">
            <w:pPr>
              <w:wordWrap w:val="0"/>
              <w:jc w:val="center"/>
            </w:pPr>
            <w:r>
              <w:rPr>
                <w:rFonts w:hint="eastAsia" w:ascii="宋体" w:hAnsi="宋体" w:cs="宋体"/>
                <w:color w:val="000000"/>
                <w:szCs w:val="21"/>
              </w:rPr>
              <w:t>F0610</w:t>
            </w:r>
          </w:p>
        </w:tc>
      </w:tr>
      <w:tr w14:paraId="0173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31EE041E">
            <w:pPr>
              <w:jc w:val="center"/>
              <w:rPr>
                <w:b/>
                <w:szCs w:val="21"/>
              </w:rPr>
            </w:pPr>
          </w:p>
        </w:tc>
        <w:tc>
          <w:tcPr>
            <w:tcW w:w="1923" w:type="dxa"/>
            <w:vAlign w:val="center"/>
          </w:tcPr>
          <w:p w14:paraId="1320B25E">
            <w:pPr>
              <w:wordWrap w:val="0"/>
              <w:jc w:val="center"/>
            </w:pPr>
            <w:r>
              <w:t>申报学科2（名称）</w:t>
            </w:r>
          </w:p>
        </w:tc>
        <w:tc>
          <w:tcPr>
            <w:tcW w:w="2578" w:type="dxa"/>
            <w:gridSpan w:val="2"/>
            <w:vAlign w:val="center"/>
          </w:tcPr>
          <w:p w14:paraId="68676DDA">
            <w:pPr>
              <w:jc w:val="center"/>
            </w:pPr>
            <w:r>
              <w:rPr>
                <w:rFonts w:hint="eastAsia"/>
              </w:rPr>
              <w:t>人工智能</w:t>
            </w:r>
          </w:p>
        </w:tc>
        <w:tc>
          <w:tcPr>
            <w:tcW w:w="1789" w:type="dxa"/>
            <w:vAlign w:val="center"/>
          </w:tcPr>
          <w:p w14:paraId="62EE3CC1">
            <w:pPr>
              <w:wordWrap w:val="0"/>
              <w:jc w:val="center"/>
            </w:pPr>
            <w:r>
              <w:t>申报学科2（代码）</w:t>
            </w:r>
          </w:p>
        </w:tc>
        <w:tc>
          <w:tcPr>
            <w:tcW w:w="2369" w:type="dxa"/>
            <w:vAlign w:val="center"/>
          </w:tcPr>
          <w:p w14:paraId="689D9BEA">
            <w:pPr>
              <w:wordWrap w:val="0"/>
              <w:jc w:val="center"/>
            </w:pPr>
            <w:r>
              <w:rPr>
                <w:rFonts w:hint="eastAsia" w:ascii="宋体" w:hAnsi="宋体" w:cs="宋体"/>
                <w:color w:val="000000"/>
                <w:szCs w:val="21"/>
              </w:rPr>
              <w:t>F0602</w:t>
            </w:r>
          </w:p>
        </w:tc>
      </w:tr>
      <w:tr w14:paraId="0614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41EE4CE9">
            <w:pPr>
              <w:jc w:val="center"/>
              <w:rPr>
                <w:b/>
                <w:szCs w:val="21"/>
              </w:rPr>
            </w:pPr>
          </w:p>
        </w:tc>
        <w:tc>
          <w:tcPr>
            <w:tcW w:w="1923" w:type="dxa"/>
            <w:vAlign w:val="center"/>
          </w:tcPr>
          <w:p w14:paraId="6E096055">
            <w:pPr>
              <w:wordWrap w:val="0"/>
              <w:jc w:val="center"/>
            </w:pPr>
            <w:r>
              <w:t>起止年月</w:t>
            </w:r>
          </w:p>
        </w:tc>
        <w:tc>
          <w:tcPr>
            <w:tcW w:w="2578" w:type="dxa"/>
            <w:gridSpan w:val="2"/>
            <w:vAlign w:val="center"/>
          </w:tcPr>
          <w:p w14:paraId="78C19270">
            <w:pPr>
              <w:wordWrap w:val="0"/>
              <w:jc w:val="center"/>
            </w:pPr>
            <w:r>
              <w:rPr>
                <w:rFonts w:hint="eastAsia"/>
              </w:rPr>
              <w:t xml:space="preserve">2026 年 7 月 至 </w:t>
            </w:r>
          </w:p>
          <w:p w14:paraId="351BD2BE">
            <w:pPr>
              <w:wordWrap w:val="0"/>
              <w:jc w:val="center"/>
            </w:pPr>
            <w:r>
              <w:rPr>
                <w:rFonts w:hint="eastAsia"/>
                <w:u w:val="single"/>
              </w:rPr>
              <w:t xml:space="preserve">  2027   </w:t>
            </w:r>
            <w:r>
              <w:rPr>
                <w:rFonts w:hint="eastAsia"/>
              </w:rPr>
              <w:t>年 6 月</w:t>
            </w:r>
          </w:p>
        </w:tc>
        <w:tc>
          <w:tcPr>
            <w:tcW w:w="1789" w:type="dxa"/>
            <w:vAlign w:val="center"/>
          </w:tcPr>
          <w:p w14:paraId="077086D6">
            <w:pPr>
              <w:wordWrap w:val="0"/>
              <w:jc w:val="center"/>
            </w:pPr>
            <w:r>
              <w:t>申请金额</w:t>
            </w:r>
          </w:p>
        </w:tc>
        <w:tc>
          <w:tcPr>
            <w:tcW w:w="2369" w:type="dxa"/>
            <w:vAlign w:val="center"/>
          </w:tcPr>
          <w:p w14:paraId="02F181FC">
            <w:pPr>
              <w:wordWrap w:val="0"/>
              <w:jc w:val="center"/>
            </w:pPr>
            <w:r>
              <w:rPr>
                <w:rFonts w:hint="eastAsia"/>
                <w:u w:val="single"/>
              </w:rPr>
              <w:t xml:space="preserve">  5.00  </w:t>
            </w:r>
            <w:r>
              <w:rPr>
                <w:rFonts w:hint="eastAsia"/>
              </w:rPr>
              <w:t xml:space="preserve"> 万</w:t>
            </w:r>
          </w:p>
        </w:tc>
      </w:tr>
      <w:tr w14:paraId="56E9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526FD84E">
            <w:pPr>
              <w:jc w:val="center"/>
              <w:rPr>
                <w:b/>
                <w:szCs w:val="21"/>
              </w:rPr>
            </w:pPr>
          </w:p>
        </w:tc>
        <w:tc>
          <w:tcPr>
            <w:tcW w:w="1923" w:type="dxa"/>
            <w:vAlign w:val="center"/>
          </w:tcPr>
          <w:p w14:paraId="27CA0AA2">
            <w:pPr>
              <w:wordWrap w:val="0"/>
              <w:jc w:val="center"/>
            </w:pPr>
            <w:r>
              <w:rPr>
                <w:rFonts w:hint="eastAsia"/>
              </w:rPr>
              <w:t>报审学科组</w:t>
            </w:r>
          </w:p>
        </w:tc>
        <w:tc>
          <w:tcPr>
            <w:tcW w:w="6736" w:type="dxa"/>
            <w:gridSpan w:val="4"/>
            <w:vAlign w:val="center"/>
          </w:tcPr>
          <w:p w14:paraId="0D06BF66">
            <w:pPr>
              <w:ind w:right="420"/>
              <w:jc w:val="center"/>
            </w:pPr>
            <w:r>
              <w:rPr>
                <w:rFonts w:hint="eastAsia"/>
              </w:rPr>
              <w:t>信息科学</w:t>
            </w:r>
          </w:p>
        </w:tc>
      </w:tr>
      <w:tr w14:paraId="3752A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50D4E3A8">
            <w:pPr>
              <w:jc w:val="center"/>
              <w:rPr>
                <w:b/>
                <w:szCs w:val="21"/>
              </w:rPr>
            </w:pPr>
          </w:p>
        </w:tc>
        <w:tc>
          <w:tcPr>
            <w:tcW w:w="1923" w:type="dxa"/>
            <w:vAlign w:val="center"/>
          </w:tcPr>
          <w:p w14:paraId="122E8823">
            <w:pPr>
              <w:wordWrap w:val="0"/>
              <w:jc w:val="center"/>
            </w:pPr>
            <w:r>
              <w:rPr>
                <w:rFonts w:hint="eastAsia"/>
              </w:rPr>
              <w:t>报审亚学科组</w:t>
            </w:r>
          </w:p>
        </w:tc>
        <w:tc>
          <w:tcPr>
            <w:tcW w:w="6736" w:type="dxa"/>
            <w:gridSpan w:val="4"/>
            <w:vAlign w:val="center"/>
          </w:tcPr>
          <w:p w14:paraId="1E2973F8">
            <w:pPr>
              <w:ind w:right="420"/>
              <w:jc w:val="center"/>
            </w:pPr>
            <w:r>
              <w:rPr>
                <w:rFonts w:hint="eastAsia"/>
              </w:rPr>
              <w:t>人工智能</w:t>
            </w:r>
          </w:p>
        </w:tc>
      </w:tr>
      <w:tr w14:paraId="2F98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5" w:hRule="atLeast"/>
        </w:trPr>
        <w:tc>
          <w:tcPr>
            <w:tcW w:w="697" w:type="dxa"/>
            <w:vMerge w:val="continue"/>
            <w:shd w:val="clear" w:color="auto" w:fill="FFFFFF"/>
          </w:tcPr>
          <w:p w14:paraId="7A0FD4BB">
            <w:pPr>
              <w:jc w:val="center"/>
              <w:rPr>
                <w:b/>
                <w:szCs w:val="21"/>
              </w:rPr>
            </w:pPr>
          </w:p>
        </w:tc>
        <w:tc>
          <w:tcPr>
            <w:tcW w:w="1923" w:type="dxa"/>
            <w:vAlign w:val="center"/>
          </w:tcPr>
          <w:p w14:paraId="4C610C4F">
            <w:pPr>
              <w:wordWrap w:val="0"/>
              <w:jc w:val="center"/>
            </w:pPr>
            <w:r>
              <w:rPr>
                <w:rFonts w:hint="eastAsia"/>
              </w:rPr>
              <w:t>所属领域</w:t>
            </w:r>
          </w:p>
        </w:tc>
        <w:tc>
          <w:tcPr>
            <w:tcW w:w="6736" w:type="dxa"/>
            <w:gridSpan w:val="4"/>
            <w:vAlign w:val="center"/>
          </w:tcPr>
          <w:p w14:paraId="42220EA3">
            <w:pPr>
              <w:ind w:right="420"/>
              <w:jc w:val="center"/>
            </w:pPr>
            <w:r>
              <w:rPr>
                <w:rFonts w:hint="eastAsia"/>
              </w:rPr>
              <w:t>若干学科交叉融合领域</w:t>
            </w:r>
          </w:p>
        </w:tc>
      </w:tr>
      <w:tr w14:paraId="1312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027BDC2B">
            <w:pPr>
              <w:jc w:val="center"/>
              <w:rPr>
                <w:b/>
                <w:szCs w:val="21"/>
              </w:rPr>
            </w:pPr>
          </w:p>
        </w:tc>
        <w:tc>
          <w:tcPr>
            <w:tcW w:w="1923" w:type="dxa"/>
            <w:vAlign w:val="center"/>
          </w:tcPr>
          <w:p w14:paraId="64BA0FF9">
            <w:pPr>
              <w:wordWrap w:val="0"/>
              <w:jc w:val="center"/>
            </w:pPr>
            <w:r>
              <w:rPr>
                <w:rFonts w:hint="eastAsia"/>
              </w:rPr>
              <w:t>备注</w:t>
            </w:r>
          </w:p>
        </w:tc>
        <w:tc>
          <w:tcPr>
            <w:tcW w:w="6736" w:type="dxa"/>
            <w:gridSpan w:val="4"/>
            <w:vAlign w:val="center"/>
          </w:tcPr>
          <w:p w14:paraId="51039FB2">
            <w:pPr>
              <w:ind w:right="420"/>
              <w:jc w:val="center"/>
            </w:pPr>
            <w:r>
              <w:rPr>
                <w:rFonts w:hint="eastAsia"/>
              </w:rPr>
              <w:t>包干制</w:t>
            </w:r>
          </w:p>
        </w:tc>
      </w:tr>
      <w:tr w14:paraId="6AA1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restart"/>
            <w:shd w:val="clear" w:color="auto" w:fill="FFFFFF"/>
            <w:vAlign w:val="center"/>
          </w:tcPr>
          <w:p w14:paraId="40BFDE58">
            <w:pPr>
              <w:jc w:val="center"/>
              <w:rPr>
                <w:b/>
                <w:szCs w:val="21"/>
              </w:rPr>
            </w:pPr>
            <w:r>
              <w:rPr>
                <w:rFonts w:hint="eastAsia"/>
                <w:b/>
                <w:szCs w:val="21"/>
              </w:rPr>
              <w:t>研 究 内 容</w:t>
            </w:r>
          </w:p>
        </w:tc>
        <w:tc>
          <w:tcPr>
            <w:tcW w:w="1923" w:type="dxa"/>
            <w:vMerge w:val="restart"/>
            <w:shd w:val="clear" w:color="auto" w:fill="FFFFFF"/>
            <w:vAlign w:val="center"/>
          </w:tcPr>
          <w:p w14:paraId="1BC1B102">
            <w:pPr>
              <w:wordWrap w:val="0"/>
              <w:jc w:val="center"/>
            </w:pPr>
            <w:r>
              <w:t>关键词</w:t>
            </w:r>
          </w:p>
          <w:p w14:paraId="70B067CD">
            <w:pPr>
              <w:wordWrap w:val="0"/>
              <w:jc w:val="center"/>
            </w:pPr>
            <w:r>
              <w:t>（≤5个）</w:t>
            </w:r>
          </w:p>
        </w:tc>
        <w:tc>
          <w:tcPr>
            <w:tcW w:w="1633" w:type="dxa"/>
            <w:vMerge w:val="restart"/>
            <w:vAlign w:val="center"/>
          </w:tcPr>
          <w:p w14:paraId="3A8B07A7">
            <w:pPr>
              <w:wordWrap w:val="0"/>
              <w:jc w:val="center"/>
            </w:pPr>
            <w:r>
              <w:t>中文</w:t>
            </w:r>
          </w:p>
        </w:tc>
        <w:tc>
          <w:tcPr>
            <w:tcW w:w="5103" w:type="dxa"/>
            <w:gridSpan w:val="3"/>
            <w:vAlign w:val="center"/>
          </w:tcPr>
          <w:p w14:paraId="02B165F7">
            <w:pPr>
              <w:wordWrap w:val="0"/>
              <w:jc w:val="center"/>
            </w:pPr>
            <w:r>
              <w:rPr>
                <w:rFonts w:hint="eastAsia"/>
              </w:rPr>
              <w:t>序贯决策</w:t>
            </w:r>
          </w:p>
        </w:tc>
      </w:tr>
      <w:tr w14:paraId="698E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4F245409">
            <w:pPr>
              <w:wordWrap w:val="0"/>
              <w:ind w:left="113" w:right="113"/>
              <w:jc w:val="center"/>
              <w:rPr>
                <w:b/>
                <w:bCs/>
              </w:rPr>
            </w:pPr>
          </w:p>
        </w:tc>
        <w:tc>
          <w:tcPr>
            <w:tcW w:w="1923" w:type="dxa"/>
            <w:vMerge w:val="continue"/>
            <w:shd w:val="clear" w:color="auto" w:fill="FFFFFF"/>
            <w:vAlign w:val="center"/>
          </w:tcPr>
          <w:p w14:paraId="3FB8CD23">
            <w:pPr>
              <w:wordWrap w:val="0"/>
              <w:jc w:val="center"/>
            </w:pPr>
          </w:p>
        </w:tc>
        <w:tc>
          <w:tcPr>
            <w:tcW w:w="1633" w:type="dxa"/>
            <w:vMerge w:val="continue"/>
            <w:vAlign w:val="center"/>
          </w:tcPr>
          <w:p w14:paraId="2FA298D3">
            <w:pPr>
              <w:wordWrap w:val="0"/>
              <w:jc w:val="center"/>
            </w:pPr>
          </w:p>
        </w:tc>
        <w:tc>
          <w:tcPr>
            <w:tcW w:w="5103" w:type="dxa"/>
            <w:gridSpan w:val="3"/>
            <w:vAlign w:val="center"/>
          </w:tcPr>
          <w:p w14:paraId="0BCD99B7">
            <w:pPr>
              <w:wordWrap w:val="0"/>
              <w:jc w:val="center"/>
            </w:pPr>
            <w:r>
              <w:t>扩展式博弈</w:t>
            </w:r>
          </w:p>
        </w:tc>
      </w:tr>
      <w:tr w14:paraId="6321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2605670B">
            <w:pPr>
              <w:wordWrap w:val="0"/>
              <w:ind w:left="113" w:right="113"/>
              <w:jc w:val="center"/>
              <w:rPr>
                <w:b/>
                <w:bCs/>
              </w:rPr>
            </w:pPr>
          </w:p>
        </w:tc>
        <w:tc>
          <w:tcPr>
            <w:tcW w:w="1923" w:type="dxa"/>
            <w:vMerge w:val="continue"/>
            <w:shd w:val="clear" w:color="auto" w:fill="FFFFFF"/>
            <w:vAlign w:val="center"/>
          </w:tcPr>
          <w:p w14:paraId="384EE06C">
            <w:pPr>
              <w:wordWrap w:val="0"/>
              <w:jc w:val="center"/>
            </w:pPr>
          </w:p>
        </w:tc>
        <w:tc>
          <w:tcPr>
            <w:tcW w:w="1633" w:type="dxa"/>
            <w:vMerge w:val="continue"/>
            <w:vAlign w:val="center"/>
          </w:tcPr>
          <w:p w14:paraId="45045764">
            <w:pPr>
              <w:wordWrap w:val="0"/>
              <w:jc w:val="center"/>
            </w:pPr>
          </w:p>
        </w:tc>
        <w:tc>
          <w:tcPr>
            <w:tcW w:w="5103" w:type="dxa"/>
            <w:gridSpan w:val="3"/>
            <w:vAlign w:val="center"/>
          </w:tcPr>
          <w:p w14:paraId="52996E18">
            <w:pPr>
              <w:wordWrap w:val="0"/>
              <w:jc w:val="center"/>
            </w:pPr>
            <w:r>
              <w:rPr>
                <w:rFonts w:hint="eastAsia"/>
              </w:rPr>
              <w:t>多智能体协同</w:t>
            </w:r>
          </w:p>
        </w:tc>
      </w:tr>
      <w:tr w14:paraId="41C6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15A9311F">
            <w:pPr>
              <w:wordWrap w:val="0"/>
              <w:ind w:left="113" w:right="113"/>
              <w:jc w:val="center"/>
              <w:rPr>
                <w:b/>
                <w:bCs/>
              </w:rPr>
            </w:pPr>
          </w:p>
        </w:tc>
        <w:tc>
          <w:tcPr>
            <w:tcW w:w="1923" w:type="dxa"/>
            <w:vMerge w:val="continue"/>
            <w:shd w:val="clear" w:color="auto" w:fill="FFFFFF"/>
            <w:vAlign w:val="center"/>
          </w:tcPr>
          <w:p w14:paraId="16CE3121">
            <w:pPr>
              <w:wordWrap w:val="0"/>
              <w:jc w:val="center"/>
            </w:pPr>
          </w:p>
        </w:tc>
        <w:tc>
          <w:tcPr>
            <w:tcW w:w="1633" w:type="dxa"/>
            <w:vMerge w:val="continue"/>
            <w:vAlign w:val="center"/>
          </w:tcPr>
          <w:p w14:paraId="7F3F81AC">
            <w:pPr>
              <w:wordWrap w:val="0"/>
              <w:jc w:val="center"/>
            </w:pPr>
          </w:p>
        </w:tc>
        <w:tc>
          <w:tcPr>
            <w:tcW w:w="5103" w:type="dxa"/>
            <w:gridSpan w:val="3"/>
            <w:vAlign w:val="center"/>
          </w:tcPr>
          <w:p w14:paraId="425E96A6">
            <w:pPr>
              <w:wordWrap w:val="0"/>
              <w:jc w:val="center"/>
            </w:pPr>
            <w:r>
              <w:rPr>
                <w:rFonts w:hint="eastAsia"/>
              </w:rPr>
              <w:t>模拟法庭</w:t>
            </w:r>
          </w:p>
        </w:tc>
      </w:tr>
      <w:tr w14:paraId="6514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6D72E8F4">
            <w:pPr>
              <w:wordWrap w:val="0"/>
              <w:ind w:left="113" w:right="113"/>
              <w:jc w:val="center"/>
              <w:rPr>
                <w:b/>
                <w:bCs/>
              </w:rPr>
            </w:pPr>
          </w:p>
        </w:tc>
        <w:tc>
          <w:tcPr>
            <w:tcW w:w="1923" w:type="dxa"/>
            <w:vMerge w:val="continue"/>
            <w:shd w:val="clear" w:color="auto" w:fill="FFFFFF"/>
            <w:vAlign w:val="center"/>
          </w:tcPr>
          <w:p w14:paraId="6C5FD4A5">
            <w:pPr>
              <w:wordWrap w:val="0"/>
              <w:jc w:val="center"/>
            </w:pPr>
          </w:p>
        </w:tc>
        <w:tc>
          <w:tcPr>
            <w:tcW w:w="1633" w:type="dxa"/>
            <w:vMerge w:val="continue"/>
            <w:vAlign w:val="center"/>
          </w:tcPr>
          <w:p w14:paraId="336DAF75">
            <w:pPr>
              <w:wordWrap w:val="0"/>
              <w:jc w:val="center"/>
            </w:pPr>
          </w:p>
        </w:tc>
        <w:tc>
          <w:tcPr>
            <w:tcW w:w="5103" w:type="dxa"/>
            <w:gridSpan w:val="3"/>
            <w:vAlign w:val="center"/>
          </w:tcPr>
          <w:p w14:paraId="11F0FC8A">
            <w:pPr>
              <w:wordWrap w:val="0"/>
              <w:jc w:val="center"/>
            </w:pPr>
            <w:r>
              <w:rPr>
                <w:rFonts w:hint="eastAsia"/>
              </w:rPr>
              <w:t>演化稳定策略</w:t>
            </w:r>
          </w:p>
        </w:tc>
      </w:tr>
      <w:tr w14:paraId="7232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7036DC78">
            <w:pPr>
              <w:wordWrap w:val="0"/>
              <w:ind w:left="113" w:right="113"/>
              <w:jc w:val="center"/>
              <w:rPr>
                <w:b/>
                <w:bCs/>
              </w:rPr>
            </w:pPr>
          </w:p>
        </w:tc>
        <w:tc>
          <w:tcPr>
            <w:tcW w:w="1923" w:type="dxa"/>
            <w:vMerge w:val="continue"/>
            <w:shd w:val="clear" w:color="auto" w:fill="FFFFFF"/>
            <w:vAlign w:val="center"/>
          </w:tcPr>
          <w:p w14:paraId="03B4D9CA">
            <w:pPr>
              <w:wordWrap w:val="0"/>
              <w:jc w:val="center"/>
            </w:pPr>
          </w:p>
        </w:tc>
        <w:tc>
          <w:tcPr>
            <w:tcW w:w="1633" w:type="dxa"/>
            <w:vMerge w:val="restart"/>
            <w:vAlign w:val="center"/>
          </w:tcPr>
          <w:p w14:paraId="4C13C6F7">
            <w:pPr>
              <w:wordWrap w:val="0"/>
              <w:jc w:val="center"/>
            </w:pPr>
            <w:r>
              <w:t>英文</w:t>
            </w:r>
          </w:p>
        </w:tc>
        <w:tc>
          <w:tcPr>
            <w:tcW w:w="5103" w:type="dxa"/>
            <w:gridSpan w:val="3"/>
            <w:vAlign w:val="center"/>
          </w:tcPr>
          <w:p w14:paraId="2DC4CE7E">
            <w:pPr>
              <w:wordWrap w:val="0"/>
              <w:jc w:val="center"/>
            </w:pPr>
            <w:r>
              <w:rPr>
                <w:rFonts w:hint="eastAsia"/>
              </w:rPr>
              <w:t>Sequential Decision-Making</w:t>
            </w:r>
          </w:p>
        </w:tc>
      </w:tr>
      <w:tr w14:paraId="6474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1" w:hRule="atLeast"/>
        </w:trPr>
        <w:tc>
          <w:tcPr>
            <w:tcW w:w="697" w:type="dxa"/>
            <w:vMerge w:val="continue"/>
            <w:shd w:val="clear" w:color="auto" w:fill="FFFFFF"/>
          </w:tcPr>
          <w:p w14:paraId="184B4E3F">
            <w:pPr>
              <w:wordWrap w:val="0"/>
            </w:pPr>
          </w:p>
        </w:tc>
        <w:tc>
          <w:tcPr>
            <w:tcW w:w="1923" w:type="dxa"/>
            <w:vMerge w:val="continue"/>
            <w:shd w:val="clear" w:color="auto" w:fill="FFFFFF"/>
            <w:vAlign w:val="center"/>
          </w:tcPr>
          <w:p w14:paraId="1C057D5D">
            <w:pPr>
              <w:wordWrap w:val="0"/>
              <w:jc w:val="center"/>
            </w:pPr>
          </w:p>
        </w:tc>
        <w:tc>
          <w:tcPr>
            <w:tcW w:w="1633" w:type="dxa"/>
            <w:vMerge w:val="continue"/>
          </w:tcPr>
          <w:p w14:paraId="19A70E49">
            <w:pPr>
              <w:wordWrap w:val="0"/>
            </w:pPr>
          </w:p>
        </w:tc>
        <w:tc>
          <w:tcPr>
            <w:tcW w:w="5103" w:type="dxa"/>
            <w:gridSpan w:val="3"/>
            <w:vAlign w:val="center"/>
          </w:tcPr>
          <w:p w14:paraId="38DBD485">
            <w:pPr>
              <w:wordWrap w:val="0"/>
              <w:jc w:val="center"/>
            </w:pPr>
            <w:r>
              <w:rPr>
                <w:rFonts w:hint="eastAsia"/>
              </w:rPr>
              <w:t>Extensive-Form Game</w:t>
            </w:r>
          </w:p>
        </w:tc>
      </w:tr>
      <w:tr w14:paraId="2523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9" w:hRule="atLeast"/>
        </w:trPr>
        <w:tc>
          <w:tcPr>
            <w:tcW w:w="697" w:type="dxa"/>
            <w:vMerge w:val="continue"/>
            <w:shd w:val="clear" w:color="auto" w:fill="FFFFFF"/>
          </w:tcPr>
          <w:p w14:paraId="704A4661">
            <w:pPr>
              <w:wordWrap w:val="0"/>
            </w:pPr>
          </w:p>
        </w:tc>
        <w:tc>
          <w:tcPr>
            <w:tcW w:w="1923" w:type="dxa"/>
            <w:vMerge w:val="continue"/>
            <w:shd w:val="clear" w:color="auto" w:fill="FFFFFF"/>
            <w:vAlign w:val="center"/>
          </w:tcPr>
          <w:p w14:paraId="6C7AFD5C">
            <w:pPr>
              <w:wordWrap w:val="0"/>
              <w:jc w:val="center"/>
            </w:pPr>
          </w:p>
        </w:tc>
        <w:tc>
          <w:tcPr>
            <w:tcW w:w="1633" w:type="dxa"/>
            <w:vMerge w:val="continue"/>
          </w:tcPr>
          <w:p w14:paraId="455691A8">
            <w:pPr>
              <w:wordWrap w:val="0"/>
            </w:pPr>
          </w:p>
        </w:tc>
        <w:tc>
          <w:tcPr>
            <w:tcW w:w="5103" w:type="dxa"/>
            <w:gridSpan w:val="3"/>
            <w:vAlign w:val="center"/>
          </w:tcPr>
          <w:p w14:paraId="251EAEC7">
            <w:pPr>
              <w:wordWrap w:val="0"/>
              <w:jc w:val="center"/>
            </w:pPr>
            <w:r>
              <w:rPr>
                <w:rFonts w:hint="eastAsia"/>
              </w:rPr>
              <w:t>Multi-Agent Collaboration</w:t>
            </w:r>
          </w:p>
        </w:tc>
      </w:tr>
      <w:tr w14:paraId="334F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rPr>
        <w:tc>
          <w:tcPr>
            <w:tcW w:w="697" w:type="dxa"/>
            <w:vMerge w:val="continue"/>
            <w:shd w:val="clear" w:color="auto" w:fill="FFFFFF"/>
          </w:tcPr>
          <w:p w14:paraId="69684965">
            <w:pPr>
              <w:wordWrap w:val="0"/>
            </w:pPr>
          </w:p>
        </w:tc>
        <w:tc>
          <w:tcPr>
            <w:tcW w:w="1923" w:type="dxa"/>
            <w:vMerge w:val="continue"/>
            <w:shd w:val="clear" w:color="auto" w:fill="FFFFFF"/>
            <w:vAlign w:val="center"/>
          </w:tcPr>
          <w:p w14:paraId="60D4A92A">
            <w:pPr>
              <w:wordWrap w:val="0"/>
              <w:jc w:val="center"/>
            </w:pPr>
          </w:p>
        </w:tc>
        <w:tc>
          <w:tcPr>
            <w:tcW w:w="1633" w:type="dxa"/>
            <w:vMerge w:val="continue"/>
          </w:tcPr>
          <w:p w14:paraId="596AABAA">
            <w:pPr>
              <w:wordWrap w:val="0"/>
            </w:pPr>
          </w:p>
        </w:tc>
        <w:tc>
          <w:tcPr>
            <w:tcW w:w="5103" w:type="dxa"/>
            <w:gridSpan w:val="3"/>
            <w:vAlign w:val="center"/>
          </w:tcPr>
          <w:p w14:paraId="6C4878D0">
            <w:pPr>
              <w:wordWrap w:val="0"/>
              <w:jc w:val="center"/>
            </w:pPr>
            <w:r>
              <w:rPr>
                <w:rFonts w:hint="eastAsia"/>
              </w:rPr>
              <w:t xml:space="preserve">Simulated Courtroom </w:t>
            </w:r>
          </w:p>
        </w:tc>
      </w:tr>
      <w:tr w14:paraId="7FDA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trPr>
        <w:tc>
          <w:tcPr>
            <w:tcW w:w="697" w:type="dxa"/>
            <w:vMerge w:val="continue"/>
            <w:shd w:val="clear" w:color="auto" w:fill="FFFFFF"/>
          </w:tcPr>
          <w:p w14:paraId="154CD101">
            <w:pPr>
              <w:wordWrap w:val="0"/>
            </w:pPr>
          </w:p>
        </w:tc>
        <w:tc>
          <w:tcPr>
            <w:tcW w:w="1923" w:type="dxa"/>
            <w:vMerge w:val="continue"/>
            <w:shd w:val="clear" w:color="auto" w:fill="FFFFFF"/>
            <w:vAlign w:val="center"/>
          </w:tcPr>
          <w:p w14:paraId="3EFAE14A">
            <w:pPr>
              <w:wordWrap w:val="0"/>
              <w:jc w:val="center"/>
            </w:pPr>
          </w:p>
        </w:tc>
        <w:tc>
          <w:tcPr>
            <w:tcW w:w="1633" w:type="dxa"/>
            <w:vMerge w:val="continue"/>
          </w:tcPr>
          <w:p w14:paraId="39A1AA20">
            <w:pPr>
              <w:wordWrap w:val="0"/>
            </w:pPr>
          </w:p>
        </w:tc>
        <w:tc>
          <w:tcPr>
            <w:tcW w:w="5103" w:type="dxa"/>
            <w:gridSpan w:val="3"/>
            <w:vAlign w:val="center"/>
          </w:tcPr>
          <w:p w14:paraId="0A086A17">
            <w:pPr>
              <w:wordWrap w:val="0"/>
              <w:jc w:val="center"/>
            </w:pPr>
            <w:r>
              <w:rPr>
                <w:rFonts w:hint="eastAsia"/>
              </w:rPr>
              <w:t>Evolutionarily Stable Strategy</w:t>
            </w:r>
          </w:p>
        </w:tc>
      </w:tr>
      <w:tr w14:paraId="66D1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0" w:hRule="atLeast"/>
        </w:trPr>
        <w:tc>
          <w:tcPr>
            <w:tcW w:w="697" w:type="dxa"/>
            <w:vMerge w:val="continue"/>
            <w:shd w:val="clear" w:color="auto" w:fill="FFFFFF"/>
          </w:tcPr>
          <w:p w14:paraId="033A1E7C">
            <w:pPr>
              <w:wordWrap w:val="0"/>
            </w:pPr>
          </w:p>
        </w:tc>
        <w:tc>
          <w:tcPr>
            <w:tcW w:w="1923" w:type="dxa"/>
            <w:shd w:val="clear" w:color="auto" w:fill="FFFFFF"/>
            <w:vAlign w:val="center"/>
          </w:tcPr>
          <w:p w14:paraId="67B03005">
            <w:pPr>
              <w:wordWrap w:val="0"/>
              <w:jc w:val="center"/>
            </w:pPr>
            <w:r>
              <w:t>摘要</w:t>
            </w:r>
          </w:p>
          <w:p w14:paraId="6D2F19C4">
            <w:pPr>
              <w:wordWrap w:val="0"/>
              <w:jc w:val="center"/>
            </w:pPr>
            <w:r>
              <w:t>（限400字）</w:t>
            </w:r>
          </w:p>
        </w:tc>
        <w:tc>
          <w:tcPr>
            <w:tcW w:w="6736" w:type="dxa"/>
            <w:gridSpan w:val="4"/>
          </w:tcPr>
          <w:p w14:paraId="42FC5EE7">
            <w:pPr>
              <w:wordWrap w:val="0"/>
              <w:ind w:firstLine="420" w:firstLineChars="200"/>
            </w:pPr>
            <w:r>
              <w:rPr>
                <w:rFonts w:hint="eastAsia"/>
              </w:rPr>
              <w:t>针对现有法律AI系统在模拟民事诉讼时忽略序贯决策结构、策略预测精度不足的问题，本研究提出了一种基于扩展式博弈建模的多智能体协同模拟法庭系统。研究将起诉与答辩过程形式化为两阶段序贯博弈，通过反向归纳法求解子博弈精炼纳什均衡，以捕捉策略跨阶段的传导效应。系统构建了包含起诉律师、答辩律师、审判长与当事人模拟器的四角色协同管道，并引入渐进式法条检索增强模块保障程序合规。在实验层面，基于真实裁判文书重构了起诉、答辩、庭审三场景结构化数据集，并设计了策略理性度与均衡趋近率两项规则性评测指标。通过构建经验收益矩阵及双路校验机制，本研究在个体层面验证了序贯建模相对于静态纳什均衡的预测精度优势，在群体层面借助复制者动态方程检验了序贯均衡的演化稳定性。研究旨在为法律AI领域提供一种融合博弈论机制的策略预测方法，并为法学教育及诉讼策略分析提供开源计算实验平台。</w:t>
            </w:r>
          </w:p>
        </w:tc>
      </w:tr>
      <w:tr w14:paraId="75F3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8" w:hRule="atLeast"/>
        </w:trPr>
        <w:tc>
          <w:tcPr>
            <w:tcW w:w="2620" w:type="dxa"/>
            <w:gridSpan w:val="2"/>
            <w:shd w:val="clear" w:color="auto" w:fill="FFFFFF"/>
            <w:vAlign w:val="center"/>
          </w:tcPr>
          <w:p w14:paraId="10A403EA">
            <w:pPr>
              <w:wordWrap w:val="0"/>
              <w:jc w:val="center"/>
            </w:pPr>
            <w:r>
              <w:rPr>
                <w:rFonts w:hint="eastAsia"/>
              </w:rPr>
              <w:t>是否依托研究平台</w:t>
            </w:r>
          </w:p>
        </w:tc>
        <w:tc>
          <w:tcPr>
            <w:tcW w:w="6736" w:type="dxa"/>
            <w:gridSpan w:val="4"/>
            <w:vAlign w:val="center"/>
          </w:tcPr>
          <w:p w14:paraId="7F36D76F">
            <w:pPr>
              <w:wordWrap w:val="0"/>
              <w:jc w:val="center"/>
            </w:pPr>
            <w:r>
              <w:rPr>
                <w:rFonts w:hint="eastAsia"/>
              </w:rPr>
              <w:t>☑是 名称：</w:t>
            </w:r>
            <w:r>
              <w:rPr>
                <w:rFonts w:hint="eastAsia"/>
                <w:u w:val="single"/>
              </w:rPr>
              <w:t xml:space="preserve">  智能科技风险法律防控工信部重点实验室      </w:t>
            </w:r>
            <w:r>
              <w:rPr>
                <w:rFonts w:hint="eastAsia"/>
              </w:rPr>
              <w:t xml:space="preserve">   □否</w:t>
            </w:r>
          </w:p>
        </w:tc>
      </w:tr>
    </w:tbl>
    <w:p w14:paraId="229B1724">
      <w:pPr>
        <w:wordWrap w:val="0"/>
        <w:sectPr>
          <w:footerReference r:id="rId7" w:type="first"/>
          <w:footerReference r:id="rId5" w:type="default"/>
          <w:footerReference r:id="rId6" w:type="even"/>
          <w:pgSz w:w="11907" w:h="16840"/>
          <w:pgMar w:top="964" w:right="1134" w:bottom="964" w:left="1418" w:header="851" w:footer="737" w:gutter="0"/>
          <w:pgNumType w:fmt="numberInDash" w:start="1"/>
          <w:cols w:space="720" w:num="1"/>
          <w:docGrid w:linePitch="286" w:charSpace="0"/>
        </w:sectPr>
      </w:pPr>
    </w:p>
    <w:p w14:paraId="32D37A26">
      <w:pPr>
        <w:wordWrap w:val="0"/>
        <w:spacing w:line="360" w:lineRule="auto"/>
        <w:outlineLvl w:val="0"/>
        <w:rPr>
          <w:rFonts w:eastAsia="黑体"/>
          <w:b/>
          <w:sz w:val="32"/>
        </w:rPr>
      </w:pPr>
      <w:r>
        <w:rPr>
          <w:rFonts w:eastAsia="黑体"/>
          <w:b/>
          <w:sz w:val="32"/>
        </w:rPr>
        <w:t>二、研究项目组主要成员概况 （含申请者</w:t>
      </w:r>
      <w:r>
        <w:rPr>
          <w:rFonts w:hint="eastAsia" w:eastAsia="黑体"/>
          <w:b/>
          <w:sz w:val="32"/>
        </w:rPr>
        <w:t>和项目导师</w:t>
      </w:r>
      <w:r>
        <w:rPr>
          <w:rFonts w:eastAsia="黑体"/>
          <w:b/>
          <w:sz w:val="32"/>
        </w:rPr>
        <w:t>）</w:t>
      </w:r>
    </w:p>
    <w:p w14:paraId="7601D4E0">
      <w:pPr>
        <w:spacing w:line="360" w:lineRule="auto"/>
        <w:outlineLvl w:val="0"/>
        <w:rPr>
          <w:rFonts w:eastAsia="黑体"/>
          <w:b/>
          <w:sz w:val="32"/>
        </w:rPr>
      </w:pPr>
      <w:r>
        <w:rPr>
          <w:rFonts w:hint="eastAsia" w:ascii="宋体" w:hAnsi="宋体"/>
          <w:sz w:val="32"/>
          <w:szCs w:val="32"/>
        </w:rPr>
        <w:t>（一）</w:t>
      </w:r>
      <w:r>
        <w:rPr>
          <w:rFonts w:hint="eastAsia" w:ascii="宋体" w:hAnsi="宋体"/>
          <w:color w:val="000000"/>
          <w:sz w:val="32"/>
          <w:szCs w:val="32"/>
        </w:rPr>
        <w:t>项目导师</w:t>
      </w:r>
      <w:r>
        <w:rPr>
          <w:rFonts w:hint="eastAsia" w:ascii="宋体" w:hAnsi="宋体"/>
          <w:color w:val="FF0000"/>
          <w:sz w:val="32"/>
          <w:szCs w:val="32"/>
        </w:rPr>
        <w:t>（限填1人）</w:t>
      </w:r>
    </w:p>
    <w:tbl>
      <w:tblPr>
        <w:tblStyle w:val="13"/>
        <w:tblW w:w="1432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575"/>
        <w:gridCol w:w="1276"/>
        <w:gridCol w:w="1701"/>
        <w:gridCol w:w="992"/>
        <w:gridCol w:w="993"/>
        <w:gridCol w:w="2126"/>
        <w:gridCol w:w="1559"/>
        <w:gridCol w:w="851"/>
        <w:gridCol w:w="2693"/>
        <w:gridCol w:w="1559"/>
      </w:tblGrid>
      <w:tr w14:paraId="7BE1DC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3F5083BF">
            <w:pPr>
              <w:wordWrap w:val="0"/>
              <w:adjustRightInd/>
              <w:spacing w:line="240" w:lineRule="auto"/>
              <w:jc w:val="center"/>
              <w:rPr>
                <w:szCs w:val="21"/>
              </w:rPr>
            </w:pPr>
            <w:r>
              <w:rPr>
                <w:szCs w:val="21"/>
              </w:rPr>
              <w:t>序号</w:t>
            </w:r>
          </w:p>
        </w:tc>
        <w:tc>
          <w:tcPr>
            <w:tcW w:w="1276" w:type="dxa"/>
            <w:vAlign w:val="center"/>
          </w:tcPr>
          <w:p w14:paraId="0EDAFF4C">
            <w:pPr>
              <w:wordWrap w:val="0"/>
              <w:adjustRightInd/>
              <w:spacing w:line="240" w:lineRule="auto"/>
              <w:jc w:val="center"/>
              <w:rPr>
                <w:szCs w:val="21"/>
              </w:rPr>
            </w:pPr>
            <w:r>
              <w:rPr>
                <w:szCs w:val="21"/>
              </w:rPr>
              <w:t>姓名</w:t>
            </w:r>
          </w:p>
        </w:tc>
        <w:tc>
          <w:tcPr>
            <w:tcW w:w="1701" w:type="dxa"/>
            <w:vAlign w:val="center"/>
          </w:tcPr>
          <w:p w14:paraId="0280AFF9">
            <w:pPr>
              <w:wordWrap w:val="0"/>
              <w:adjustRightInd/>
              <w:spacing w:line="240" w:lineRule="auto"/>
              <w:jc w:val="center"/>
              <w:rPr>
                <w:szCs w:val="21"/>
              </w:rPr>
            </w:pPr>
            <w:r>
              <w:rPr>
                <w:szCs w:val="21"/>
              </w:rPr>
              <w:t>出生</w:t>
            </w:r>
            <w:r>
              <w:rPr>
                <w:rFonts w:hint="eastAsia"/>
                <w:szCs w:val="21"/>
              </w:rPr>
              <w:t>日期</w:t>
            </w:r>
          </w:p>
        </w:tc>
        <w:tc>
          <w:tcPr>
            <w:tcW w:w="992" w:type="dxa"/>
            <w:vAlign w:val="center"/>
          </w:tcPr>
          <w:p w14:paraId="1DEBA120">
            <w:pPr>
              <w:wordWrap w:val="0"/>
              <w:adjustRightInd/>
              <w:spacing w:line="240" w:lineRule="auto"/>
              <w:jc w:val="center"/>
              <w:rPr>
                <w:szCs w:val="21"/>
              </w:rPr>
            </w:pPr>
            <w:r>
              <w:t>专业技术</w:t>
            </w:r>
            <w:r>
              <w:rPr>
                <w:rFonts w:hint="eastAsia"/>
              </w:rPr>
              <w:t>职务（</w:t>
            </w:r>
            <w:r>
              <w:t>职称</w:t>
            </w:r>
            <w:r>
              <w:rPr>
                <w:rFonts w:hint="eastAsia"/>
              </w:rPr>
              <w:t>）</w:t>
            </w:r>
          </w:p>
        </w:tc>
        <w:tc>
          <w:tcPr>
            <w:tcW w:w="993" w:type="dxa"/>
            <w:vAlign w:val="center"/>
          </w:tcPr>
          <w:p w14:paraId="73910EE8">
            <w:pPr>
              <w:wordWrap w:val="0"/>
              <w:adjustRightInd/>
              <w:spacing w:line="240" w:lineRule="auto"/>
              <w:jc w:val="center"/>
              <w:rPr>
                <w:szCs w:val="21"/>
              </w:rPr>
            </w:pPr>
            <w:r>
              <w:rPr>
                <w:szCs w:val="21"/>
              </w:rPr>
              <w:t>最高</w:t>
            </w:r>
          </w:p>
          <w:p w14:paraId="1EF5D9A9">
            <w:pPr>
              <w:wordWrap w:val="0"/>
              <w:adjustRightInd/>
              <w:spacing w:line="240" w:lineRule="auto"/>
              <w:jc w:val="center"/>
              <w:rPr>
                <w:szCs w:val="21"/>
              </w:rPr>
            </w:pPr>
            <w:r>
              <w:rPr>
                <w:szCs w:val="21"/>
              </w:rPr>
              <w:t>学位</w:t>
            </w:r>
          </w:p>
        </w:tc>
        <w:tc>
          <w:tcPr>
            <w:tcW w:w="2126" w:type="dxa"/>
            <w:vAlign w:val="center"/>
          </w:tcPr>
          <w:p w14:paraId="58ABFA24">
            <w:pPr>
              <w:wordWrap w:val="0"/>
              <w:adjustRightInd/>
              <w:spacing w:line="240" w:lineRule="auto"/>
              <w:jc w:val="center"/>
              <w:rPr>
                <w:szCs w:val="21"/>
              </w:rPr>
            </w:pPr>
            <w:r>
              <w:rPr>
                <w:szCs w:val="21"/>
              </w:rPr>
              <w:t>专业</w:t>
            </w:r>
          </w:p>
        </w:tc>
        <w:tc>
          <w:tcPr>
            <w:tcW w:w="1559" w:type="dxa"/>
            <w:vAlign w:val="center"/>
          </w:tcPr>
          <w:p w14:paraId="58A8176F">
            <w:pPr>
              <w:wordWrap w:val="0"/>
              <w:adjustRightInd/>
              <w:spacing w:line="240" w:lineRule="auto"/>
              <w:jc w:val="center"/>
              <w:rPr>
                <w:szCs w:val="21"/>
              </w:rPr>
            </w:pPr>
            <w:r>
              <w:rPr>
                <w:szCs w:val="21"/>
              </w:rPr>
              <w:t>项目分工</w:t>
            </w:r>
          </w:p>
        </w:tc>
        <w:tc>
          <w:tcPr>
            <w:tcW w:w="851" w:type="dxa"/>
            <w:vAlign w:val="center"/>
          </w:tcPr>
          <w:p w14:paraId="4397EDCB">
            <w:pPr>
              <w:wordWrap w:val="0"/>
              <w:adjustRightInd/>
              <w:spacing w:line="240" w:lineRule="auto"/>
              <w:jc w:val="center"/>
              <w:rPr>
                <w:szCs w:val="21"/>
              </w:rPr>
            </w:pPr>
            <w:r>
              <w:rPr>
                <w:rFonts w:hint="eastAsia"/>
                <w:szCs w:val="21"/>
              </w:rPr>
              <w:t>年</w:t>
            </w:r>
            <w:r>
              <w:rPr>
                <w:szCs w:val="21"/>
              </w:rPr>
              <w:t>工作月数</w:t>
            </w:r>
          </w:p>
        </w:tc>
        <w:tc>
          <w:tcPr>
            <w:tcW w:w="2693" w:type="dxa"/>
            <w:vAlign w:val="center"/>
          </w:tcPr>
          <w:p w14:paraId="368A50E0">
            <w:pPr>
              <w:wordWrap w:val="0"/>
              <w:adjustRightInd/>
              <w:spacing w:line="240" w:lineRule="auto"/>
              <w:jc w:val="center"/>
              <w:rPr>
                <w:szCs w:val="21"/>
              </w:rPr>
            </w:pPr>
            <w:r>
              <w:rPr>
                <w:szCs w:val="21"/>
              </w:rPr>
              <w:t>工作单位</w:t>
            </w:r>
          </w:p>
        </w:tc>
        <w:tc>
          <w:tcPr>
            <w:tcW w:w="1559" w:type="dxa"/>
            <w:vAlign w:val="center"/>
          </w:tcPr>
          <w:p w14:paraId="734D69D4">
            <w:pPr>
              <w:wordWrap w:val="0"/>
              <w:adjustRightInd/>
              <w:spacing w:line="240" w:lineRule="auto"/>
              <w:jc w:val="center"/>
              <w:rPr>
                <w:szCs w:val="21"/>
              </w:rPr>
            </w:pPr>
            <w:r>
              <w:rPr>
                <w:szCs w:val="21"/>
              </w:rPr>
              <w:t>签字</w:t>
            </w:r>
          </w:p>
        </w:tc>
      </w:tr>
      <w:tr w14:paraId="7C7FD5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22DAEF93">
            <w:pPr>
              <w:wordWrap w:val="0"/>
              <w:adjustRightInd/>
              <w:spacing w:line="240" w:lineRule="auto"/>
              <w:jc w:val="center"/>
              <w:rPr>
                <w:rFonts w:hint="eastAsia" w:ascii="宋体" w:hAnsi="宋体"/>
                <w:szCs w:val="21"/>
              </w:rPr>
            </w:pPr>
            <w:r>
              <w:rPr>
                <w:rFonts w:hint="eastAsia" w:ascii="宋体" w:hAnsi="宋体"/>
                <w:b/>
                <w:szCs w:val="21"/>
              </w:rPr>
              <w:t>1</w:t>
            </w:r>
          </w:p>
        </w:tc>
        <w:tc>
          <w:tcPr>
            <w:tcW w:w="1276" w:type="dxa"/>
            <w:vAlign w:val="center"/>
          </w:tcPr>
          <w:p w14:paraId="4425AC73">
            <w:pPr>
              <w:wordWrap w:val="0"/>
              <w:adjustRightInd/>
              <w:spacing w:line="240" w:lineRule="auto"/>
              <w:jc w:val="center"/>
              <w:rPr>
                <w:szCs w:val="21"/>
              </w:rPr>
            </w:pPr>
            <w:r>
              <w:rPr>
                <w:rFonts w:hint="eastAsia"/>
                <w:szCs w:val="21"/>
              </w:rPr>
              <w:t>周振杰</w:t>
            </w:r>
          </w:p>
        </w:tc>
        <w:tc>
          <w:tcPr>
            <w:tcW w:w="1701" w:type="dxa"/>
            <w:vAlign w:val="center"/>
          </w:tcPr>
          <w:p w14:paraId="74558DA4">
            <w:pPr>
              <w:wordWrap w:val="0"/>
              <w:adjustRightInd/>
              <w:spacing w:line="240" w:lineRule="auto"/>
              <w:jc w:val="center"/>
              <w:rPr>
                <w:szCs w:val="21"/>
              </w:rPr>
            </w:pPr>
            <w:r>
              <w:rPr>
                <w:rFonts w:hint="eastAsia"/>
                <w:szCs w:val="21"/>
              </w:rPr>
              <w:t>1976年06月11日</w:t>
            </w:r>
          </w:p>
        </w:tc>
        <w:tc>
          <w:tcPr>
            <w:tcW w:w="992" w:type="dxa"/>
            <w:vAlign w:val="center"/>
          </w:tcPr>
          <w:p w14:paraId="1127D2EE">
            <w:pPr>
              <w:wordWrap w:val="0"/>
              <w:adjustRightInd/>
              <w:spacing w:line="240" w:lineRule="auto"/>
              <w:jc w:val="center"/>
              <w:rPr>
                <w:szCs w:val="21"/>
              </w:rPr>
            </w:pPr>
            <w:r>
              <w:rPr>
                <w:rFonts w:hint="eastAsia"/>
                <w:szCs w:val="21"/>
              </w:rPr>
              <w:t>教授</w:t>
            </w:r>
          </w:p>
        </w:tc>
        <w:tc>
          <w:tcPr>
            <w:tcW w:w="993" w:type="dxa"/>
            <w:vAlign w:val="center"/>
          </w:tcPr>
          <w:p w14:paraId="3FD39BCC">
            <w:pPr>
              <w:wordWrap w:val="0"/>
              <w:adjustRightInd/>
              <w:spacing w:line="240" w:lineRule="auto"/>
              <w:jc w:val="center"/>
              <w:rPr>
                <w:szCs w:val="21"/>
              </w:rPr>
            </w:pPr>
            <w:r>
              <w:rPr>
                <w:rFonts w:hint="eastAsia"/>
                <w:szCs w:val="21"/>
              </w:rPr>
              <w:t>博士</w:t>
            </w:r>
          </w:p>
        </w:tc>
        <w:tc>
          <w:tcPr>
            <w:tcW w:w="2126" w:type="dxa"/>
            <w:vAlign w:val="center"/>
          </w:tcPr>
          <w:p w14:paraId="340CC8D0">
            <w:pPr>
              <w:wordWrap w:val="0"/>
              <w:adjustRightInd/>
              <w:spacing w:line="240" w:lineRule="auto"/>
              <w:jc w:val="center"/>
              <w:rPr>
                <w:szCs w:val="21"/>
              </w:rPr>
            </w:pPr>
            <w:r>
              <w:rPr>
                <w:rFonts w:hint="eastAsia"/>
                <w:szCs w:val="21"/>
              </w:rPr>
              <w:t>法学</w:t>
            </w:r>
          </w:p>
        </w:tc>
        <w:tc>
          <w:tcPr>
            <w:tcW w:w="1559" w:type="dxa"/>
            <w:vAlign w:val="center"/>
          </w:tcPr>
          <w:p w14:paraId="69809606">
            <w:pPr>
              <w:wordWrap w:val="0"/>
              <w:adjustRightInd/>
              <w:spacing w:line="240" w:lineRule="auto"/>
              <w:jc w:val="center"/>
              <w:rPr>
                <w:szCs w:val="21"/>
              </w:rPr>
            </w:pPr>
            <w:r>
              <w:rPr>
                <w:rFonts w:hint="eastAsia"/>
                <w:szCs w:val="21"/>
              </w:rPr>
              <w:t>指导老师</w:t>
            </w:r>
          </w:p>
        </w:tc>
        <w:tc>
          <w:tcPr>
            <w:tcW w:w="851" w:type="dxa"/>
            <w:vAlign w:val="center"/>
          </w:tcPr>
          <w:p w14:paraId="05084272">
            <w:pPr>
              <w:wordWrap w:val="0"/>
              <w:adjustRightInd/>
              <w:spacing w:line="240" w:lineRule="auto"/>
              <w:jc w:val="center"/>
              <w:rPr>
                <w:szCs w:val="21"/>
              </w:rPr>
            </w:pPr>
            <w:r>
              <w:rPr>
                <w:rFonts w:hint="eastAsia"/>
                <w:szCs w:val="21"/>
              </w:rPr>
              <w:t>12个月</w:t>
            </w:r>
          </w:p>
        </w:tc>
        <w:tc>
          <w:tcPr>
            <w:tcW w:w="2693" w:type="dxa"/>
            <w:vAlign w:val="center"/>
          </w:tcPr>
          <w:p w14:paraId="28E9AFDC">
            <w:pPr>
              <w:wordWrap w:val="0"/>
              <w:adjustRightInd/>
              <w:spacing w:line="240" w:lineRule="auto"/>
              <w:jc w:val="center"/>
              <w:rPr>
                <w:szCs w:val="21"/>
              </w:rPr>
            </w:pPr>
            <w:r>
              <w:rPr>
                <w:rFonts w:hint="eastAsia"/>
                <w:szCs w:val="21"/>
              </w:rPr>
              <w:t>北京理工大学</w:t>
            </w:r>
          </w:p>
        </w:tc>
        <w:tc>
          <w:tcPr>
            <w:tcW w:w="1559" w:type="dxa"/>
            <w:vAlign w:val="center"/>
          </w:tcPr>
          <w:p w14:paraId="280C575A">
            <w:pPr>
              <w:wordWrap w:val="0"/>
              <w:adjustRightInd/>
              <w:spacing w:line="240" w:lineRule="auto"/>
              <w:jc w:val="center"/>
              <w:rPr>
                <w:rFonts w:hint="eastAsia" w:ascii="宋体" w:hAnsi="宋体"/>
                <w:spacing w:val="-20"/>
                <w:szCs w:val="21"/>
              </w:rPr>
            </w:pPr>
            <w:r>
              <w:rPr>
                <w:rFonts w:ascii="宋体" w:hAnsi="宋体"/>
                <w:spacing w:val="-20"/>
                <w:szCs w:val="21"/>
              </w:rPr>
              <w:pict>
                <v:shape id="_x0000_i1025" o:spt="75" alt="c8fc6db83e5d0fefd424a98733f53c4" type="#_x0000_t75" style="height:34.75pt;width:77pt;" filled="f" o:preferrelative="t" stroked="f" coordsize="21600,21600">
                  <v:path/>
                  <v:fill on="f" focussize="0,0"/>
                  <v:stroke on="f" joinstyle="miter"/>
                  <v:imagedata r:id="rId9" o:title="c8fc6db83e5d0fefd424a98733f53c4"/>
                  <o:lock v:ext="edit" aspectratio="t"/>
                  <w10:wrap type="none"/>
                  <w10:anchorlock/>
                </v:shape>
              </w:pict>
            </w:r>
          </w:p>
        </w:tc>
      </w:tr>
    </w:tbl>
    <w:p w14:paraId="4F34968D">
      <w:pPr>
        <w:spacing w:line="360" w:lineRule="auto"/>
        <w:outlineLvl w:val="0"/>
        <w:rPr>
          <w:rFonts w:hint="eastAsia" w:ascii="宋体" w:hAnsi="宋体"/>
          <w:color w:val="000000"/>
          <w:sz w:val="32"/>
          <w:szCs w:val="32"/>
        </w:rPr>
      </w:pPr>
    </w:p>
    <w:p w14:paraId="2F807744">
      <w:pPr>
        <w:spacing w:line="360" w:lineRule="auto"/>
        <w:outlineLvl w:val="0"/>
        <w:rPr>
          <w:rFonts w:hint="eastAsia" w:ascii="宋体" w:hAnsi="宋体"/>
          <w:color w:val="000000"/>
          <w:sz w:val="32"/>
          <w:szCs w:val="32"/>
        </w:rPr>
      </w:pPr>
      <w:r>
        <w:rPr>
          <w:rFonts w:hint="eastAsia" w:ascii="宋体" w:hAnsi="宋体"/>
          <w:color w:val="000000"/>
          <w:sz w:val="32"/>
          <w:szCs w:val="32"/>
        </w:rPr>
        <w:t>（二）研究项目组成员（含负责人，可自行添加行）</w:t>
      </w:r>
    </w:p>
    <w:tbl>
      <w:tblPr>
        <w:tblStyle w:val="13"/>
        <w:tblW w:w="1434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575"/>
        <w:gridCol w:w="1281"/>
        <w:gridCol w:w="1980"/>
        <w:gridCol w:w="2409"/>
        <w:gridCol w:w="2525"/>
        <w:gridCol w:w="1323"/>
        <w:gridCol w:w="2700"/>
        <w:gridCol w:w="1547"/>
      </w:tblGrid>
      <w:tr w14:paraId="55E486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6E6C2F96">
            <w:pPr>
              <w:wordWrap w:val="0"/>
              <w:adjustRightInd/>
              <w:spacing w:line="240" w:lineRule="auto"/>
              <w:jc w:val="center"/>
              <w:rPr>
                <w:szCs w:val="21"/>
              </w:rPr>
            </w:pPr>
            <w:r>
              <w:rPr>
                <w:szCs w:val="21"/>
              </w:rPr>
              <w:t>序号</w:t>
            </w:r>
          </w:p>
        </w:tc>
        <w:tc>
          <w:tcPr>
            <w:tcW w:w="1281" w:type="dxa"/>
            <w:vAlign w:val="center"/>
          </w:tcPr>
          <w:p w14:paraId="476A7D0F">
            <w:pPr>
              <w:wordWrap w:val="0"/>
              <w:adjustRightInd/>
              <w:spacing w:line="240" w:lineRule="auto"/>
              <w:jc w:val="center"/>
              <w:rPr>
                <w:szCs w:val="21"/>
              </w:rPr>
            </w:pPr>
            <w:r>
              <w:rPr>
                <w:szCs w:val="21"/>
              </w:rPr>
              <w:t>姓名</w:t>
            </w:r>
          </w:p>
        </w:tc>
        <w:tc>
          <w:tcPr>
            <w:tcW w:w="1980" w:type="dxa"/>
            <w:vAlign w:val="center"/>
          </w:tcPr>
          <w:p w14:paraId="5B4C941F">
            <w:pPr>
              <w:wordWrap w:val="0"/>
              <w:adjustRightInd/>
              <w:spacing w:line="240" w:lineRule="auto"/>
              <w:jc w:val="center"/>
              <w:rPr>
                <w:szCs w:val="21"/>
              </w:rPr>
            </w:pPr>
            <w:r>
              <w:rPr>
                <w:szCs w:val="21"/>
              </w:rPr>
              <w:t>出生</w:t>
            </w:r>
            <w:r>
              <w:rPr>
                <w:rFonts w:hint="eastAsia"/>
                <w:szCs w:val="21"/>
              </w:rPr>
              <w:t>日期</w:t>
            </w:r>
          </w:p>
        </w:tc>
        <w:tc>
          <w:tcPr>
            <w:tcW w:w="2409" w:type="dxa"/>
            <w:vAlign w:val="center"/>
          </w:tcPr>
          <w:p w14:paraId="23DB43C7">
            <w:pPr>
              <w:wordWrap w:val="0"/>
              <w:adjustRightInd/>
              <w:spacing w:line="240" w:lineRule="auto"/>
              <w:jc w:val="center"/>
              <w:rPr>
                <w:szCs w:val="21"/>
              </w:rPr>
            </w:pPr>
            <w:r>
              <w:rPr>
                <w:szCs w:val="21"/>
              </w:rPr>
              <w:t>专业</w:t>
            </w:r>
          </w:p>
        </w:tc>
        <w:tc>
          <w:tcPr>
            <w:tcW w:w="2525" w:type="dxa"/>
            <w:vAlign w:val="center"/>
          </w:tcPr>
          <w:p w14:paraId="2DC3ECF4">
            <w:pPr>
              <w:wordWrap w:val="0"/>
              <w:adjustRightInd/>
              <w:spacing w:line="240" w:lineRule="auto"/>
              <w:jc w:val="center"/>
              <w:rPr>
                <w:szCs w:val="21"/>
              </w:rPr>
            </w:pPr>
            <w:r>
              <w:rPr>
                <w:szCs w:val="21"/>
              </w:rPr>
              <w:t>项目分工</w:t>
            </w:r>
          </w:p>
        </w:tc>
        <w:tc>
          <w:tcPr>
            <w:tcW w:w="1323" w:type="dxa"/>
            <w:vAlign w:val="center"/>
          </w:tcPr>
          <w:p w14:paraId="5066274E">
            <w:pPr>
              <w:wordWrap w:val="0"/>
              <w:adjustRightInd/>
              <w:spacing w:line="240" w:lineRule="auto"/>
              <w:jc w:val="center"/>
              <w:rPr>
                <w:szCs w:val="21"/>
              </w:rPr>
            </w:pPr>
            <w:r>
              <w:rPr>
                <w:rFonts w:hint="eastAsia"/>
                <w:szCs w:val="21"/>
              </w:rPr>
              <w:t>年</w:t>
            </w:r>
            <w:r>
              <w:rPr>
                <w:szCs w:val="21"/>
              </w:rPr>
              <w:t>工作月数</w:t>
            </w:r>
          </w:p>
        </w:tc>
        <w:tc>
          <w:tcPr>
            <w:tcW w:w="2700" w:type="dxa"/>
            <w:vAlign w:val="center"/>
          </w:tcPr>
          <w:p w14:paraId="79FEACEE">
            <w:pPr>
              <w:wordWrap w:val="0"/>
              <w:adjustRightInd/>
              <w:spacing w:line="240" w:lineRule="auto"/>
              <w:jc w:val="center"/>
              <w:rPr>
                <w:szCs w:val="21"/>
              </w:rPr>
            </w:pPr>
            <w:r>
              <w:rPr>
                <w:szCs w:val="21"/>
              </w:rPr>
              <w:t>工作单位</w:t>
            </w:r>
          </w:p>
        </w:tc>
        <w:tc>
          <w:tcPr>
            <w:tcW w:w="1547" w:type="dxa"/>
            <w:vAlign w:val="center"/>
          </w:tcPr>
          <w:p w14:paraId="3A3D1F3F">
            <w:pPr>
              <w:wordWrap w:val="0"/>
              <w:adjustRightInd/>
              <w:spacing w:line="240" w:lineRule="auto"/>
              <w:jc w:val="center"/>
              <w:rPr>
                <w:szCs w:val="21"/>
              </w:rPr>
            </w:pPr>
            <w:r>
              <w:rPr>
                <w:szCs w:val="21"/>
              </w:rPr>
              <w:t>签字</w:t>
            </w:r>
          </w:p>
        </w:tc>
      </w:tr>
      <w:tr w14:paraId="1F3955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3AFE772D">
            <w:pPr>
              <w:wordWrap w:val="0"/>
              <w:adjustRightInd/>
              <w:spacing w:line="240" w:lineRule="auto"/>
              <w:jc w:val="center"/>
              <w:rPr>
                <w:rFonts w:hint="eastAsia" w:ascii="宋体" w:hAnsi="宋体"/>
                <w:szCs w:val="21"/>
              </w:rPr>
            </w:pPr>
            <w:r>
              <w:rPr>
                <w:rFonts w:hint="eastAsia" w:ascii="宋体" w:hAnsi="宋体"/>
                <w:szCs w:val="21"/>
              </w:rPr>
              <w:t>1</w:t>
            </w:r>
          </w:p>
        </w:tc>
        <w:tc>
          <w:tcPr>
            <w:tcW w:w="1281" w:type="dxa"/>
            <w:vAlign w:val="center"/>
          </w:tcPr>
          <w:p w14:paraId="4F2EC8D9">
            <w:pPr>
              <w:wordWrap w:val="0"/>
              <w:adjustRightInd/>
              <w:spacing w:line="240" w:lineRule="auto"/>
              <w:jc w:val="center"/>
              <w:rPr>
                <w:szCs w:val="21"/>
              </w:rPr>
            </w:pPr>
            <w:r>
              <w:rPr>
                <w:rFonts w:hint="eastAsia"/>
                <w:szCs w:val="21"/>
              </w:rPr>
              <w:t>余果</w:t>
            </w:r>
          </w:p>
        </w:tc>
        <w:tc>
          <w:tcPr>
            <w:tcW w:w="1980" w:type="dxa"/>
            <w:vAlign w:val="center"/>
          </w:tcPr>
          <w:p w14:paraId="50DBFBF5">
            <w:pPr>
              <w:adjustRightInd/>
              <w:spacing w:line="240" w:lineRule="auto"/>
              <w:jc w:val="center"/>
              <w:rPr>
                <w:szCs w:val="21"/>
              </w:rPr>
            </w:pPr>
            <w:r>
              <w:rPr>
                <w:rFonts w:hint="eastAsia"/>
                <w:szCs w:val="21"/>
              </w:rPr>
              <w:t>2005年08月21日</w:t>
            </w:r>
          </w:p>
        </w:tc>
        <w:tc>
          <w:tcPr>
            <w:tcW w:w="2409" w:type="dxa"/>
            <w:vAlign w:val="center"/>
          </w:tcPr>
          <w:p w14:paraId="225DB8A7">
            <w:pPr>
              <w:wordWrap w:val="0"/>
              <w:adjustRightInd/>
              <w:spacing w:line="240" w:lineRule="auto"/>
              <w:jc w:val="center"/>
              <w:rPr>
                <w:szCs w:val="21"/>
              </w:rPr>
            </w:pPr>
            <w:r>
              <w:rPr>
                <w:rFonts w:hint="eastAsia"/>
                <w:szCs w:val="21"/>
              </w:rPr>
              <w:t>法学</w:t>
            </w:r>
          </w:p>
        </w:tc>
        <w:tc>
          <w:tcPr>
            <w:tcW w:w="2525" w:type="dxa"/>
            <w:vAlign w:val="center"/>
          </w:tcPr>
          <w:p w14:paraId="00819F8F">
            <w:pPr>
              <w:wordWrap w:val="0"/>
              <w:adjustRightInd/>
              <w:spacing w:line="240" w:lineRule="auto"/>
              <w:jc w:val="center"/>
              <w:rPr>
                <w:szCs w:val="21"/>
              </w:rPr>
            </w:pPr>
            <w:r>
              <w:rPr>
                <w:rFonts w:hint="eastAsia"/>
                <w:szCs w:val="21"/>
              </w:rPr>
              <w:t>负责人</w:t>
            </w:r>
          </w:p>
        </w:tc>
        <w:tc>
          <w:tcPr>
            <w:tcW w:w="1323" w:type="dxa"/>
            <w:vAlign w:val="center"/>
          </w:tcPr>
          <w:p w14:paraId="07D2EFF8">
            <w:pPr>
              <w:wordWrap w:val="0"/>
              <w:adjustRightInd/>
              <w:spacing w:line="240" w:lineRule="auto"/>
              <w:jc w:val="center"/>
              <w:rPr>
                <w:szCs w:val="21"/>
              </w:rPr>
            </w:pPr>
            <w:r>
              <w:rPr>
                <w:rFonts w:hint="eastAsia"/>
                <w:szCs w:val="21"/>
              </w:rPr>
              <w:t>12个月</w:t>
            </w:r>
          </w:p>
        </w:tc>
        <w:tc>
          <w:tcPr>
            <w:tcW w:w="2700" w:type="dxa"/>
            <w:vAlign w:val="center"/>
          </w:tcPr>
          <w:p w14:paraId="424CA75B">
            <w:pPr>
              <w:wordWrap w:val="0"/>
              <w:adjustRightInd/>
              <w:spacing w:line="240" w:lineRule="auto"/>
              <w:jc w:val="center"/>
              <w:rPr>
                <w:szCs w:val="21"/>
              </w:rPr>
            </w:pPr>
            <w:r>
              <w:rPr>
                <w:rFonts w:hint="eastAsia"/>
                <w:szCs w:val="21"/>
              </w:rPr>
              <w:t>北京理工大学</w:t>
            </w:r>
          </w:p>
        </w:tc>
        <w:tc>
          <w:tcPr>
            <w:tcW w:w="1547" w:type="dxa"/>
            <w:vAlign w:val="center"/>
          </w:tcPr>
          <w:p w14:paraId="11BD1E1F">
            <w:pPr>
              <w:wordWrap w:val="0"/>
              <w:adjustRightInd/>
              <w:spacing w:line="240" w:lineRule="auto"/>
              <w:jc w:val="center"/>
              <w:rPr>
                <w:rFonts w:hint="eastAsia" w:ascii="宋体" w:hAnsi="宋体"/>
                <w:spacing w:val="-20"/>
                <w:szCs w:val="21"/>
              </w:rPr>
            </w:pPr>
            <w:r>
              <w:rPr>
                <w:rFonts w:ascii="宋体" w:hAnsi="宋体"/>
                <w:spacing w:val="-20"/>
                <w:szCs w:val="21"/>
              </w:rPr>
              <w:pict>
                <v:shape id="_x0000_i1026" o:spt="75" alt="签名照" type="#_x0000_t75" style="height:61.95pt;width:33.9pt;rotation:-5898240f;" filled="f" o:preferrelative="t" stroked="f" coordsize="21600,21600">
                  <v:path/>
                  <v:fill on="f" focussize="0,0"/>
                  <v:stroke on="f" joinstyle="miter"/>
                  <v:imagedata r:id="rId10" o:title="签名照"/>
                  <o:lock v:ext="edit" aspectratio="t"/>
                  <w10:wrap type="none"/>
                  <w10:anchorlock/>
                </v:shape>
              </w:pict>
            </w:r>
          </w:p>
        </w:tc>
      </w:tr>
      <w:tr w14:paraId="2310E8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758423A9">
            <w:pPr>
              <w:wordWrap w:val="0"/>
              <w:adjustRightInd/>
              <w:spacing w:line="240" w:lineRule="auto"/>
              <w:jc w:val="center"/>
              <w:rPr>
                <w:rFonts w:hint="eastAsia" w:ascii="宋体" w:hAnsi="宋体"/>
                <w:szCs w:val="21"/>
              </w:rPr>
            </w:pPr>
            <w:r>
              <w:rPr>
                <w:rFonts w:hint="eastAsia" w:ascii="宋体" w:hAnsi="宋体"/>
                <w:szCs w:val="21"/>
              </w:rPr>
              <w:t>2</w:t>
            </w:r>
          </w:p>
        </w:tc>
        <w:tc>
          <w:tcPr>
            <w:tcW w:w="1281" w:type="dxa"/>
            <w:vAlign w:val="center"/>
          </w:tcPr>
          <w:p w14:paraId="69590593">
            <w:pPr>
              <w:wordWrap w:val="0"/>
              <w:adjustRightInd/>
              <w:spacing w:line="240" w:lineRule="auto"/>
              <w:jc w:val="center"/>
              <w:rPr>
                <w:szCs w:val="21"/>
              </w:rPr>
            </w:pPr>
            <w:r>
              <w:rPr>
                <w:rFonts w:hint="eastAsia"/>
                <w:szCs w:val="21"/>
              </w:rPr>
              <w:t>张瀚元</w:t>
            </w:r>
          </w:p>
        </w:tc>
        <w:tc>
          <w:tcPr>
            <w:tcW w:w="1980" w:type="dxa"/>
            <w:vAlign w:val="center"/>
          </w:tcPr>
          <w:p w14:paraId="1737C9EC">
            <w:pPr>
              <w:wordWrap w:val="0"/>
              <w:adjustRightInd/>
              <w:spacing w:line="240" w:lineRule="auto"/>
              <w:jc w:val="center"/>
              <w:rPr>
                <w:szCs w:val="21"/>
              </w:rPr>
            </w:pPr>
            <w:r>
              <w:rPr>
                <w:rFonts w:hint="eastAsia"/>
                <w:szCs w:val="21"/>
              </w:rPr>
              <w:t>1997年06月06日</w:t>
            </w:r>
          </w:p>
        </w:tc>
        <w:tc>
          <w:tcPr>
            <w:tcW w:w="2409" w:type="dxa"/>
            <w:vAlign w:val="center"/>
          </w:tcPr>
          <w:p w14:paraId="524A1D54">
            <w:pPr>
              <w:wordWrap w:val="0"/>
              <w:adjustRightInd/>
              <w:spacing w:line="240" w:lineRule="auto"/>
              <w:jc w:val="center"/>
              <w:rPr>
                <w:szCs w:val="21"/>
              </w:rPr>
            </w:pPr>
            <w:r>
              <w:rPr>
                <w:rFonts w:hint="eastAsia"/>
                <w:szCs w:val="21"/>
              </w:rPr>
              <w:t>法学-人工智能</w:t>
            </w:r>
          </w:p>
        </w:tc>
        <w:tc>
          <w:tcPr>
            <w:tcW w:w="2525" w:type="dxa"/>
            <w:vAlign w:val="center"/>
          </w:tcPr>
          <w:p w14:paraId="0053FB02">
            <w:pPr>
              <w:wordWrap w:val="0"/>
              <w:adjustRightInd/>
              <w:spacing w:line="240" w:lineRule="auto"/>
              <w:jc w:val="center"/>
              <w:rPr>
                <w:szCs w:val="21"/>
              </w:rPr>
            </w:pPr>
            <w:r>
              <w:rPr>
                <w:rFonts w:hint="eastAsia"/>
                <w:szCs w:val="21"/>
              </w:rPr>
              <w:t>算法设计师</w:t>
            </w:r>
          </w:p>
        </w:tc>
        <w:tc>
          <w:tcPr>
            <w:tcW w:w="1323" w:type="dxa"/>
            <w:vAlign w:val="center"/>
          </w:tcPr>
          <w:p w14:paraId="30D126E3">
            <w:pPr>
              <w:wordWrap w:val="0"/>
              <w:adjustRightInd/>
              <w:spacing w:line="240" w:lineRule="auto"/>
              <w:jc w:val="center"/>
              <w:rPr>
                <w:szCs w:val="21"/>
              </w:rPr>
            </w:pPr>
            <w:r>
              <w:rPr>
                <w:rFonts w:hint="eastAsia"/>
                <w:szCs w:val="21"/>
              </w:rPr>
              <w:t>12个月</w:t>
            </w:r>
          </w:p>
        </w:tc>
        <w:tc>
          <w:tcPr>
            <w:tcW w:w="2700" w:type="dxa"/>
            <w:vAlign w:val="center"/>
          </w:tcPr>
          <w:p w14:paraId="62CD9DEB">
            <w:pPr>
              <w:wordWrap w:val="0"/>
              <w:adjustRightInd/>
              <w:spacing w:line="240" w:lineRule="auto"/>
              <w:jc w:val="center"/>
              <w:rPr>
                <w:szCs w:val="21"/>
              </w:rPr>
            </w:pPr>
            <w:r>
              <w:rPr>
                <w:rFonts w:hint="eastAsia"/>
                <w:szCs w:val="21"/>
              </w:rPr>
              <w:t>北京理工大学</w:t>
            </w:r>
          </w:p>
        </w:tc>
        <w:tc>
          <w:tcPr>
            <w:tcW w:w="1547" w:type="dxa"/>
            <w:vAlign w:val="center"/>
          </w:tcPr>
          <w:p w14:paraId="0530253A">
            <w:pPr>
              <w:wordWrap w:val="0"/>
              <w:adjustRightInd/>
              <w:spacing w:line="240" w:lineRule="auto"/>
              <w:jc w:val="center"/>
              <w:rPr>
                <w:rFonts w:hint="eastAsia" w:ascii="宋体" w:hAnsi="宋体"/>
                <w:spacing w:val="-20"/>
                <w:szCs w:val="21"/>
              </w:rPr>
            </w:pPr>
            <w:r>
              <w:rPr>
                <w:rFonts w:ascii="宋体" w:hAnsi="宋体"/>
                <w:spacing w:val="-20"/>
                <w:szCs w:val="21"/>
              </w:rPr>
              <w:pict>
                <v:shape id="_x0000_i1027" o:spt="75" alt="a55d326210103aae778b59bbae26580" type="#_x0000_t75" style="height:54pt;width:28.9pt;rotation:-5898240f;" filled="f" o:preferrelative="t" stroked="f" coordsize="21600,21600">
                  <v:path/>
                  <v:fill on="f" focussize="0,0"/>
                  <v:stroke on="f" joinstyle="miter"/>
                  <v:imagedata r:id="rId11" o:title="a55d326210103aae778b59bbae26580"/>
                  <o:lock v:ext="edit" aspectratio="t"/>
                  <w10:wrap type="none"/>
                  <w10:anchorlock/>
                </v:shape>
              </w:pict>
            </w:r>
          </w:p>
        </w:tc>
      </w:tr>
      <w:tr w14:paraId="596F20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5AABCD33">
            <w:pPr>
              <w:wordWrap w:val="0"/>
              <w:adjustRightInd/>
              <w:spacing w:line="240" w:lineRule="auto"/>
              <w:jc w:val="center"/>
              <w:rPr>
                <w:rFonts w:hint="eastAsia" w:ascii="宋体" w:hAnsi="宋体"/>
                <w:szCs w:val="21"/>
              </w:rPr>
            </w:pPr>
            <w:r>
              <w:rPr>
                <w:rFonts w:hint="eastAsia" w:ascii="宋体" w:hAnsi="宋体"/>
                <w:szCs w:val="21"/>
              </w:rPr>
              <w:t>3</w:t>
            </w:r>
          </w:p>
        </w:tc>
        <w:tc>
          <w:tcPr>
            <w:tcW w:w="1281" w:type="dxa"/>
            <w:vAlign w:val="center"/>
          </w:tcPr>
          <w:p w14:paraId="0BEBFC77">
            <w:pPr>
              <w:wordWrap w:val="0"/>
              <w:adjustRightInd/>
              <w:spacing w:line="240" w:lineRule="auto"/>
              <w:jc w:val="center"/>
              <w:rPr>
                <w:szCs w:val="21"/>
              </w:rPr>
            </w:pPr>
            <w:r>
              <w:rPr>
                <w:rFonts w:hint="eastAsia"/>
                <w:szCs w:val="21"/>
              </w:rPr>
              <w:t>张晨钰</w:t>
            </w:r>
          </w:p>
        </w:tc>
        <w:tc>
          <w:tcPr>
            <w:tcW w:w="1980" w:type="dxa"/>
            <w:vAlign w:val="center"/>
          </w:tcPr>
          <w:p w14:paraId="77411A06">
            <w:pPr>
              <w:wordWrap w:val="0"/>
              <w:adjustRightInd/>
              <w:spacing w:line="240" w:lineRule="auto"/>
              <w:jc w:val="center"/>
              <w:rPr>
                <w:szCs w:val="21"/>
              </w:rPr>
            </w:pPr>
            <w:r>
              <w:rPr>
                <w:rFonts w:hint="eastAsia"/>
                <w:szCs w:val="21"/>
              </w:rPr>
              <w:t>2004年12月25日</w:t>
            </w:r>
          </w:p>
        </w:tc>
        <w:tc>
          <w:tcPr>
            <w:tcW w:w="2409" w:type="dxa"/>
            <w:vAlign w:val="center"/>
          </w:tcPr>
          <w:p w14:paraId="17904C3F">
            <w:pPr>
              <w:wordWrap w:val="0"/>
              <w:adjustRightInd/>
              <w:spacing w:line="240" w:lineRule="auto"/>
              <w:jc w:val="center"/>
              <w:rPr>
                <w:szCs w:val="21"/>
              </w:rPr>
            </w:pPr>
            <w:r>
              <w:rPr>
                <w:rFonts w:hint="eastAsia"/>
                <w:szCs w:val="21"/>
              </w:rPr>
              <w:t>生物医学工程</w:t>
            </w:r>
          </w:p>
        </w:tc>
        <w:tc>
          <w:tcPr>
            <w:tcW w:w="2525" w:type="dxa"/>
            <w:vAlign w:val="center"/>
          </w:tcPr>
          <w:p w14:paraId="15C9CE4D">
            <w:pPr>
              <w:wordWrap w:val="0"/>
              <w:adjustRightInd/>
              <w:spacing w:line="240" w:lineRule="auto"/>
              <w:jc w:val="center"/>
              <w:rPr>
                <w:szCs w:val="21"/>
              </w:rPr>
            </w:pPr>
            <w:r>
              <w:rPr>
                <w:rFonts w:hint="eastAsia"/>
                <w:szCs w:val="21"/>
              </w:rPr>
              <w:t>算法设计师</w:t>
            </w:r>
          </w:p>
        </w:tc>
        <w:tc>
          <w:tcPr>
            <w:tcW w:w="1323" w:type="dxa"/>
            <w:vAlign w:val="center"/>
          </w:tcPr>
          <w:p w14:paraId="79FC2966">
            <w:pPr>
              <w:wordWrap w:val="0"/>
              <w:adjustRightInd/>
              <w:spacing w:line="240" w:lineRule="auto"/>
              <w:jc w:val="center"/>
              <w:rPr>
                <w:szCs w:val="21"/>
              </w:rPr>
            </w:pPr>
            <w:r>
              <w:rPr>
                <w:rFonts w:hint="eastAsia"/>
                <w:szCs w:val="21"/>
              </w:rPr>
              <w:t>12个月</w:t>
            </w:r>
          </w:p>
        </w:tc>
        <w:tc>
          <w:tcPr>
            <w:tcW w:w="2700" w:type="dxa"/>
            <w:vAlign w:val="center"/>
          </w:tcPr>
          <w:p w14:paraId="59CD2E8E">
            <w:pPr>
              <w:wordWrap w:val="0"/>
              <w:adjustRightInd/>
              <w:spacing w:line="240" w:lineRule="auto"/>
              <w:jc w:val="center"/>
              <w:rPr>
                <w:szCs w:val="21"/>
              </w:rPr>
            </w:pPr>
            <w:r>
              <w:rPr>
                <w:rFonts w:hint="eastAsia"/>
                <w:szCs w:val="21"/>
              </w:rPr>
              <w:t>北京理工大学</w:t>
            </w:r>
          </w:p>
        </w:tc>
        <w:tc>
          <w:tcPr>
            <w:tcW w:w="1547" w:type="dxa"/>
            <w:vAlign w:val="center"/>
          </w:tcPr>
          <w:p w14:paraId="2F7FEB35">
            <w:pPr>
              <w:wordWrap w:val="0"/>
              <w:adjustRightInd/>
              <w:spacing w:line="240" w:lineRule="auto"/>
              <w:jc w:val="center"/>
              <w:rPr>
                <w:rFonts w:hint="eastAsia" w:ascii="宋体" w:hAnsi="宋体"/>
                <w:spacing w:val="-20"/>
                <w:szCs w:val="21"/>
              </w:rPr>
            </w:pPr>
            <w:r>
              <w:rPr>
                <w:rFonts w:ascii="宋体" w:hAnsi="宋体"/>
                <w:spacing w:val="-20"/>
                <w:szCs w:val="21"/>
              </w:rPr>
              <w:pict>
                <v:shape id="_x0000_i1028" o:spt="75" alt="712a4900e8acf3a40b969a3b506001d" type="#_x0000_t75" style="height:28.45pt;width:54.4pt;" filled="f" o:preferrelative="t" stroked="f" coordsize="21600,21600">
                  <v:path/>
                  <v:fill on="f" focussize="0,0"/>
                  <v:stroke on="f" joinstyle="miter"/>
                  <v:imagedata r:id="rId12" o:title="712a4900e8acf3a40b969a3b506001d"/>
                  <o:lock v:ext="edit" aspectratio="t"/>
                  <w10:wrap type="none"/>
                  <w10:anchorlock/>
                </v:shape>
              </w:pict>
            </w:r>
          </w:p>
        </w:tc>
      </w:tr>
      <w:tr w14:paraId="758737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17305D98">
            <w:pPr>
              <w:wordWrap w:val="0"/>
              <w:adjustRightInd/>
              <w:spacing w:line="240" w:lineRule="auto"/>
              <w:jc w:val="center"/>
              <w:rPr>
                <w:rFonts w:hint="eastAsia" w:ascii="宋体" w:hAnsi="宋体"/>
                <w:szCs w:val="21"/>
              </w:rPr>
            </w:pPr>
            <w:r>
              <w:rPr>
                <w:rFonts w:hint="eastAsia" w:ascii="宋体" w:hAnsi="宋体"/>
                <w:szCs w:val="21"/>
              </w:rPr>
              <w:t>4</w:t>
            </w:r>
          </w:p>
        </w:tc>
        <w:tc>
          <w:tcPr>
            <w:tcW w:w="1281" w:type="dxa"/>
            <w:vAlign w:val="center"/>
          </w:tcPr>
          <w:p w14:paraId="35834E43">
            <w:pPr>
              <w:wordWrap w:val="0"/>
              <w:adjustRightInd/>
              <w:spacing w:line="240" w:lineRule="auto"/>
              <w:jc w:val="center"/>
              <w:rPr>
                <w:szCs w:val="21"/>
              </w:rPr>
            </w:pPr>
            <w:r>
              <w:rPr>
                <w:rFonts w:hint="eastAsia"/>
                <w:szCs w:val="21"/>
              </w:rPr>
              <w:t>鄢语瞳</w:t>
            </w:r>
          </w:p>
        </w:tc>
        <w:tc>
          <w:tcPr>
            <w:tcW w:w="1980" w:type="dxa"/>
            <w:vAlign w:val="center"/>
          </w:tcPr>
          <w:p w14:paraId="095E231B">
            <w:pPr>
              <w:wordWrap w:val="0"/>
              <w:adjustRightInd/>
              <w:spacing w:line="240" w:lineRule="auto"/>
              <w:jc w:val="center"/>
              <w:rPr>
                <w:szCs w:val="21"/>
              </w:rPr>
            </w:pPr>
            <w:r>
              <w:rPr>
                <w:rFonts w:hint="eastAsia"/>
                <w:szCs w:val="21"/>
              </w:rPr>
              <w:t>2006年04月02日</w:t>
            </w:r>
          </w:p>
        </w:tc>
        <w:tc>
          <w:tcPr>
            <w:tcW w:w="2409" w:type="dxa"/>
            <w:vAlign w:val="center"/>
          </w:tcPr>
          <w:p w14:paraId="7B757036">
            <w:pPr>
              <w:wordWrap w:val="0"/>
              <w:adjustRightInd/>
              <w:spacing w:line="240" w:lineRule="auto"/>
              <w:jc w:val="center"/>
              <w:rPr>
                <w:szCs w:val="21"/>
              </w:rPr>
            </w:pPr>
            <w:r>
              <w:rPr>
                <w:rFonts w:hint="eastAsia"/>
                <w:szCs w:val="21"/>
              </w:rPr>
              <w:t>法学（涉外法治菁英班）</w:t>
            </w:r>
          </w:p>
        </w:tc>
        <w:tc>
          <w:tcPr>
            <w:tcW w:w="2525" w:type="dxa"/>
            <w:vAlign w:val="center"/>
          </w:tcPr>
          <w:p w14:paraId="635ECAAA">
            <w:pPr>
              <w:wordWrap w:val="0"/>
              <w:adjustRightInd/>
              <w:spacing w:line="240" w:lineRule="auto"/>
              <w:jc w:val="center"/>
              <w:rPr>
                <w:szCs w:val="21"/>
              </w:rPr>
            </w:pPr>
            <w:r>
              <w:rPr>
                <w:rFonts w:hint="eastAsia"/>
                <w:szCs w:val="21"/>
              </w:rPr>
              <w:t>文献调研及论文撰写</w:t>
            </w:r>
          </w:p>
        </w:tc>
        <w:tc>
          <w:tcPr>
            <w:tcW w:w="1323" w:type="dxa"/>
            <w:vAlign w:val="center"/>
          </w:tcPr>
          <w:p w14:paraId="4691D01F">
            <w:pPr>
              <w:wordWrap w:val="0"/>
              <w:adjustRightInd/>
              <w:spacing w:line="240" w:lineRule="auto"/>
              <w:jc w:val="center"/>
              <w:rPr>
                <w:szCs w:val="21"/>
              </w:rPr>
            </w:pPr>
            <w:r>
              <w:rPr>
                <w:rFonts w:hint="eastAsia"/>
                <w:szCs w:val="21"/>
              </w:rPr>
              <w:t>12个月</w:t>
            </w:r>
          </w:p>
        </w:tc>
        <w:tc>
          <w:tcPr>
            <w:tcW w:w="2700" w:type="dxa"/>
            <w:vAlign w:val="center"/>
          </w:tcPr>
          <w:p w14:paraId="62EA1279">
            <w:pPr>
              <w:wordWrap w:val="0"/>
              <w:adjustRightInd/>
              <w:spacing w:line="240" w:lineRule="auto"/>
              <w:jc w:val="center"/>
              <w:rPr>
                <w:szCs w:val="21"/>
              </w:rPr>
            </w:pPr>
            <w:r>
              <w:rPr>
                <w:rFonts w:hint="eastAsia"/>
                <w:szCs w:val="21"/>
              </w:rPr>
              <w:t>北京理工大学</w:t>
            </w:r>
          </w:p>
        </w:tc>
        <w:tc>
          <w:tcPr>
            <w:tcW w:w="1547" w:type="dxa"/>
            <w:vAlign w:val="center"/>
          </w:tcPr>
          <w:p w14:paraId="48D3844C">
            <w:pPr>
              <w:wordWrap w:val="0"/>
              <w:adjustRightInd/>
              <w:spacing w:line="240" w:lineRule="auto"/>
              <w:jc w:val="center"/>
              <w:rPr>
                <w:rFonts w:hint="eastAsia" w:ascii="宋体" w:hAnsi="宋体"/>
                <w:spacing w:val="-20"/>
                <w:szCs w:val="21"/>
              </w:rPr>
            </w:pPr>
            <w:r>
              <w:rPr>
                <w:rFonts w:ascii="宋体" w:hAnsi="宋体"/>
                <w:spacing w:val="-20"/>
                <w:szCs w:val="21"/>
              </w:rPr>
              <w:pict>
                <v:shape id="_x0000_i1029" o:spt="75" alt="052587a1ab500f0b8fa001ef76b8e28" type="#_x0000_t75" style="height:28.9pt;width:61.55pt;" filled="f" o:preferrelative="t" stroked="f" coordsize="21600,21600">
                  <v:path/>
                  <v:fill on="f" focussize="0,0"/>
                  <v:stroke on="f" joinstyle="miter"/>
                  <v:imagedata r:id="rId13" o:title="052587a1ab500f0b8fa001ef76b8e28"/>
                  <o:lock v:ext="edit" aspectratio="t"/>
                  <w10:wrap type="none"/>
                  <w10:anchorlock/>
                </v:shape>
              </w:pict>
            </w:r>
          </w:p>
        </w:tc>
      </w:tr>
      <w:tr w14:paraId="0A335F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5F63F03B">
            <w:pPr>
              <w:wordWrap w:val="0"/>
              <w:adjustRightInd/>
              <w:spacing w:line="240" w:lineRule="auto"/>
              <w:jc w:val="center"/>
              <w:rPr>
                <w:rFonts w:hint="eastAsia" w:ascii="宋体" w:hAnsi="宋体"/>
                <w:szCs w:val="21"/>
              </w:rPr>
            </w:pPr>
            <w:r>
              <w:rPr>
                <w:rFonts w:hint="eastAsia" w:ascii="宋体" w:hAnsi="宋体"/>
                <w:szCs w:val="21"/>
              </w:rPr>
              <w:t>5</w:t>
            </w:r>
          </w:p>
        </w:tc>
        <w:tc>
          <w:tcPr>
            <w:tcW w:w="1281" w:type="dxa"/>
            <w:vAlign w:val="center"/>
          </w:tcPr>
          <w:p w14:paraId="1803F49B">
            <w:pPr>
              <w:wordWrap w:val="0"/>
              <w:adjustRightInd/>
              <w:spacing w:line="240" w:lineRule="auto"/>
              <w:jc w:val="center"/>
              <w:rPr>
                <w:szCs w:val="21"/>
              </w:rPr>
            </w:pPr>
            <w:r>
              <w:rPr>
                <w:rFonts w:hint="eastAsia"/>
                <w:szCs w:val="21"/>
              </w:rPr>
              <w:t>王香凝</w:t>
            </w:r>
          </w:p>
        </w:tc>
        <w:tc>
          <w:tcPr>
            <w:tcW w:w="1980" w:type="dxa"/>
            <w:vAlign w:val="center"/>
          </w:tcPr>
          <w:p w14:paraId="6ACBAABC">
            <w:pPr>
              <w:wordWrap w:val="0"/>
              <w:adjustRightInd/>
              <w:spacing w:line="240" w:lineRule="auto"/>
              <w:jc w:val="center"/>
              <w:rPr>
                <w:szCs w:val="21"/>
              </w:rPr>
            </w:pPr>
            <w:r>
              <w:rPr>
                <w:rFonts w:hint="eastAsia"/>
                <w:szCs w:val="21"/>
              </w:rPr>
              <w:t>2004年11月02日</w:t>
            </w:r>
          </w:p>
        </w:tc>
        <w:tc>
          <w:tcPr>
            <w:tcW w:w="2409" w:type="dxa"/>
            <w:vAlign w:val="center"/>
          </w:tcPr>
          <w:p w14:paraId="2261D2A1">
            <w:pPr>
              <w:wordWrap w:val="0"/>
              <w:adjustRightInd/>
              <w:spacing w:line="240" w:lineRule="auto"/>
              <w:jc w:val="center"/>
              <w:rPr>
                <w:szCs w:val="21"/>
              </w:rPr>
            </w:pPr>
            <w:r>
              <w:rPr>
                <w:rFonts w:hint="eastAsia"/>
                <w:szCs w:val="21"/>
              </w:rPr>
              <w:t>法学-人工智能</w:t>
            </w:r>
          </w:p>
        </w:tc>
        <w:tc>
          <w:tcPr>
            <w:tcW w:w="2525" w:type="dxa"/>
            <w:vAlign w:val="center"/>
          </w:tcPr>
          <w:p w14:paraId="1DDA265C">
            <w:pPr>
              <w:wordWrap w:val="0"/>
              <w:adjustRightInd/>
              <w:spacing w:line="240" w:lineRule="auto"/>
              <w:jc w:val="center"/>
              <w:rPr>
                <w:szCs w:val="21"/>
              </w:rPr>
            </w:pPr>
            <w:r>
              <w:rPr>
                <w:rFonts w:hint="eastAsia"/>
                <w:szCs w:val="21"/>
              </w:rPr>
              <w:t>文献调研及论文撰写</w:t>
            </w:r>
          </w:p>
        </w:tc>
        <w:tc>
          <w:tcPr>
            <w:tcW w:w="1323" w:type="dxa"/>
            <w:vAlign w:val="center"/>
          </w:tcPr>
          <w:p w14:paraId="54FE4FEB">
            <w:pPr>
              <w:wordWrap w:val="0"/>
              <w:adjustRightInd/>
              <w:spacing w:line="240" w:lineRule="auto"/>
              <w:jc w:val="center"/>
              <w:rPr>
                <w:szCs w:val="21"/>
              </w:rPr>
            </w:pPr>
            <w:r>
              <w:rPr>
                <w:rFonts w:hint="eastAsia"/>
                <w:szCs w:val="21"/>
              </w:rPr>
              <w:t>12个月</w:t>
            </w:r>
          </w:p>
        </w:tc>
        <w:tc>
          <w:tcPr>
            <w:tcW w:w="2700" w:type="dxa"/>
            <w:vAlign w:val="center"/>
          </w:tcPr>
          <w:p w14:paraId="3B4CC290">
            <w:pPr>
              <w:wordWrap w:val="0"/>
              <w:adjustRightInd/>
              <w:spacing w:line="240" w:lineRule="auto"/>
              <w:jc w:val="center"/>
              <w:rPr>
                <w:szCs w:val="21"/>
              </w:rPr>
            </w:pPr>
            <w:r>
              <w:rPr>
                <w:rFonts w:hint="eastAsia"/>
                <w:szCs w:val="21"/>
              </w:rPr>
              <w:t>北京理工大学</w:t>
            </w:r>
          </w:p>
        </w:tc>
        <w:tc>
          <w:tcPr>
            <w:tcW w:w="1547" w:type="dxa"/>
            <w:vAlign w:val="center"/>
          </w:tcPr>
          <w:p w14:paraId="0AD0E023">
            <w:pPr>
              <w:wordWrap w:val="0"/>
              <w:adjustRightInd/>
              <w:spacing w:line="240" w:lineRule="auto"/>
              <w:jc w:val="center"/>
              <w:rPr>
                <w:rFonts w:hint="eastAsia" w:ascii="宋体" w:hAnsi="宋体"/>
                <w:spacing w:val="-20"/>
                <w:szCs w:val="21"/>
              </w:rPr>
            </w:pPr>
            <w:r>
              <w:rPr>
                <w:rFonts w:ascii="宋体" w:hAnsi="宋体"/>
                <w:spacing w:val="-20"/>
                <w:szCs w:val="21"/>
              </w:rPr>
              <w:pict>
                <v:shape id="_x0000_i1030" o:spt="75" alt="3c8ad1c11dcd1bb4095ef71c7010aca" type="#_x0000_t75" style="height:26.35pt;width:74.95pt;" filled="f" o:preferrelative="t" stroked="f" coordsize="21600,21600">
                  <v:path/>
                  <v:fill on="f" focussize="0,0"/>
                  <v:stroke on="f" joinstyle="miter"/>
                  <v:imagedata r:id="rId14" o:title="3c8ad1c11dcd1bb4095ef71c7010aca"/>
                  <o:lock v:ext="edit" aspectratio="t"/>
                  <w10:wrap type="none"/>
                  <w10:anchorlock/>
                </v:shape>
              </w:pict>
            </w:r>
          </w:p>
        </w:tc>
      </w:tr>
      <w:tr w14:paraId="697614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6FEA5C31">
            <w:pPr>
              <w:wordWrap w:val="0"/>
              <w:adjustRightInd/>
              <w:spacing w:line="240" w:lineRule="auto"/>
              <w:jc w:val="center"/>
              <w:rPr>
                <w:rFonts w:hint="eastAsia" w:ascii="宋体" w:hAnsi="宋体"/>
                <w:szCs w:val="21"/>
              </w:rPr>
            </w:pPr>
            <w:r>
              <w:rPr>
                <w:rFonts w:hint="eastAsia" w:ascii="宋体" w:hAnsi="宋体"/>
                <w:szCs w:val="21"/>
              </w:rPr>
              <w:t>6</w:t>
            </w:r>
          </w:p>
        </w:tc>
        <w:tc>
          <w:tcPr>
            <w:tcW w:w="1281" w:type="dxa"/>
            <w:vAlign w:val="center"/>
          </w:tcPr>
          <w:p w14:paraId="0CDFB6AB">
            <w:pPr>
              <w:wordWrap w:val="0"/>
              <w:adjustRightInd/>
              <w:spacing w:line="240" w:lineRule="auto"/>
              <w:jc w:val="center"/>
              <w:rPr>
                <w:szCs w:val="21"/>
              </w:rPr>
            </w:pPr>
            <w:r>
              <w:rPr>
                <w:rFonts w:hint="eastAsia"/>
                <w:szCs w:val="21"/>
              </w:rPr>
              <w:t>王欣然</w:t>
            </w:r>
          </w:p>
        </w:tc>
        <w:tc>
          <w:tcPr>
            <w:tcW w:w="1980" w:type="dxa"/>
            <w:vAlign w:val="center"/>
          </w:tcPr>
          <w:p w14:paraId="7D6F8320">
            <w:pPr>
              <w:wordWrap w:val="0"/>
              <w:adjustRightInd/>
              <w:spacing w:line="240" w:lineRule="auto"/>
              <w:jc w:val="center"/>
              <w:rPr>
                <w:szCs w:val="21"/>
              </w:rPr>
            </w:pPr>
            <w:r>
              <w:rPr>
                <w:rFonts w:hint="eastAsia"/>
                <w:szCs w:val="21"/>
              </w:rPr>
              <w:t>2005年08月27日</w:t>
            </w:r>
          </w:p>
        </w:tc>
        <w:tc>
          <w:tcPr>
            <w:tcW w:w="2409" w:type="dxa"/>
            <w:vAlign w:val="center"/>
          </w:tcPr>
          <w:p w14:paraId="3A066DFE">
            <w:pPr>
              <w:wordWrap w:val="0"/>
              <w:adjustRightInd/>
              <w:spacing w:line="240" w:lineRule="auto"/>
              <w:jc w:val="center"/>
              <w:rPr>
                <w:szCs w:val="21"/>
              </w:rPr>
            </w:pPr>
            <w:r>
              <w:rPr>
                <w:rFonts w:hint="eastAsia"/>
                <w:szCs w:val="21"/>
              </w:rPr>
              <w:t>法学</w:t>
            </w:r>
          </w:p>
        </w:tc>
        <w:tc>
          <w:tcPr>
            <w:tcW w:w="2525" w:type="dxa"/>
            <w:vAlign w:val="center"/>
          </w:tcPr>
          <w:p w14:paraId="23B67D6C">
            <w:pPr>
              <w:wordWrap w:val="0"/>
              <w:adjustRightInd/>
              <w:spacing w:line="240" w:lineRule="auto"/>
              <w:jc w:val="center"/>
              <w:rPr>
                <w:szCs w:val="21"/>
              </w:rPr>
            </w:pPr>
            <w:r>
              <w:rPr>
                <w:rFonts w:hint="eastAsia"/>
                <w:szCs w:val="21"/>
              </w:rPr>
              <w:t>文献调研及撰写</w:t>
            </w:r>
          </w:p>
        </w:tc>
        <w:tc>
          <w:tcPr>
            <w:tcW w:w="1323" w:type="dxa"/>
            <w:vAlign w:val="center"/>
          </w:tcPr>
          <w:p w14:paraId="2AF64B0A">
            <w:pPr>
              <w:wordWrap w:val="0"/>
              <w:adjustRightInd/>
              <w:spacing w:line="240" w:lineRule="auto"/>
              <w:jc w:val="center"/>
              <w:rPr>
                <w:szCs w:val="21"/>
              </w:rPr>
            </w:pPr>
            <w:r>
              <w:rPr>
                <w:rFonts w:hint="eastAsia"/>
                <w:szCs w:val="21"/>
              </w:rPr>
              <w:t>12个月</w:t>
            </w:r>
          </w:p>
        </w:tc>
        <w:tc>
          <w:tcPr>
            <w:tcW w:w="2700" w:type="dxa"/>
            <w:vAlign w:val="center"/>
          </w:tcPr>
          <w:p w14:paraId="45A977F4">
            <w:pPr>
              <w:wordWrap w:val="0"/>
              <w:adjustRightInd/>
              <w:spacing w:line="240" w:lineRule="auto"/>
              <w:jc w:val="center"/>
              <w:rPr>
                <w:szCs w:val="21"/>
              </w:rPr>
            </w:pPr>
            <w:r>
              <w:rPr>
                <w:rFonts w:hint="eastAsia"/>
                <w:szCs w:val="21"/>
              </w:rPr>
              <w:t>北京理工大学</w:t>
            </w:r>
          </w:p>
        </w:tc>
        <w:tc>
          <w:tcPr>
            <w:tcW w:w="1547" w:type="dxa"/>
            <w:vAlign w:val="center"/>
          </w:tcPr>
          <w:p w14:paraId="116BA3C2">
            <w:pPr>
              <w:wordWrap w:val="0"/>
              <w:adjustRightInd/>
              <w:spacing w:line="240" w:lineRule="auto"/>
              <w:jc w:val="center"/>
              <w:rPr>
                <w:rFonts w:hint="eastAsia" w:ascii="宋体" w:hAnsi="宋体"/>
                <w:spacing w:val="-20"/>
                <w:szCs w:val="21"/>
              </w:rPr>
            </w:pPr>
            <w:r>
              <w:rPr>
                <w:rFonts w:ascii="宋体" w:hAnsi="宋体"/>
                <w:spacing w:val="-20"/>
                <w:szCs w:val="21"/>
              </w:rPr>
              <w:pict>
                <v:shape id="_x0000_i1031" o:spt="75" alt="3558f86efec1154e2bd4d9988f2d446" type="#_x0000_t75" style="height:31.4pt;width:54.4pt;" filled="f" o:preferrelative="t" stroked="f" coordsize="21600,21600">
                  <v:path/>
                  <v:fill on="f" focussize="0,0"/>
                  <v:stroke on="f" joinstyle="miter"/>
                  <v:imagedata r:id="rId15" o:title="3558f86efec1154e2bd4d9988f2d446"/>
                  <o:lock v:ext="edit" aspectratio="t"/>
                  <w10:wrap type="none"/>
                  <w10:anchorlock/>
                </v:shape>
              </w:pict>
            </w:r>
          </w:p>
        </w:tc>
      </w:tr>
    </w:tbl>
    <w:p w14:paraId="71F6C5F6">
      <w:pPr>
        <w:wordWrap w:val="0"/>
        <w:ind w:right="-57"/>
        <w:rPr>
          <w:bCs/>
          <w:sz w:val="32"/>
          <w:szCs w:val="32"/>
        </w:rPr>
      </w:pPr>
    </w:p>
    <w:p w14:paraId="23155A57">
      <w:pPr>
        <w:wordWrap w:val="0"/>
        <w:ind w:right="-57"/>
        <w:rPr>
          <w:bCs/>
          <w:szCs w:val="21"/>
        </w:rPr>
        <w:sectPr>
          <w:pgSz w:w="16840" w:h="11907" w:orient="landscape"/>
          <w:pgMar w:top="964" w:right="1418" w:bottom="964" w:left="1134" w:header="851" w:footer="737" w:gutter="0"/>
          <w:pgNumType w:fmt="numberInDash"/>
          <w:cols w:space="720" w:num="1"/>
          <w:docGrid w:linePitch="285" w:charSpace="0"/>
        </w:sectPr>
      </w:pPr>
      <w:r>
        <w:rPr>
          <w:bCs/>
          <w:szCs w:val="21"/>
        </w:rPr>
        <w:pict>
          <v:shape id="_x0000_s1038" o:spid="_x0000_s1038" o:spt="202" type="#_x0000_t202" style="position:absolute;left:0pt;margin-left:-4.1pt;margin-top:6pt;height:0pt;width:0.2pt;z-index:251659264;mso-width-relative:page;mso-height-relative:page;" filled="f" stroked="f" coordsize="21600,21600">
            <v:path/>
            <v:fill on="f" focussize="0,0"/>
            <v:stroke on="f" joinstyle="miter"/>
            <v:imagedata o:title=""/>
            <o:lock v:ext="edit"/>
            <v:textbox>
              <w:txbxContent>
                <w:p w14:paraId="285FFA7E">
                  <w:pPr>
                    <w:rPr>
                      <w:sz w:val="18"/>
                      <w:szCs w:val="18"/>
                    </w:rPr>
                  </w:pPr>
                  <w:r>
                    <w:rPr>
                      <w:rFonts w:hint="eastAsia"/>
                      <w:sz w:val="18"/>
                      <w:szCs w:val="18"/>
                    </w:rPr>
                    <w:t>说明：高级、中级、初级、博士后、博士生、硕士生人员数、</w:t>
                  </w:r>
                  <w:r>
                    <w:rPr>
                      <w:sz w:val="18"/>
                      <w:szCs w:val="18"/>
                    </w:rPr>
                    <w:t>参加单位数</w:t>
                  </w:r>
                  <w:r>
                    <w:rPr>
                      <w:rFonts w:hint="eastAsia"/>
                      <w:sz w:val="18"/>
                      <w:szCs w:val="18"/>
                    </w:rPr>
                    <w:t>由申请者负责填报（含申请者），总人数自动生成。</w:t>
                  </w:r>
                </w:p>
              </w:txbxContent>
            </v:textbox>
          </v:shape>
        </w:pict>
      </w:r>
    </w:p>
    <w:p w14:paraId="05378BB5">
      <w:pPr>
        <w:wordWrap w:val="0"/>
        <w:spacing w:line="360" w:lineRule="auto"/>
        <w:ind w:right="-57"/>
        <w:outlineLvl w:val="0"/>
        <w:rPr>
          <w:rFonts w:eastAsia="黑体"/>
          <w:b/>
          <w:sz w:val="32"/>
          <w:szCs w:val="32"/>
        </w:rPr>
      </w:pPr>
      <w:r>
        <w:rPr>
          <w:rFonts w:hint="eastAsia" w:eastAsia="黑体"/>
          <w:b/>
          <w:sz w:val="32"/>
          <w:szCs w:val="32"/>
        </w:rPr>
        <w:t>三</w:t>
      </w:r>
      <w:r>
        <w:rPr>
          <w:rFonts w:eastAsia="黑体"/>
          <w:b/>
          <w:sz w:val="32"/>
          <w:szCs w:val="32"/>
        </w:rPr>
        <w:t>、申请书正文</w:t>
      </w:r>
    </w:p>
    <w:p w14:paraId="3EF758E6">
      <w:pPr>
        <w:wordWrap w:val="0"/>
        <w:spacing w:line="360" w:lineRule="auto"/>
        <w:ind w:right="-57"/>
        <w:outlineLvl w:val="1"/>
        <w:rPr>
          <w:rFonts w:eastAsia="黑体"/>
          <w:b/>
          <w:sz w:val="28"/>
          <w:szCs w:val="28"/>
        </w:rPr>
      </w:pPr>
      <w:r>
        <w:rPr>
          <w:rFonts w:eastAsia="黑体"/>
          <w:b/>
          <w:sz w:val="28"/>
          <w:szCs w:val="28"/>
        </w:rPr>
        <w:t>（</w:t>
      </w:r>
      <w:r>
        <w:rPr>
          <w:rFonts w:hint="eastAsia" w:eastAsia="黑体"/>
          <w:b/>
          <w:sz w:val="28"/>
          <w:szCs w:val="28"/>
        </w:rPr>
        <w:t>一</w:t>
      </w:r>
      <w:r>
        <w:rPr>
          <w:rFonts w:eastAsia="黑体"/>
          <w:b/>
          <w:sz w:val="28"/>
          <w:szCs w:val="28"/>
        </w:rPr>
        <w:t>）</w:t>
      </w:r>
      <w:r>
        <w:rPr>
          <w:rFonts w:hint="eastAsia" w:eastAsia="黑体"/>
          <w:b/>
          <w:sz w:val="28"/>
          <w:szCs w:val="28"/>
        </w:rPr>
        <w:t>研究初衷</w:t>
      </w:r>
    </w:p>
    <w:p w14:paraId="321A4799">
      <w:pPr>
        <w:wordWrap w:val="0"/>
        <w:spacing w:line="360" w:lineRule="exact"/>
        <w:ind w:left="425" w:firstLine="420" w:firstLineChars="200"/>
        <w:rPr>
          <w:rFonts w:hint="eastAsia" w:ascii="宋体" w:hAnsi="宋体" w:cs="宋体"/>
          <w:szCs w:val="21"/>
        </w:rPr>
      </w:pPr>
      <w:r>
        <w:rPr>
          <w:rFonts w:hint="eastAsia" w:ascii="宋体" w:hAnsi="宋体" w:cs="宋体"/>
          <w:szCs w:val="21"/>
        </w:rPr>
        <w:t>民事纠纷案件数量的持续攀升对我国司法体系带来了严峻挑战。根据2026年3月最高人民法院工作报告，2025年全国民商事一审案件超过2000万件，同比上升逾11%</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_Ref11114 \r \h </w:instrText>
      </w:r>
      <w:r>
        <w:rPr>
          <w:rFonts w:hint="eastAsia" w:ascii="宋体" w:hAnsi="宋体" w:cs="宋体"/>
          <w:szCs w:val="21"/>
          <w:vertAlign w:val="superscript"/>
        </w:rPr>
        <w:fldChar w:fldCharType="separate"/>
      </w:r>
      <w:r>
        <w:rPr>
          <w:rFonts w:hint="eastAsia" w:ascii="宋体" w:hAnsi="宋体" w:cs="宋体"/>
          <w:szCs w:val="21"/>
          <w:vertAlign w:val="superscript"/>
        </w:rPr>
        <w:t>[1]</w:t>
      </w:r>
      <w:r>
        <w:rPr>
          <w:rFonts w:hint="eastAsia" w:ascii="宋体" w:hAnsi="宋体" w:cs="宋体"/>
          <w:szCs w:val="21"/>
          <w:vertAlign w:val="superscript"/>
        </w:rPr>
        <w:fldChar w:fldCharType="end"/>
      </w:r>
      <w:r>
        <w:rPr>
          <w:rFonts w:hint="eastAsia" w:ascii="宋体" w:hAnsi="宋体" w:cs="宋体"/>
          <w:szCs w:val="21"/>
        </w:rPr>
        <w:t>。最高人民法院于2024年发布的《人民法院第六个五年改革纲要》</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_Ref11179 \r \h </w:instrText>
      </w:r>
      <w:r>
        <w:rPr>
          <w:rFonts w:hint="eastAsia" w:ascii="宋体" w:hAnsi="宋体" w:cs="宋体"/>
          <w:szCs w:val="21"/>
          <w:vertAlign w:val="superscript"/>
        </w:rPr>
        <w:fldChar w:fldCharType="separate"/>
      </w:r>
      <w:r>
        <w:rPr>
          <w:rFonts w:hint="eastAsia" w:ascii="宋体" w:hAnsi="宋体" w:cs="宋体"/>
          <w:szCs w:val="21"/>
          <w:vertAlign w:val="superscript"/>
        </w:rPr>
        <w:t>[2]</w:t>
      </w:r>
      <w:r>
        <w:rPr>
          <w:rFonts w:hint="eastAsia" w:ascii="宋体" w:hAnsi="宋体" w:cs="宋体"/>
          <w:szCs w:val="21"/>
          <w:vertAlign w:val="superscript"/>
        </w:rPr>
        <w:fldChar w:fldCharType="end"/>
      </w:r>
      <w:r>
        <w:rPr>
          <w:rFonts w:hint="eastAsia" w:ascii="宋体" w:hAnsi="宋体" w:cs="宋体"/>
          <w:szCs w:val="21"/>
        </w:rPr>
        <w:t>则进一步强调“强化大语言模型等技术应用，充分发挥人工智能辅助办案作用”。然而，将大语言模型直接应用于民事诉讼实务场景时，仍面临深层次的技术瓶颈。Yu等人的系统评测</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_Ref11261 \r \h </w:instrText>
      </w:r>
      <w:r>
        <w:rPr>
          <w:rFonts w:hint="eastAsia" w:ascii="宋体" w:hAnsi="宋体" w:cs="宋体"/>
          <w:szCs w:val="21"/>
          <w:vertAlign w:val="superscript"/>
        </w:rPr>
        <w:fldChar w:fldCharType="separate"/>
      </w:r>
      <w:r>
        <w:rPr>
          <w:rFonts w:hint="eastAsia" w:ascii="宋体" w:hAnsi="宋体" w:cs="宋体"/>
          <w:szCs w:val="21"/>
          <w:vertAlign w:val="superscript"/>
        </w:rPr>
        <w:t>[3]</w:t>
      </w:r>
      <w:r>
        <w:rPr>
          <w:rFonts w:hint="eastAsia" w:ascii="宋体" w:hAnsi="宋体" w:cs="宋体"/>
          <w:szCs w:val="21"/>
          <w:vertAlign w:val="superscript"/>
        </w:rPr>
        <w:fldChar w:fldCharType="end"/>
      </w:r>
      <w:r>
        <w:rPr>
          <w:rFonts w:hint="eastAsia" w:ascii="宋体" w:hAnsi="宋体" w:cs="宋体"/>
          <w:szCs w:val="21"/>
        </w:rPr>
        <w:t>显示GPT-4o在中文法律知识基准上得分仅为59.4%，推理增强模型在高难度法律推理基准中亦表现不佳。而现有研究也暴露了两个亟待突破的关键瓶颈：</w:t>
      </w:r>
    </w:p>
    <w:p w14:paraId="35397C78">
      <w:pPr>
        <w:numPr>
          <w:ilvl w:val="0"/>
          <w:numId w:val="1"/>
        </w:numPr>
        <w:wordWrap w:val="0"/>
        <w:spacing w:line="360" w:lineRule="exact"/>
        <w:ind w:left="425" w:firstLine="420" w:firstLineChars="200"/>
        <w:rPr>
          <w:rFonts w:hint="eastAsia" w:ascii="宋体" w:hAnsi="宋体" w:cs="宋体"/>
          <w:szCs w:val="21"/>
        </w:rPr>
      </w:pPr>
      <w:r>
        <w:rPr>
          <w:rFonts w:hint="eastAsia" w:ascii="宋体" w:hAnsi="宋体" w:cs="宋体"/>
          <w:szCs w:val="21"/>
        </w:rPr>
        <w:t>交互动态性不足。现有法律AI系统主要采用静态问答范式，无法模拟真实庭审中多轮质证、举证、辩论的动态交互。J1-EVAL评测发现GPT-4o在动态法律场景中整体得分不足60%，尤其在程序执行（Procedural-Following Score, PFS）方面严重不足</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_Ref11310 \r \h </w:instrText>
      </w:r>
      <w:r>
        <w:rPr>
          <w:rFonts w:hint="eastAsia" w:ascii="宋体" w:hAnsi="宋体" w:cs="宋体"/>
          <w:szCs w:val="21"/>
          <w:vertAlign w:val="superscript"/>
        </w:rPr>
        <w:fldChar w:fldCharType="separate"/>
      </w:r>
      <w:r>
        <w:rPr>
          <w:rFonts w:hint="eastAsia" w:ascii="宋体" w:hAnsi="宋体" w:cs="宋体"/>
          <w:szCs w:val="21"/>
          <w:vertAlign w:val="superscript"/>
        </w:rPr>
        <w:t>[4]</w:t>
      </w:r>
      <w:r>
        <w:rPr>
          <w:rFonts w:hint="eastAsia" w:ascii="宋体" w:hAnsi="宋体" w:cs="宋体"/>
          <w:szCs w:val="21"/>
          <w:vertAlign w:val="superscript"/>
        </w:rPr>
        <w:fldChar w:fldCharType="end"/>
      </w:r>
      <w:r>
        <w:rPr>
          <w:rFonts w:hint="eastAsia" w:ascii="宋体" w:hAnsi="宋体" w:cs="宋体"/>
          <w:szCs w:val="21"/>
        </w:rPr>
        <w:t>，表明大语言模型在"知道法律知识"与"正确执行法律程序"之间存在结构性鸿沟。</w:t>
      </w:r>
    </w:p>
    <w:p w14:paraId="7968D0CC">
      <w:pPr>
        <w:numPr>
          <w:ilvl w:val="0"/>
          <w:numId w:val="1"/>
        </w:numPr>
        <w:wordWrap w:val="0"/>
        <w:spacing w:line="360" w:lineRule="exact"/>
        <w:ind w:left="425" w:firstLine="420" w:firstLineChars="200"/>
        <w:rPr>
          <w:rFonts w:hint="eastAsia" w:ascii="宋体" w:hAnsi="宋体" w:cs="宋体"/>
          <w:szCs w:val="21"/>
        </w:rPr>
      </w:pPr>
      <w:r>
        <w:rPr>
          <w:rFonts w:hint="eastAsia" w:ascii="宋体" w:hAnsi="宋体" w:cs="宋体"/>
          <w:szCs w:val="21"/>
        </w:rPr>
        <w:t>策略博弈维度缺失。真实的民事诉讼不是一次性的静态决策，而是多阶段的序贯博弈过程——原告首先选择起诉策略（如激进主张全额赔偿或保守主张部分赔偿），被告在收到起诉状后观察原告策略再选择答辩策略（如全面否认或部分承认），法官最终基于双方策略组合裁判。这种“先行动者→后行动者观察后响应”的结构，在博弈论中对应扩展式博弈（extensive-form game），Selten提出的子博弈精炼纳什均衡（Subgame Perfect Nash Equilibrium, SPNE）</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_Ref11382 \r \h </w:instrText>
      </w:r>
      <w:r>
        <w:rPr>
          <w:rFonts w:hint="eastAsia" w:ascii="宋体" w:hAnsi="宋体" w:cs="宋体"/>
          <w:szCs w:val="21"/>
          <w:vertAlign w:val="superscript"/>
        </w:rPr>
        <w:fldChar w:fldCharType="separate"/>
      </w:r>
      <w:r>
        <w:rPr>
          <w:rFonts w:hint="eastAsia" w:ascii="宋体" w:hAnsi="宋体" w:cs="宋体"/>
          <w:szCs w:val="21"/>
          <w:vertAlign w:val="superscript"/>
        </w:rPr>
        <w:t>[5]</w:t>
      </w:r>
      <w:r>
        <w:rPr>
          <w:rFonts w:hint="eastAsia" w:ascii="宋体" w:hAnsi="宋体" w:cs="宋体"/>
          <w:szCs w:val="21"/>
          <w:vertAlign w:val="superscript"/>
        </w:rPr>
        <w:fldChar w:fldCharType="end"/>
      </w:r>
      <w:r>
        <w:rPr>
          <w:rFonts w:hint="eastAsia" w:ascii="宋体" w:hAnsi="宋体" w:cs="宋体"/>
          <w:szCs w:val="21"/>
        </w:rPr>
        <w:t>正是求解此类序贯决策的经典工具——SPNE通过反向归纳法排除不可信威胁，给出比传统纳什均衡（Nash Equilibrium, NE）更精确的序贯策略预测。</w:t>
      </w:r>
    </w:p>
    <w:p w14:paraId="451F0DB5">
      <w:pPr>
        <w:wordWrap w:val="0"/>
        <w:spacing w:line="360" w:lineRule="exact"/>
        <w:ind w:left="425" w:firstLine="420" w:firstLineChars="200"/>
        <w:rPr>
          <w:rFonts w:hint="eastAsia" w:ascii="宋体" w:hAnsi="宋体" w:cs="宋体"/>
          <w:szCs w:val="21"/>
        </w:rPr>
      </w:pPr>
      <w:r>
        <w:rPr>
          <w:rFonts w:hint="eastAsia" w:ascii="宋体" w:hAnsi="宋体" w:cs="宋体"/>
          <w:szCs w:val="21"/>
        </w:rPr>
        <w:t>然而，当前的法律AI系统普遍忽略了诉讼的序贯结构。Chen等人的AgentMediation</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_Ref11437 \r \h </w:instrText>
      </w:r>
      <w:r>
        <w:rPr>
          <w:rFonts w:hint="eastAsia" w:ascii="宋体" w:hAnsi="宋体" w:cs="宋体"/>
          <w:szCs w:val="21"/>
          <w:vertAlign w:val="superscript"/>
        </w:rPr>
        <w:fldChar w:fldCharType="separate"/>
      </w:r>
      <w:r>
        <w:rPr>
          <w:rFonts w:hint="eastAsia" w:ascii="宋体" w:hAnsi="宋体" w:cs="宋体"/>
          <w:szCs w:val="21"/>
          <w:vertAlign w:val="superscript"/>
        </w:rPr>
        <w:t>[6]</w:t>
      </w:r>
      <w:r>
        <w:rPr>
          <w:rFonts w:hint="eastAsia" w:ascii="宋体" w:hAnsi="宋体" w:cs="宋体"/>
          <w:szCs w:val="21"/>
          <w:vertAlign w:val="superscript"/>
        </w:rPr>
        <w:fldChar w:fldCharType="end"/>
      </w:r>
      <w:r>
        <w:rPr>
          <w:rFonts w:hint="eastAsia" w:ascii="宋体" w:hAnsi="宋体" w:cs="宋体"/>
          <w:szCs w:val="21"/>
        </w:rPr>
        <w:t>是当前LLM多智能体法律模拟的代表性工作，通过在330个真实民事案件上进行超过14000次模拟，基于Thomas-Kilmann冲突模型（TKI）</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_Ref11506 \r \h </w:instrText>
      </w:r>
      <w:r>
        <w:rPr>
          <w:rFonts w:hint="eastAsia" w:ascii="宋体" w:hAnsi="宋体" w:cs="宋体"/>
          <w:szCs w:val="21"/>
          <w:vertAlign w:val="superscript"/>
        </w:rPr>
        <w:fldChar w:fldCharType="separate"/>
      </w:r>
      <w:r>
        <w:rPr>
          <w:rFonts w:hint="eastAsia" w:ascii="宋体" w:hAnsi="宋体" w:cs="宋体"/>
          <w:szCs w:val="21"/>
          <w:vertAlign w:val="superscript"/>
        </w:rPr>
        <w:t>[7]</w:t>
      </w:r>
      <w:r>
        <w:rPr>
          <w:rFonts w:hint="eastAsia" w:ascii="宋体" w:hAnsi="宋体" w:cs="宋体"/>
          <w:szCs w:val="21"/>
          <w:vertAlign w:val="superscript"/>
        </w:rPr>
        <w:fldChar w:fldCharType="end"/>
      </w:r>
      <w:r>
        <w:rPr>
          <w:rFonts w:hint="eastAsia" w:ascii="宋体" w:hAnsi="宋体" w:cs="宋体"/>
          <w:szCs w:val="21"/>
        </w:rPr>
        <w:t>验证了不同行为策略对调解结果的显著非线性影响。然而该工作仅在单一调解阶段中使用静态策略标签，以标准式博弈（normal-form game）求解NE，既未建模诉讼从起诉到答辩的序贯决策结构，也未分析策略跨阶段的传导效应。在真实诉讼中，原告的起诉策略选择会实质性地改变被告的信息集和可选行动空间——例如原告选择“竞争型”策略激进主张全额赔偿后，被告可能发现全面否认（同样“竞争型”）的预期收益反而低于部分承认（“妥协型”），因为法官会认为面对充分证据的全面否认缺乏可信度。这种序贯依赖关系被静态NE完全忽略。</w:t>
      </w:r>
    </w:p>
    <w:p w14:paraId="535DAC4C">
      <w:pPr>
        <w:wordWrap w:val="0"/>
        <w:spacing w:line="360" w:lineRule="exact"/>
        <w:ind w:left="425" w:firstLine="420" w:firstLineChars="200"/>
        <w:rPr>
          <w:rFonts w:hint="eastAsia" w:ascii="宋体" w:hAnsi="宋体" w:cs="宋体"/>
          <w:szCs w:val="21"/>
        </w:rPr>
      </w:pPr>
      <w:r>
        <w:rPr>
          <w:rFonts w:hint="eastAsia" w:ascii="宋体" w:hAnsi="宋体" w:cs="宋体"/>
          <w:szCs w:val="21"/>
        </w:rPr>
        <w:t>Sun等人的系统综述</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_Ref11506 \r \h </w:instrText>
      </w:r>
      <w:r>
        <w:rPr>
          <w:rFonts w:hint="eastAsia" w:ascii="宋体" w:hAnsi="宋体" w:cs="宋体"/>
          <w:szCs w:val="21"/>
          <w:vertAlign w:val="superscript"/>
        </w:rPr>
        <w:fldChar w:fldCharType="separate"/>
      </w:r>
      <w:r>
        <w:rPr>
          <w:rFonts w:hint="eastAsia" w:ascii="宋体" w:hAnsi="宋体" w:cs="宋体"/>
          <w:szCs w:val="21"/>
          <w:vertAlign w:val="superscript"/>
        </w:rPr>
        <w:t>[8]</w:t>
      </w:r>
      <w:r>
        <w:rPr>
          <w:rFonts w:hint="eastAsia" w:ascii="宋体" w:hAnsi="宋体" w:cs="宋体"/>
          <w:szCs w:val="21"/>
          <w:vertAlign w:val="superscript"/>
        </w:rPr>
        <w:fldChar w:fldCharType="end"/>
      </w:r>
      <w:r>
        <w:rPr>
          <w:rFonts w:hint="eastAsia" w:ascii="宋体" w:hAnsi="宋体" w:cs="宋体"/>
          <w:szCs w:val="21"/>
        </w:rPr>
        <w:t>将博弈论与LLM的交叉研究归纳为四个象限，指出当前研究主要集中在“用博弈论评测LLM”（象限1），而将博弈论机制嵌入LLM多智能体系统以驱动策略优化（象限2与4的交叉）的工作并不多见。尤其是，将扩展式博弈的SPNE框架引入LLM多智能体法律模拟系统，在现有文献中并未有过多探索。进一步地，若SPNE给出了不同于NE的策略预测，还需追问该序贯均衡在群体层面是否稳定，Maynard Smith的演化稳定策略（Evolutionarily Stable Strategy, ESS）理论</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_Ref11610 \r \h </w:instrText>
      </w:r>
      <w:r>
        <w:rPr>
          <w:rFonts w:hint="eastAsia" w:ascii="宋体" w:hAnsi="宋体" w:cs="宋体"/>
          <w:szCs w:val="21"/>
          <w:vertAlign w:val="superscript"/>
        </w:rPr>
        <w:fldChar w:fldCharType="separate"/>
      </w:r>
      <w:r>
        <w:rPr>
          <w:rFonts w:hint="eastAsia" w:ascii="宋体" w:hAnsi="宋体" w:cs="宋体"/>
          <w:szCs w:val="21"/>
          <w:vertAlign w:val="superscript"/>
        </w:rPr>
        <w:t>[9]</w:t>
      </w:r>
      <w:r>
        <w:rPr>
          <w:rFonts w:hint="eastAsia" w:ascii="宋体" w:hAnsi="宋体" w:cs="宋体"/>
          <w:szCs w:val="21"/>
          <w:vertAlign w:val="superscript"/>
        </w:rPr>
        <w:fldChar w:fldCharType="end"/>
      </w:r>
      <w:r>
        <w:rPr>
          <w:rFonts w:hint="eastAsia" w:ascii="宋体" w:hAnsi="宋体" w:cs="宋体"/>
          <w:szCs w:val="21"/>
        </w:rPr>
        <w:t>和复制者动态方程为此提供了成熟的数学验证工具，但尚未被引入法律AI领域。</w:t>
      </w:r>
    </w:p>
    <w:p w14:paraId="4BA7CDC1">
      <w:pPr>
        <w:wordWrap w:val="0"/>
        <w:spacing w:line="360" w:lineRule="exact"/>
        <w:ind w:left="425" w:firstLine="420" w:firstLineChars="200"/>
        <w:rPr>
          <w:rFonts w:eastAsia="黑体"/>
          <w:bCs/>
          <w:szCs w:val="21"/>
        </w:rPr>
      </w:pPr>
      <w:r>
        <w:rPr>
          <w:rFonts w:hint="eastAsia" w:ascii="宋体" w:hAnsi="宋体" w:cs="宋体"/>
          <w:szCs w:val="21"/>
        </w:rPr>
        <w:t>基于上述分析，本研究拟构建一个基于扩展式博弈建模的多智能体协同模拟法庭系统（LegalFlow），在LLM多智能体框架下将民事诉讼的起诉（Complaint Drafting, CD）→答辩（Defense Drafting, DD）→审判（Court Investigation, CI）全流程管道建模为扩展式博弈，引入SPNE求解序贯策略，通过与传统NE的系统性对照实验验证序贯建模在法律AI策略预测中的有效性，并借助演化博弈理论在群体层面检验序贯均衡的稳定性。系统由原告律师智能体、被告律师智能体、审判长智能体和当事人模拟器四个角色在博弈框架下协同运作，底层辅以渐进式法条检索增强（Progressive Retrieval-Augmented Generation, P-RAG）保障判决质量，旨在为法律AI领域提供一个兼具博弈论理论深度和工程可用性的模拟法庭研究平台。</w:t>
      </w:r>
    </w:p>
    <w:p w14:paraId="7F8D3F66">
      <w:pPr>
        <w:wordWrap w:val="0"/>
        <w:ind w:left="424"/>
        <w:rPr>
          <w:rFonts w:eastAsia="黑体"/>
          <w:bCs/>
          <w:sz w:val="24"/>
          <w:szCs w:val="24"/>
        </w:rPr>
      </w:pPr>
      <w:bookmarkStart w:id="0" w:name="baseon"/>
      <w:bookmarkEnd w:id="0"/>
    </w:p>
    <w:p w14:paraId="68C62789">
      <w:pPr>
        <w:wordWrap w:val="0"/>
        <w:spacing w:after="120" w:afterLines="50"/>
        <w:ind w:left="425" w:right="158" w:rightChars="75"/>
        <w:rPr>
          <w:rFonts w:eastAsia="黑体"/>
          <w:bCs/>
          <w:sz w:val="24"/>
          <w:szCs w:val="24"/>
        </w:rPr>
      </w:pPr>
      <w:r>
        <w:rPr>
          <w:rFonts w:eastAsia="黑体"/>
          <w:bCs/>
          <w:sz w:val="24"/>
          <w:szCs w:val="24"/>
        </w:rPr>
        <w:t>参考文献</w:t>
      </w:r>
      <w:r>
        <w:rPr>
          <w:rFonts w:hint="eastAsia" w:eastAsia="黑体"/>
          <w:bCs/>
          <w:sz w:val="24"/>
          <w:szCs w:val="24"/>
        </w:rPr>
        <w:t>：</w:t>
      </w:r>
    </w:p>
    <w:p w14:paraId="14E799CD">
      <w:pPr>
        <w:numPr>
          <w:ilvl w:val="0"/>
          <w:numId w:val="2"/>
        </w:numPr>
        <w:wordWrap w:val="0"/>
        <w:spacing w:line="360" w:lineRule="auto"/>
        <w:ind w:right="-57"/>
        <w:outlineLvl w:val="1"/>
        <w:rPr>
          <w:rFonts w:hint="eastAsia" w:ascii="楷体" w:hAnsi="楷体" w:eastAsia="楷体" w:cs="楷体"/>
          <w:bCs/>
          <w:sz w:val="24"/>
          <w:szCs w:val="24"/>
        </w:rPr>
      </w:pPr>
      <w:bookmarkStart w:id="1" w:name="_Ref11114"/>
      <w:r>
        <w:rPr>
          <w:rFonts w:hint="eastAsia" w:ascii="楷体" w:hAnsi="楷体" w:eastAsia="楷体" w:cs="楷体"/>
          <w:bCs/>
          <w:sz w:val="24"/>
          <w:szCs w:val="24"/>
        </w:rPr>
        <w:t>最高人民法院. 最高人民法院工作报告. 2026.</w:t>
      </w:r>
      <w:bookmarkEnd w:id="1"/>
    </w:p>
    <w:p w14:paraId="1403F796">
      <w:pPr>
        <w:numPr>
          <w:ilvl w:val="0"/>
          <w:numId w:val="2"/>
        </w:numPr>
        <w:wordWrap w:val="0"/>
        <w:spacing w:line="360" w:lineRule="auto"/>
        <w:ind w:right="-57"/>
        <w:outlineLvl w:val="1"/>
        <w:rPr>
          <w:rFonts w:hint="eastAsia" w:ascii="楷体" w:hAnsi="楷体" w:eastAsia="楷体" w:cs="楷体"/>
          <w:bCs/>
          <w:sz w:val="24"/>
          <w:szCs w:val="24"/>
        </w:rPr>
      </w:pPr>
      <w:bookmarkStart w:id="2" w:name="_Ref11179"/>
      <w:r>
        <w:rPr>
          <w:rFonts w:hint="eastAsia" w:ascii="楷体" w:hAnsi="楷体" w:eastAsia="楷体" w:cs="楷体"/>
          <w:bCs/>
          <w:sz w:val="24"/>
          <w:szCs w:val="24"/>
        </w:rPr>
        <w:t>最高人民法院. 人民法院第六个五年改革纲要（2024—2028年）. 2024.</w:t>
      </w:r>
      <w:bookmarkEnd w:id="2"/>
    </w:p>
    <w:p w14:paraId="773DEC1D">
      <w:pPr>
        <w:numPr>
          <w:ilvl w:val="0"/>
          <w:numId w:val="2"/>
        </w:numPr>
        <w:wordWrap w:val="0"/>
        <w:spacing w:line="360" w:lineRule="auto"/>
        <w:ind w:right="-57"/>
        <w:outlineLvl w:val="1"/>
        <w:rPr>
          <w:rFonts w:hint="eastAsia" w:ascii="楷体" w:hAnsi="楷体" w:eastAsia="楷体" w:cs="楷体"/>
          <w:bCs/>
          <w:sz w:val="24"/>
          <w:szCs w:val="24"/>
        </w:rPr>
      </w:pPr>
      <w:bookmarkStart w:id="3" w:name="_Ref11261"/>
      <w:r>
        <w:rPr>
          <w:rFonts w:hint="eastAsia" w:ascii="楷体" w:hAnsi="楷体" w:eastAsia="楷体" w:cs="楷体"/>
          <w:bCs/>
          <w:sz w:val="24"/>
          <w:szCs w:val="24"/>
        </w:rPr>
        <w:t>Yu Y, Hu Y, et al. Evaluating Test-Time Scaling LLMs for Legal Reasoning: OpenAI o1, DeepSeek-R1, and Beyond. Findings of EMNLP, 2025.</w:t>
      </w:r>
      <w:bookmarkEnd w:id="3"/>
    </w:p>
    <w:p w14:paraId="1D97FE56">
      <w:pPr>
        <w:numPr>
          <w:ilvl w:val="0"/>
          <w:numId w:val="2"/>
        </w:numPr>
        <w:wordWrap w:val="0"/>
        <w:spacing w:line="360" w:lineRule="auto"/>
        <w:ind w:right="-57"/>
        <w:outlineLvl w:val="1"/>
        <w:rPr>
          <w:rFonts w:hint="eastAsia" w:ascii="楷体" w:hAnsi="楷体" w:eastAsia="楷体" w:cs="楷体"/>
          <w:bCs/>
          <w:sz w:val="24"/>
          <w:szCs w:val="24"/>
        </w:rPr>
      </w:pPr>
      <w:bookmarkStart w:id="4" w:name="_Ref11310"/>
      <w:r>
        <w:rPr>
          <w:rFonts w:hint="eastAsia" w:ascii="楷体" w:hAnsi="楷体" w:eastAsia="楷体" w:cs="楷体"/>
          <w:bCs/>
          <w:sz w:val="24"/>
          <w:szCs w:val="24"/>
        </w:rPr>
        <w:t>Jia Z, Yue S, Chen W, et al. Ready Jurist One: Benchmarking Language Agents for Legal Intelligence in Dynamic Environments. arXiv, 2025.</w:t>
      </w:r>
      <w:bookmarkEnd w:id="4"/>
    </w:p>
    <w:p w14:paraId="6B04EF00">
      <w:pPr>
        <w:numPr>
          <w:ilvl w:val="0"/>
          <w:numId w:val="2"/>
        </w:numPr>
        <w:wordWrap w:val="0"/>
        <w:spacing w:line="360" w:lineRule="auto"/>
        <w:ind w:right="-57"/>
        <w:outlineLvl w:val="1"/>
        <w:rPr>
          <w:rFonts w:hint="eastAsia" w:ascii="楷体" w:hAnsi="楷体" w:eastAsia="楷体" w:cs="楷体"/>
          <w:bCs/>
          <w:sz w:val="24"/>
          <w:szCs w:val="24"/>
        </w:rPr>
      </w:pPr>
      <w:bookmarkStart w:id="5" w:name="_Ref11382"/>
      <w:r>
        <w:rPr>
          <w:rFonts w:hint="eastAsia" w:ascii="楷体" w:hAnsi="楷体" w:eastAsia="楷体" w:cs="楷体"/>
          <w:bCs/>
          <w:sz w:val="24"/>
          <w:szCs w:val="24"/>
        </w:rPr>
        <w:t>Selten R. Reexamination of the Perfectness Concept for Equilibrium Points in Extensive Games. International Journal of Game Theory, 1975, 4(1): 25-55.</w:t>
      </w:r>
      <w:bookmarkEnd w:id="5"/>
    </w:p>
    <w:p w14:paraId="3751B0F6">
      <w:pPr>
        <w:numPr>
          <w:ilvl w:val="0"/>
          <w:numId w:val="2"/>
        </w:numPr>
        <w:wordWrap w:val="0"/>
        <w:spacing w:line="360" w:lineRule="auto"/>
        <w:ind w:right="-57"/>
        <w:outlineLvl w:val="1"/>
        <w:rPr>
          <w:rFonts w:hint="eastAsia" w:ascii="楷体" w:hAnsi="楷体" w:eastAsia="楷体" w:cs="楷体"/>
          <w:bCs/>
          <w:sz w:val="24"/>
          <w:szCs w:val="24"/>
        </w:rPr>
      </w:pPr>
      <w:bookmarkStart w:id="6" w:name="_Ref11437"/>
      <w:r>
        <w:rPr>
          <w:rFonts w:hint="eastAsia" w:ascii="楷体" w:hAnsi="楷体" w:eastAsia="楷体" w:cs="楷体"/>
          <w:bCs/>
          <w:sz w:val="24"/>
          <w:szCs w:val="24"/>
        </w:rPr>
        <w:t>Chen J, Li H, Qin M, et al. Simulating Dispute Mediation with LLM-Based Agents for Legal Research. Proceedings of AAAI, 2026.</w:t>
      </w:r>
      <w:bookmarkEnd w:id="6"/>
    </w:p>
    <w:p w14:paraId="53FE9ED0">
      <w:pPr>
        <w:numPr>
          <w:ilvl w:val="0"/>
          <w:numId w:val="2"/>
        </w:numPr>
        <w:wordWrap w:val="0"/>
        <w:spacing w:line="360" w:lineRule="auto"/>
        <w:ind w:right="-57"/>
        <w:outlineLvl w:val="1"/>
        <w:rPr>
          <w:rFonts w:hint="eastAsia" w:ascii="楷体" w:hAnsi="楷体" w:eastAsia="楷体" w:cs="楷体"/>
          <w:bCs/>
          <w:sz w:val="24"/>
          <w:szCs w:val="24"/>
        </w:rPr>
      </w:pPr>
      <w:bookmarkStart w:id="7" w:name="_Ref11506"/>
      <w:r>
        <w:rPr>
          <w:rFonts w:hint="eastAsia" w:ascii="楷体" w:hAnsi="楷体" w:eastAsia="楷体" w:cs="楷体"/>
          <w:bCs/>
          <w:sz w:val="24"/>
          <w:szCs w:val="24"/>
        </w:rPr>
        <w:t xml:space="preserve"> Thomas K W. Thomas-Kilmann Conflict Mode Instrument. TKI Profile and Interpretive Report, 2008.</w:t>
      </w:r>
      <w:bookmarkEnd w:id="7"/>
    </w:p>
    <w:p w14:paraId="6A1F7C68">
      <w:pPr>
        <w:numPr>
          <w:ilvl w:val="0"/>
          <w:numId w:val="2"/>
        </w:numPr>
        <w:wordWrap w:val="0"/>
        <w:spacing w:line="360" w:lineRule="auto"/>
        <w:ind w:right="-57"/>
        <w:outlineLvl w:val="1"/>
        <w:rPr>
          <w:rFonts w:hint="eastAsia" w:ascii="楷体" w:hAnsi="楷体" w:eastAsia="楷体" w:cs="楷体"/>
          <w:bCs/>
          <w:sz w:val="24"/>
          <w:szCs w:val="24"/>
        </w:rPr>
      </w:pPr>
      <w:bookmarkStart w:id="8" w:name="_Ref11610"/>
      <w:r>
        <w:rPr>
          <w:rFonts w:hint="eastAsia" w:ascii="楷体" w:hAnsi="楷体" w:eastAsia="楷体" w:cs="楷体"/>
          <w:bCs/>
          <w:sz w:val="24"/>
          <w:szCs w:val="24"/>
        </w:rPr>
        <w:t>Sun H, Wu Y, Wang P, et al. Game Theory Meets Large Language Models: A Systematic Survey with Taxonomy and New Frontiers. arXiv, 2025.</w:t>
      </w:r>
      <w:bookmarkEnd w:id="8"/>
    </w:p>
    <w:p w14:paraId="54F4A2BB">
      <w:pPr>
        <w:numPr>
          <w:ilvl w:val="0"/>
          <w:numId w:val="2"/>
        </w:numPr>
        <w:wordWrap w:val="0"/>
        <w:spacing w:line="360" w:lineRule="auto"/>
        <w:ind w:right="-57"/>
        <w:outlineLvl w:val="1"/>
        <w:rPr>
          <w:rFonts w:hint="eastAsia" w:ascii="楷体" w:hAnsi="楷体" w:eastAsia="楷体" w:cs="楷体"/>
          <w:bCs/>
          <w:sz w:val="24"/>
          <w:szCs w:val="24"/>
        </w:rPr>
      </w:pPr>
      <w:r>
        <w:rPr>
          <w:rFonts w:hint="eastAsia" w:ascii="楷体" w:hAnsi="楷体" w:eastAsia="楷体" w:cs="楷体"/>
          <w:bCs/>
          <w:sz w:val="24"/>
          <w:szCs w:val="24"/>
        </w:rPr>
        <w:t>Maynard Smith J, Price G R. The Logic of Animal Conflict. Nature, 1973, 246: 15-18.</w:t>
      </w:r>
    </w:p>
    <w:p w14:paraId="4813D0ED">
      <w:pPr>
        <w:numPr>
          <w:ilvl w:val="0"/>
          <w:numId w:val="2"/>
        </w:numPr>
        <w:wordWrap w:val="0"/>
        <w:spacing w:line="360" w:lineRule="auto"/>
        <w:ind w:right="-57"/>
        <w:outlineLvl w:val="1"/>
        <w:rPr>
          <w:rFonts w:hint="eastAsia" w:ascii="楷体" w:hAnsi="楷体" w:eastAsia="楷体" w:cs="楷体"/>
          <w:bCs/>
          <w:sz w:val="24"/>
          <w:szCs w:val="24"/>
        </w:rPr>
      </w:pPr>
      <w:r>
        <w:rPr>
          <w:rFonts w:hint="eastAsia" w:ascii="楷体" w:hAnsi="楷体" w:eastAsia="楷体" w:cs="楷体"/>
          <w:bCs/>
          <w:sz w:val="24"/>
          <w:szCs w:val="24"/>
        </w:rPr>
        <w:t>Li H, Chen Y, Ai Q, et al. LexEval: A Comprehensive Chinese Legal Benchmark for Evaluating Large Language Models. Proceedings of NeurIPS Datasets and Benchmarks Track, 2024.</w:t>
      </w:r>
    </w:p>
    <w:p w14:paraId="3B42EAA4">
      <w:pPr>
        <w:numPr>
          <w:ilvl w:val="0"/>
          <w:numId w:val="2"/>
        </w:numPr>
        <w:wordWrap w:val="0"/>
        <w:spacing w:line="360" w:lineRule="auto"/>
        <w:ind w:right="-57"/>
        <w:outlineLvl w:val="1"/>
        <w:rPr>
          <w:rFonts w:hint="eastAsia" w:ascii="楷体" w:hAnsi="楷体" w:eastAsia="楷体" w:cs="楷体"/>
          <w:bCs/>
          <w:sz w:val="24"/>
          <w:szCs w:val="24"/>
        </w:rPr>
      </w:pPr>
      <w:r>
        <w:rPr>
          <w:rFonts w:hint="eastAsia" w:ascii="楷体" w:hAnsi="楷体" w:eastAsia="楷体" w:cs="楷体"/>
          <w:bCs/>
          <w:sz w:val="24"/>
          <w:szCs w:val="24"/>
        </w:rPr>
        <w:t>Zhou S, Wu Y, Chen H, et al. ClaimGen-CN: A Large-scale Chinese Dataset for Legal Claim Generation. Findings of EMNLP, 2025.</w:t>
      </w:r>
    </w:p>
    <w:p w14:paraId="1130678E">
      <w:pPr>
        <w:wordWrap w:val="0"/>
        <w:spacing w:line="360" w:lineRule="auto"/>
        <w:ind w:right="-57"/>
        <w:outlineLvl w:val="1"/>
        <w:rPr>
          <w:rFonts w:eastAsia="楷体_GB2312"/>
          <w:b/>
          <w:sz w:val="24"/>
          <w:szCs w:val="24"/>
        </w:rPr>
      </w:pPr>
      <w:r>
        <w:rPr>
          <w:rFonts w:hint="eastAsia" w:ascii="宋体" w:hAnsi="宋体" w:cs="宋体"/>
          <w:b/>
          <w:szCs w:val="21"/>
        </w:rPr>
        <w:br w:type="page"/>
      </w:r>
      <w:r>
        <w:rPr>
          <w:rFonts w:eastAsia="黑体"/>
          <w:b/>
          <w:sz w:val="28"/>
          <w:szCs w:val="28"/>
        </w:rPr>
        <w:t>（二）</w:t>
      </w:r>
      <w:r>
        <w:rPr>
          <w:rFonts w:hint="eastAsia" w:eastAsia="黑体"/>
          <w:b/>
          <w:sz w:val="28"/>
          <w:szCs w:val="28"/>
        </w:rPr>
        <w:t>前期工作</w:t>
      </w:r>
    </w:p>
    <w:p w14:paraId="09015B20">
      <w:pPr>
        <w:numPr>
          <w:ilvl w:val="0"/>
          <w:numId w:val="3"/>
        </w:numPr>
        <w:spacing w:line="360" w:lineRule="exact"/>
        <w:ind w:right="71" w:rightChars="34"/>
        <w:rPr>
          <w:rFonts w:hint="eastAsia" w:ascii="宋体" w:hAnsi="宋体" w:cs="宋体"/>
          <w:bCs/>
          <w:szCs w:val="21"/>
        </w:rPr>
      </w:pPr>
      <w:r>
        <w:rPr>
          <w:rFonts w:hint="eastAsia" w:ascii="宋体" w:hAnsi="宋体" w:cs="宋体"/>
          <w:bCs/>
          <w:szCs w:val="21"/>
        </w:rPr>
        <w:t>文献调研与理论基础</w:t>
      </w:r>
    </w:p>
    <w:p w14:paraId="1411985E">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本研究系统调研了法律AI评测、LLM博弈行为和经典博弈论三个方向的代表性文献，确立了以扩展式博弈建模为核心的研究路线。在评测维度，LexEval</w:t>
      </w:r>
      <w:r>
        <w:rPr>
          <w:rFonts w:hint="eastAsia" w:ascii="宋体" w:hAnsi="宋体" w:cs="宋体"/>
          <w:bCs/>
          <w:szCs w:val="21"/>
          <w:vertAlign w:val="superscript"/>
        </w:rPr>
        <w:t>[10]</w:t>
      </w:r>
      <w:r>
        <w:rPr>
          <w:rFonts w:hint="eastAsia" w:ascii="宋体" w:hAnsi="宋体" w:cs="宋体"/>
          <w:bCs/>
          <w:szCs w:val="21"/>
        </w:rPr>
        <w:t>建立了六层法律认知能力分类体系（23项任务/14150题），为法律AI的能力评估提供了多粒度基准；J1-EVAL首次构建了交互式动态法律环境，提出PFS/JUD/REA/LAW等细粒度指标，其核心发现——LLM在程序执行层面严重不足——直接启发了本系统庭审状态机的设计。在博弈维度，AgentMediation基于TKI五策略在330个民事案件上验证了不同冲突策略对调解结果的非线性影响和群体极化效应，但仅限于单一调解阶段的静态策略分配，未涉及诉讼的序贯决策建模——这一局限正是本研究的学术出发点。Sun等人的综述系统梳理了博弈论×LLM的四象限分类，明确指出将博弈论机制嵌入LLM多智能体系统的工作极为稀缺，尤其是扩展式博弈在法律场景中的应用尚属空白。在经典博弈论方面，本研究重点调研了两个核心工具：Selten的子博弈精炼均衡（SPNE）为序贯决策提供了基于反向归纳的精确求解方法，是本研究的核心理论工具；Maynard Smith的演化稳定策略（ESS）理论和复制者动态方程为群体层面的均衡稳定性检验提供了数学框架，将用于补充验证SPNE均衡的群体鲁棒性。</w:t>
      </w:r>
    </w:p>
    <w:p w14:paraId="020F1B67">
      <w:pPr>
        <w:numPr>
          <w:ilvl w:val="0"/>
          <w:numId w:val="3"/>
        </w:numPr>
        <w:spacing w:line="360" w:lineRule="exact"/>
        <w:ind w:right="71" w:rightChars="34"/>
        <w:rPr>
          <w:rFonts w:hint="eastAsia" w:ascii="宋体" w:hAnsi="宋体" w:cs="宋体"/>
          <w:bCs/>
          <w:szCs w:val="21"/>
        </w:rPr>
      </w:pPr>
      <w:r>
        <w:rPr>
          <w:rFonts w:hint="eastAsia" w:ascii="宋体" w:hAnsi="宋体" w:cs="宋体"/>
          <w:bCs/>
          <w:szCs w:val="21"/>
        </w:rPr>
        <w:t>系统原型开发</w:t>
      </w:r>
    </w:p>
    <w:p w14:paraId="189AFC50">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受J1-ENVS多层级环境架构的启发，本研究以"角色分离—引擎驱动—评测闭环"为设计原则，已完成LegalFlow系统v1.0的开发，总体架构如图1所示，包含28个功能Python模块（core层23个、agents层5个）、65个FastAPI端点。</w:t>
      </w:r>
    </w:p>
    <w:p w14:paraId="0CCE3DE5">
      <w:pPr>
        <w:spacing w:line="360" w:lineRule="auto"/>
        <w:ind w:right="71" w:rightChars="34"/>
        <w:rPr>
          <w:rFonts w:hint="eastAsia" w:ascii="宋体" w:hAnsi="宋体" w:cs="宋体"/>
          <w:bCs/>
          <w:szCs w:val="21"/>
        </w:rPr>
      </w:pPr>
    </w:p>
    <w:p w14:paraId="5F29207A">
      <w:pPr>
        <w:spacing w:line="360" w:lineRule="auto"/>
        <w:ind w:right="71" w:rightChars="34" w:firstLine="371" w:firstLineChars="177"/>
        <w:jc w:val="center"/>
        <w:rPr>
          <w:rFonts w:hint="eastAsia" w:ascii="宋体" w:hAnsi="宋体" w:cs="宋体"/>
          <w:bCs/>
          <w:szCs w:val="21"/>
        </w:rPr>
      </w:pPr>
      <w:r>
        <w:rPr>
          <w:rFonts w:ascii="宋体" w:hAnsi="宋体" w:cs="宋体"/>
          <w:bCs/>
          <w:szCs w:val="21"/>
        </w:rPr>
        <w:pict>
          <v:shape id="_x0000_i1032" o:spt="75" alt="图1_LegalFlow系统架构" type="#_x0000_t75" style="height:253.25pt;width:415.65pt;" filled="f" o:preferrelative="t" stroked="f" coordsize="21600,21600">
            <v:path/>
            <v:fill on="f" focussize="0,0"/>
            <v:stroke on="f" joinstyle="miter"/>
            <v:imagedata r:id="rId16" cropright="353f" cropbottom="16163f" o:title="图1_LegalFlow系统架构"/>
            <o:lock v:ext="edit" aspectratio="t"/>
            <w10:wrap type="none"/>
            <w10:anchorlock/>
          </v:shape>
        </w:pict>
      </w:r>
    </w:p>
    <w:p w14:paraId="47CFE18E">
      <w:pPr>
        <w:spacing w:line="360" w:lineRule="auto"/>
        <w:ind w:right="71" w:rightChars="34" w:firstLine="371" w:firstLineChars="177"/>
        <w:jc w:val="center"/>
        <w:rPr>
          <w:rFonts w:hint="eastAsia" w:ascii="宋体" w:hAnsi="宋体" w:cs="宋体"/>
          <w:bCs/>
          <w:szCs w:val="21"/>
        </w:rPr>
      </w:pPr>
      <w:r>
        <w:rPr>
          <w:rFonts w:hint="eastAsia" w:ascii="宋体" w:hAnsi="宋体" w:cs="宋体"/>
          <w:bCs/>
          <w:szCs w:val="21"/>
        </w:rPr>
        <w:t>图1 LegalFlowv1.0系统架构</w:t>
      </w:r>
    </w:p>
    <w:p w14:paraId="0D0CDA62">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数据输入经三场景重构后进入扩展式博弈驱动的多智能体协同管道（CD→DD→CI），核心引擎基于SPNE建模序贯策略决策，辅以演化博弈模拟器和P-RAG渐进式法条检索，最终输出多维评测结果。</w:t>
      </w:r>
    </w:p>
    <w:p w14:paraId="41229441">
      <w:pPr>
        <w:spacing w:line="360" w:lineRule="auto"/>
        <w:ind w:right="71" w:rightChars="34" w:firstLine="371" w:firstLineChars="177"/>
        <w:jc w:val="center"/>
        <w:rPr>
          <w:rFonts w:hint="eastAsia" w:ascii="宋体" w:hAnsi="宋体" w:cs="宋体"/>
          <w:bCs/>
          <w:szCs w:val="21"/>
        </w:rPr>
      </w:pPr>
      <w:r>
        <w:rPr>
          <w:rFonts w:hint="eastAsia" w:ascii="宋体" w:hAnsi="宋体" w:cs="宋体"/>
          <w:bCs/>
          <w:szCs w:val="21"/>
        </w:rPr>
        <w:t>、</w:t>
      </w:r>
      <w:r>
        <w:rPr>
          <w:rFonts w:ascii="宋体" w:hAnsi="宋体" w:cs="宋体"/>
          <w:bCs/>
          <w:szCs w:val="21"/>
        </w:rPr>
        <w:pict>
          <v:shape id="_x0000_i1033" o:spt="75" alt="7ab63a1cec2e6ea8d572aa3b55db88f7" type="#_x0000_t75" style="height:223.95pt;width:434.1pt;" filled="f" o:preferrelative="t" stroked="f" coordsize="21600,21600">
            <v:path/>
            <v:fill on="f" focussize="0,0"/>
            <v:stroke on="f" joinstyle="miter"/>
            <v:imagedata r:id="rId17" o:title="7ab63a1cec2e6ea8d572aa3b55db88f7"/>
            <o:lock v:ext="edit" aspectratio="t"/>
            <w10:wrap type="none"/>
            <w10:anchorlock/>
          </v:shape>
        </w:pict>
      </w:r>
    </w:p>
    <w:p w14:paraId="669E535C">
      <w:pPr>
        <w:pStyle w:val="4"/>
        <w:spacing w:line="360" w:lineRule="auto"/>
        <w:ind w:right="71" w:rightChars="34" w:firstLine="371" w:firstLineChars="177"/>
        <w:jc w:val="center"/>
        <w:rPr>
          <w:rFonts w:hint="eastAsia" w:ascii="宋体" w:hAnsi="宋体" w:eastAsia="宋体" w:cs="宋体"/>
          <w:sz w:val="21"/>
          <w:szCs w:val="21"/>
        </w:rPr>
      </w:pPr>
      <w:r>
        <w:rPr>
          <w:rFonts w:hint="eastAsia" w:ascii="宋体" w:hAnsi="宋体" w:eastAsia="宋体" w:cs="宋体"/>
          <w:sz w:val="21"/>
          <w:szCs w:val="21"/>
        </w:rPr>
        <w:t>图 2 LegalFlow系统前端界面</w:t>
      </w:r>
    </w:p>
    <w:p w14:paraId="62F0D0C7">
      <w:pPr>
        <w:pStyle w:val="4"/>
        <w:spacing w:line="360" w:lineRule="exact"/>
        <w:ind w:right="71" w:rightChars="34" w:firstLine="371" w:firstLineChars="177"/>
        <w:rPr>
          <w:sz w:val="21"/>
          <w:szCs w:val="21"/>
        </w:rPr>
      </w:pPr>
      <w:r>
        <w:rPr>
          <w:rFonts w:hint="eastAsia" w:ascii="宋体" w:hAnsi="宋体" w:eastAsia="宋体" w:cs="宋体"/>
          <w:sz w:val="21"/>
          <w:szCs w:val="21"/>
        </w:rPr>
        <w:t>顶部导航栏集成了系统的核心功能模块：模拟器（CD→DD→CI全流程管道运行）、对话（智能体交互界面）、博弈（扩展式博弈引擎与策略分析）、评测（SR/ECR等多维指标计算）、数据库（LegalFlow-1K数据集管理）、API历史（65个FastAPI端点调用记录）和系统状态（多模型运行时监控）。系统已完成前后端联调，支持完整的模拟法庭实验流程。</w:t>
      </w:r>
    </w:p>
    <w:p w14:paraId="4B8652C3">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系统包含四个核心层次：</w:t>
      </w:r>
    </w:p>
    <w:p w14:paraId="7B21CEF7">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智能体层。包括CD Agent（起诉状律师）、DD Agent（答辩状律师）、CI Agent（审判长）和Sim Agent（当事人模拟器）四个角色。CD Agent接收案件事实，生成起诉状并选择起诉策略（TKI五策略之一）；DD Agent观察起诉状后生成答辩状并选择答辩策略——被告在答辩阶段可观察原告的起诉策略类型，这一完美信息假设在模拟法庭中具有合理性（起诉状在答辩前已送达被告）。CI Agent内置26项必经步骤的庭审有限状态机（6个主状态：Opening→Investigation→Debate→Mediation→Judgment→Closed），实时追踪每项动作的完成状态，计算程序合规分（PFS）。Sim Agent支持TKI五策略（竞争型、合作型、妥协型、回避型、迁就型）的动态注入；与AgentMediation的全局共享模拟器不同，本系统为原被告分别创建独立Sim Agent实例（per-party），使双方策略可独立进化。四个智能体通过Full Case Orchestrator串联为CD→DD→CI完整管道。</w:t>
      </w:r>
    </w:p>
    <w:p w14:paraId="5B0DC88C">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引擎层。包括扩展式博弈引擎（SPNE反向归纳求解器）、纳什均衡追踪器、演化博弈模拟器（复制者动态方程数值求解）、庭审调解引擎和P-RAG检索引擎。其中，扩展式博弈引擎为系统的理论核心，负责将CD→DD的序贯决策过程建模为博弈树并求解SPNE；P-RAG检索引擎在庭审四个阶段（开庭准备、法庭调查、法庭辩论、判决生成）执行渐进式法条检索，基于民商事相关法律条文的FAISS+BM25混合检索索引，跨阶段重复命中的法条获得更高排名，确保长周期庭审中法条信息的有效召回。</w:t>
      </w:r>
    </w:p>
    <w:p w14:paraId="3AD39593">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评测层。融合LexEval/J1-EVAL/AgentMediation等多维评测框架。</w:t>
      </w:r>
    </w:p>
    <w:p w14:paraId="621E05C3">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数据层。包含法条数据库和基于ClaimGen-CN语料重构的1000条民事诉讼数据集。</w:t>
      </w:r>
    </w:p>
    <w:p w14:paraId="34CFF01E">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基座模型选择。本系统采用多模型运行时切换架构，默认基座模型为DeepSeek-V3（用于CD Agent/DD Agent/Sim Agent的文书生成与策略推理，性价比最优）和GPT-4o（用于CI Agent的核心判决生成，推理能力最强）。P-RAG检索阶段使用BGE-M3嵌入模型（本地部署，无API费用）。</w:t>
      </w:r>
    </w:p>
    <w:p w14:paraId="283B866B">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模型选择依据：（1）DeepSeek-V3在中文法律任务上性能接近GPT-4o但API成本约为其1/10；（2）GPT-4o在J1-EVAL的JUD维度表现最优，适合关键判决环节；（3）系统支持一键切换至其他模型（Qwen-Max、Claude等），实验中将对比至少两种基座模型以排除模型特异性。</w:t>
      </w:r>
    </w:p>
    <w:p w14:paraId="0EA07058">
      <w:pPr>
        <w:numPr>
          <w:ilvl w:val="0"/>
          <w:numId w:val="3"/>
        </w:numPr>
        <w:spacing w:line="360" w:lineRule="exact"/>
        <w:ind w:right="71" w:rightChars="34"/>
        <w:rPr>
          <w:rFonts w:hint="eastAsia" w:ascii="宋体" w:hAnsi="宋体" w:cs="宋体"/>
          <w:bCs/>
          <w:szCs w:val="21"/>
        </w:rPr>
      </w:pPr>
      <w:r>
        <w:rPr>
          <w:rFonts w:hint="eastAsia" w:ascii="宋体" w:hAnsi="宋体" w:cs="宋体"/>
          <w:bCs/>
          <w:szCs w:val="21"/>
        </w:rPr>
        <w:t>数据集构建</w:t>
      </w:r>
    </w:p>
    <w:p w14:paraId="3C029FA9">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面向民事诉讼全流程的结构化评测数据集尚属空白。本研究基于公开的ClaimGen-CN语料</w:t>
      </w:r>
      <w:r>
        <w:rPr>
          <w:rFonts w:hint="eastAsia" w:ascii="宋体" w:hAnsi="宋体" w:cs="宋体"/>
          <w:bCs/>
          <w:szCs w:val="21"/>
          <w:vertAlign w:val="superscript"/>
        </w:rPr>
        <w:t>[11]</w:t>
      </w:r>
      <w:r>
        <w:rPr>
          <w:rFonts w:hint="eastAsia" w:ascii="宋体" w:hAnsi="宋体" w:cs="宋体"/>
          <w:bCs/>
          <w:szCs w:val="21"/>
        </w:rPr>
        <w:t>（源自中国裁判文书网207748条真实民事判决书），自行构建了多角色对抗结构化衍生数据集LegalFlow-1K。原始数据仅含案由、原告事实陈述段和诉讼请求三个扁平字段，不具备多角色对抗结构。本研究的核心数据贡献在于将其重构为面向多智能体博弈的三场景结构化数据。</w:t>
      </w:r>
    </w:p>
    <w:p w14:paraId="504C0FAC">
      <w:pPr>
        <w:spacing w:line="360" w:lineRule="exact"/>
        <w:ind w:right="71" w:rightChars="34" w:firstLine="371" w:firstLineChars="177"/>
        <w:rPr>
          <w:rFonts w:hint="eastAsia" w:ascii="宋体" w:hAnsi="宋体" w:cs="宋体"/>
          <w:bCs/>
          <w:szCs w:val="21"/>
        </w:rPr>
      </w:pPr>
      <w:r>
        <w:rPr>
          <w:rFonts w:hint="eastAsia" w:ascii="宋体" w:hAnsi="宋体" w:cs="宋体"/>
          <w:bCs/>
          <w:szCs w:val="21"/>
        </w:rPr>
        <w:t>构建流程包括：</w:t>
      </w:r>
    </w:p>
    <w:p w14:paraId="25994661">
      <w:pPr>
        <w:numPr>
          <w:ilvl w:val="0"/>
          <w:numId w:val="4"/>
        </w:numPr>
        <w:spacing w:line="360" w:lineRule="exact"/>
        <w:ind w:right="71" w:rightChars="34" w:firstLine="371" w:firstLineChars="177"/>
        <w:rPr>
          <w:rFonts w:hint="eastAsia" w:ascii="宋体" w:hAnsi="宋体" w:cs="宋体"/>
          <w:bCs/>
          <w:szCs w:val="21"/>
        </w:rPr>
      </w:pPr>
      <w:r>
        <w:rPr>
          <w:rFonts w:hint="eastAsia" w:ascii="宋体" w:hAnsi="宋体" w:cs="宋体"/>
          <w:bCs/>
          <w:szCs w:val="21"/>
        </w:rPr>
        <w:t>三层过滤——依次过滤事实描述不足50字的缺席判决、诉讼请求为空的不完整记录、以及缺乏对抗基础的案件；</w:t>
      </w:r>
    </w:p>
    <w:p w14:paraId="770F8E92">
      <w:pPr>
        <w:numPr>
          <w:ilvl w:val="0"/>
          <w:numId w:val="4"/>
        </w:numPr>
        <w:spacing w:line="360" w:lineRule="exact"/>
        <w:ind w:right="71" w:rightChars="34" w:firstLine="371" w:firstLineChars="177"/>
        <w:rPr>
          <w:rFonts w:hint="eastAsia" w:ascii="宋体" w:hAnsi="宋体" w:cs="宋体"/>
          <w:bCs/>
          <w:szCs w:val="21"/>
        </w:rPr>
      </w:pPr>
      <w:r>
        <w:rPr>
          <w:rFonts w:hint="eastAsia" w:ascii="宋体" w:hAnsi="宋体" w:cs="宋体"/>
          <w:bCs/>
          <w:szCs w:val="21"/>
        </w:rPr>
        <w:t>分层采样——从20种目标案由中按比例采样，最终选取1000条（29种案由），按3:1:1划分为训练/验证/测试集；</w:t>
      </w:r>
    </w:p>
    <w:p w14:paraId="55A3104A">
      <w:pPr>
        <w:numPr>
          <w:ilvl w:val="0"/>
          <w:numId w:val="4"/>
        </w:numPr>
        <w:spacing w:line="360" w:lineRule="exact"/>
        <w:ind w:right="71" w:rightChars="34" w:firstLine="371" w:firstLineChars="177"/>
        <w:rPr>
          <w:rFonts w:hint="eastAsia" w:ascii="宋体" w:hAnsi="宋体" w:cs="宋体"/>
          <w:bCs/>
          <w:szCs w:val="21"/>
        </w:rPr>
      </w:pPr>
      <w:r>
        <w:rPr>
          <w:rFonts w:hint="eastAsia" w:ascii="宋体" w:hAnsi="宋体" w:cs="宋体"/>
          <w:bCs/>
          <w:szCs w:val="21"/>
        </w:rPr>
        <w:t>三场景重构——CD场景通过规则引擎和正则表达式提取诉讼主张与涉案金额，结合案由生成证据清单模板；DD场景通过规则引擎针对每项诉讼请求生成逐条反驳（包括事实否认、法律适用争议和证据质疑三类反驳模板），模拟对抗逻辑结构，确保答辩与起诉的逻辑对齐；CI场景基于案由映射适用法条（覆盖13类案由40余条法条），生成裁判理由和判决主文；</w:t>
      </w:r>
    </w:p>
    <w:p w14:paraId="4BB3D901">
      <w:pPr>
        <w:numPr>
          <w:ilvl w:val="0"/>
          <w:numId w:val="4"/>
        </w:numPr>
        <w:spacing w:line="360" w:lineRule="exact"/>
        <w:ind w:right="71" w:rightChars="34" w:firstLine="371" w:firstLineChars="177"/>
        <w:rPr>
          <w:rFonts w:hint="eastAsia" w:ascii="宋体" w:hAnsi="宋体" w:cs="宋体"/>
          <w:bCs/>
          <w:szCs w:val="21"/>
        </w:rPr>
      </w:pPr>
      <w:r>
        <w:rPr>
          <w:rFonts w:hint="eastAsia" w:ascii="宋体" w:hAnsi="宋体" w:cs="宋体"/>
          <w:bCs/>
          <w:szCs w:val="21"/>
        </w:rPr>
        <w:t>对齐校验——验证CD每项诉请在DD中有对应答辩回应，CI判决主文覆盖全部诉请。需</w:t>
      </w:r>
      <w:r>
        <w:rPr>
          <w:rFonts w:hint="eastAsia" w:ascii="宋体" w:hAnsi="宋体" w:cs="宋体"/>
          <w:bCs/>
          <w:szCs w:val="21"/>
          <w:lang w:val="en-US" w:eastAsia="zh-CN"/>
        </w:rPr>
        <w:t>要</w:t>
      </w:r>
      <w:r>
        <w:rPr>
          <w:rFonts w:hint="eastAsia" w:ascii="宋体" w:hAnsi="宋体" w:cs="宋体"/>
          <w:bCs/>
          <w:szCs w:val="21"/>
        </w:rPr>
        <w:t>说明</w:t>
      </w:r>
      <w:r>
        <w:rPr>
          <w:rFonts w:hint="eastAsia" w:ascii="宋体" w:hAnsi="宋体" w:cs="宋体"/>
          <w:bCs/>
          <w:szCs w:val="21"/>
          <w:lang w:val="en-US" w:eastAsia="zh-CN"/>
        </w:rPr>
        <w:t>的是</w:t>
      </w:r>
      <w:r>
        <w:rPr>
          <w:rFonts w:hint="eastAsia" w:ascii="宋体" w:hAnsi="宋体" w:cs="宋体"/>
          <w:bCs/>
          <w:szCs w:val="21"/>
        </w:rPr>
        <w:t>，DD场景的答辩为合成对抗（synthetic adversarial）而非真实被告的自然语言答辩；其对抗充分性通过答辩覆盖率（DD答辩是否涵盖CD全部诉请，目标100%）和反驳多样性（每项诉请的反驳是否覆盖事实/法律/证据三个维度）两项指标验证。</w:t>
      </w:r>
    </w:p>
    <w:p w14:paraId="4D98E78F">
      <w:pPr>
        <w:wordWrap w:val="0"/>
        <w:spacing w:line="360" w:lineRule="auto"/>
        <w:ind w:right="-57"/>
        <w:outlineLvl w:val="1"/>
        <w:rPr>
          <w:rFonts w:eastAsia="楷体_GB2312"/>
          <w:sz w:val="24"/>
          <w:szCs w:val="24"/>
        </w:rPr>
      </w:pPr>
      <w:bookmarkStart w:id="9" w:name="preliminary"/>
      <w:bookmarkEnd w:id="9"/>
      <w:r>
        <w:rPr>
          <w:rFonts w:eastAsia="黑体"/>
          <w:b/>
          <w:sz w:val="28"/>
          <w:szCs w:val="28"/>
        </w:rPr>
        <w:br w:type="page"/>
      </w:r>
      <w:r>
        <w:rPr>
          <w:rFonts w:eastAsia="黑体"/>
          <w:b/>
          <w:sz w:val="28"/>
          <w:szCs w:val="28"/>
        </w:rPr>
        <w:t>（三）</w:t>
      </w:r>
      <w:r>
        <w:rPr>
          <w:rFonts w:hint="eastAsia" w:eastAsia="黑体"/>
          <w:b/>
          <w:sz w:val="28"/>
          <w:szCs w:val="28"/>
        </w:rPr>
        <w:t>研究内容</w:t>
      </w:r>
    </w:p>
    <w:p w14:paraId="7DF83DE0">
      <w:pPr>
        <w:numPr>
          <w:ilvl w:val="0"/>
          <w:numId w:val="5"/>
        </w:numPr>
        <w:spacing w:line="360" w:lineRule="exact"/>
        <w:ind w:right="71" w:rightChars="34"/>
        <w:rPr>
          <w:rFonts w:hint="eastAsia" w:ascii="宋体" w:hAnsi="宋体"/>
          <w:szCs w:val="21"/>
        </w:rPr>
      </w:pPr>
      <w:bookmarkStart w:id="10" w:name="researchcontentBENKE"/>
      <w:bookmarkEnd w:id="10"/>
      <w:r>
        <w:rPr>
          <w:rFonts w:hint="eastAsia" w:ascii="宋体" w:hAnsi="宋体"/>
          <w:szCs w:val="21"/>
        </w:rPr>
        <w:t>研究目标与核心问题</w:t>
      </w:r>
    </w:p>
    <w:p w14:paraId="376AADEA">
      <w:pPr>
        <w:spacing w:line="360" w:lineRule="exact"/>
        <w:ind w:right="71" w:rightChars="34" w:firstLine="420" w:firstLineChars="200"/>
        <w:rPr>
          <w:rFonts w:hint="eastAsia" w:ascii="宋体" w:hAnsi="宋体"/>
          <w:szCs w:val="21"/>
        </w:rPr>
      </w:pPr>
      <w:r>
        <w:rPr>
          <w:rFonts w:hint="eastAsia" w:ascii="宋体" w:hAnsi="宋体"/>
          <w:szCs w:val="21"/>
        </w:rPr>
        <w:t>本研究的总体目标是构建一个以扩展式博弈为理论核心、多智能体协同为实现手段的民事诉讼模拟法庭平台，通过系统性对照实验验证序贯博弈建模在法律AI策略预测中的有效性。</w:t>
      </w:r>
    </w:p>
    <w:p w14:paraId="129EC772">
      <w:pPr>
        <w:spacing w:line="360" w:lineRule="exact"/>
        <w:ind w:right="71" w:rightChars="34" w:firstLine="420" w:firstLineChars="200"/>
        <w:rPr>
          <w:rFonts w:hint="eastAsia" w:ascii="宋体" w:hAnsi="宋体"/>
          <w:szCs w:val="21"/>
        </w:rPr>
      </w:pPr>
      <w:r>
        <w:rPr>
          <w:rFonts w:hint="eastAsia" w:ascii="宋体" w:hAnsi="宋体"/>
          <w:szCs w:val="21"/>
        </w:rPr>
        <w:t>其核心问题是，在多智能体模拟法庭系统中，将民事诉讼的起诉–答辩过程建模为扩展式博弈并用子博弈精炼纳什均衡（SPNE）求解，相比传统正规形式纳什均衡（NE），能否提供更准确的策略预测？</w:t>
      </w:r>
    </w:p>
    <w:p w14:paraId="7056274B">
      <w:pPr>
        <w:spacing w:line="360" w:lineRule="exact"/>
        <w:ind w:right="71" w:rightChars="34" w:firstLine="420" w:firstLineChars="200"/>
        <w:rPr>
          <w:rFonts w:hint="eastAsia" w:ascii="宋体" w:hAnsi="宋体"/>
          <w:szCs w:val="21"/>
        </w:rPr>
      </w:pPr>
      <w:r>
        <w:rPr>
          <w:rFonts w:hint="eastAsia" w:ascii="宋体" w:hAnsi="宋体"/>
          <w:szCs w:val="21"/>
        </w:rPr>
        <w:t>本研究将从两个层面回答此问题。在个体层面（微观验证），对单案件比较SPNE与NE的策略预测差异，以博弈锦标赛的实际收敛策略为实证参照，检验序贯建模是否提供更高的预测精度——即SPNE是否比NE更准确地预测了LLM智能体在对抗中的实际策略选择。在群体层面（稳定性验证），通过复制者动态方程检验SPNE均衡在群体中是否构成演化稳定策略（ESS），即序贯均衡是否不仅是个体最优的，而且在群体环境中对策略入侵具有鲁棒性。若SPNE均衡同时满足ESS条件，则意味着序贯建模给出的策略预测具有理论上最强的稳定性保障。</w:t>
      </w:r>
    </w:p>
    <w:p w14:paraId="342E6201">
      <w:pPr>
        <w:spacing w:line="360" w:lineRule="exact"/>
        <w:ind w:right="71" w:rightChars="34" w:firstLine="420" w:firstLineChars="200"/>
        <w:rPr>
          <w:rFonts w:hint="eastAsia" w:ascii="宋体" w:hAnsi="宋体"/>
          <w:szCs w:val="21"/>
        </w:rPr>
      </w:pPr>
      <w:r>
        <w:rPr>
          <w:rFonts w:hint="eastAsia" w:ascii="宋体" w:hAnsi="宋体"/>
          <w:szCs w:val="21"/>
        </w:rPr>
        <w:t>需要明确的是，本研究中"群体层面的演化动态"由复制者动态方程显式驱动，是基于经验收益矩阵的确定性数学模拟，旨在检验SPNE均衡是否具有ESS性质，而非声称LLM智能体在自由交互中自发涌现演化行为。</w:t>
      </w:r>
    </w:p>
    <w:p w14:paraId="7272A0A5">
      <w:pPr>
        <w:numPr>
          <w:ilvl w:val="0"/>
          <w:numId w:val="5"/>
        </w:numPr>
        <w:spacing w:line="360" w:lineRule="exact"/>
        <w:ind w:right="71" w:rightChars="34"/>
        <w:rPr>
          <w:rFonts w:hint="eastAsia" w:ascii="宋体" w:hAnsi="宋体"/>
          <w:szCs w:val="21"/>
        </w:rPr>
      </w:pPr>
      <w:r>
        <w:rPr>
          <w:rFonts w:hint="eastAsia" w:ascii="宋体" w:hAnsi="宋体"/>
          <w:szCs w:val="21"/>
        </w:rPr>
        <w:t>研究方法与技术路线</w:t>
      </w:r>
    </w:p>
    <w:p w14:paraId="3289C371">
      <w:pPr>
        <w:spacing w:line="360" w:lineRule="exact"/>
        <w:ind w:right="71" w:rightChars="34" w:firstLine="420" w:firstLineChars="200"/>
        <w:rPr>
          <w:rFonts w:hint="eastAsia" w:ascii="宋体" w:hAnsi="宋体"/>
          <w:szCs w:val="21"/>
        </w:rPr>
      </w:pPr>
      <w:r>
        <w:rPr>
          <w:rFonts w:hint="eastAsia" w:ascii="宋体" w:hAnsi="宋体"/>
          <w:szCs w:val="21"/>
        </w:rPr>
        <w:t>本研究采用"三步串行"技术路线，每步的输出构成下一步的输入，确保研究逻辑层层递进。</w:t>
      </w:r>
    </w:p>
    <w:p w14:paraId="6A1B964C">
      <w:pPr>
        <w:spacing w:line="360" w:lineRule="exact"/>
        <w:ind w:right="71" w:rightChars="34" w:firstLine="420" w:firstLineChars="200"/>
        <w:rPr>
          <w:rFonts w:hint="eastAsia" w:ascii="宋体" w:hAnsi="宋体"/>
          <w:szCs w:val="21"/>
        </w:rPr>
      </w:pPr>
      <w:r>
        <w:rPr>
          <w:rFonts w:hint="eastAsia" w:ascii="宋体" w:hAnsi="宋体"/>
          <w:szCs w:val="21"/>
        </w:rPr>
        <w:t>步骤一（收益矩阵构建）：在LegalFlow的CD→DD→CI管道上，对5×5 TKI策略组合运行全流程模拟，通过双路校验机制量化终端收益，构建经验收益矩阵——这是后续所有博弈分析的数据基础。</w:t>
      </w:r>
    </w:p>
    <w:p w14:paraId="3F61D00E">
      <w:pPr>
        <w:spacing w:line="360" w:lineRule="exact"/>
        <w:ind w:right="71" w:rightChars="34" w:firstLine="420" w:firstLineChars="200"/>
        <w:rPr>
          <w:rFonts w:hint="eastAsia" w:ascii="宋体" w:hAnsi="宋体"/>
          <w:szCs w:val="21"/>
        </w:rPr>
      </w:pPr>
      <w:r>
        <w:rPr>
          <w:rFonts w:hint="eastAsia" w:ascii="宋体" w:hAnsi="宋体"/>
          <w:szCs w:val="21"/>
        </w:rPr>
        <w:t>步骤二（SPNE vs NE对照实验——核心）：将CD→DD过程建模为扩展式博弈树，用反向归纳法求解SPNE；同时在正规形式下求解NE；运行博弈锦标赛获取LLM智能体的实际收敛策略；按案由分组比较三者（SPNE预测、NE预测、实际收敛）的一致性。</w:t>
      </w:r>
    </w:p>
    <w:p w14:paraId="267778E3">
      <w:pPr>
        <w:spacing w:line="360" w:lineRule="exact"/>
        <w:ind w:right="71" w:rightChars="34" w:firstLine="420" w:firstLineChars="200"/>
        <w:rPr>
          <w:rFonts w:hint="eastAsia" w:ascii="宋体" w:hAnsi="宋体"/>
          <w:szCs w:val="21"/>
        </w:rPr>
      </w:pPr>
      <w:r>
        <w:rPr>
          <w:rFonts w:hint="eastAsia" w:ascii="宋体" w:hAnsi="宋体"/>
          <w:szCs w:val="21"/>
        </w:rPr>
        <w:t>步骤三（ESS稳定性验证——补充）：用步骤一的收益矩阵作为演化适应度矩阵，通过复制者动态方程模拟策略种群演化，检验步骤二中SPNE均衡是否构成ESS，为核心结论提供群体层面的稳定性保障。</w:t>
      </w:r>
    </w:p>
    <w:p w14:paraId="50656119">
      <w:pPr>
        <w:spacing w:line="240" w:lineRule="auto"/>
        <w:ind w:right="71" w:rightChars="34" w:firstLine="420" w:firstLineChars="200"/>
        <w:rPr>
          <w:rFonts w:hint="eastAsia" w:ascii="宋体" w:hAnsi="宋体"/>
          <w:szCs w:val="21"/>
        </w:rPr>
      </w:pPr>
      <w:r>
        <w:rPr>
          <w:rFonts w:ascii="宋体" w:hAnsi="宋体"/>
          <w:szCs w:val="21"/>
        </w:rPr>
        <w:pict>
          <v:shape id="_x0000_i1034" o:spt="75" alt="图2_技术路线总览" type="#_x0000_t75" style="height:209.3pt;width:465.05pt;" filled="f" o:preferrelative="t" stroked="f" coordsize="21600,21600">
            <v:path/>
            <v:fill on="f" focussize="0,0"/>
            <v:stroke on="f" joinstyle="miter"/>
            <v:imagedata r:id="rId18" cropright="336f" cropbottom="7313f" o:title="图2_技术路线总览"/>
            <o:lock v:ext="edit" aspectratio="t"/>
            <w10:wrap type="none"/>
            <w10:anchorlock/>
          </v:shape>
        </w:pict>
      </w:r>
    </w:p>
    <w:p w14:paraId="5C4AE49B">
      <w:pPr>
        <w:spacing w:line="240" w:lineRule="auto"/>
        <w:ind w:right="71" w:rightChars="34" w:firstLine="371" w:firstLineChars="177"/>
        <w:jc w:val="center"/>
        <w:rPr>
          <w:rFonts w:hint="eastAsia" w:ascii="宋体" w:hAnsi="宋体"/>
          <w:szCs w:val="21"/>
        </w:rPr>
      </w:pPr>
      <w:r>
        <w:rPr>
          <w:rFonts w:hint="eastAsia" w:ascii="宋体" w:hAnsi="宋体"/>
          <w:szCs w:val="21"/>
        </w:rPr>
        <w:t>图3 技术路线总览</w:t>
      </w:r>
    </w:p>
    <w:p w14:paraId="4030F70F">
      <w:pPr>
        <w:spacing w:line="360" w:lineRule="exact"/>
        <w:ind w:right="71" w:rightChars="34" w:firstLine="420" w:firstLineChars="200"/>
        <w:rPr>
          <w:rFonts w:hint="eastAsia" w:ascii="宋体" w:hAnsi="宋体"/>
          <w:szCs w:val="21"/>
        </w:rPr>
      </w:pPr>
      <w:r>
        <w:rPr>
          <w:rFonts w:hint="eastAsia" w:ascii="宋体" w:hAnsi="宋体"/>
          <w:szCs w:val="21"/>
        </w:rPr>
        <w:t>三步串行：步骤一构建5×5经验收益矩阵（数据基础），步骤二将CD→DD建模为扩展式博弈并对照SPNE与NE的策略预测精度（核心实验），步骤三通过复制者动态方程检验SPNE均衡的演化稳定性（补充验证）。</w:t>
      </w:r>
    </w:p>
    <w:p w14:paraId="3182D1BE">
      <w:pPr>
        <w:numPr>
          <w:ilvl w:val="0"/>
          <w:numId w:val="5"/>
        </w:numPr>
        <w:wordWrap w:val="0"/>
        <w:spacing w:line="360" w:lineRule="exact"/>
        <w:ind w:right="-57"/>
        <w:outlineLvl w:val="1"/>
        <w:rPr>
          <w:rFonts w:hint="eastAsia" w:ascii="宋体" w:hAnsi="宋体" w:cs="宋体"/>
          <w:bCs/>
          <w:szCs w:val="21"/>
        </w:rPr>
      </w:pPr>
      <w:r>
        <w:rPr>
          <w:rFonts w:hint="eastAsia" w:ascii="宋体" w:hAnsi="宋体" w:cs="宋体"/>
          <w:bCs/>
          <w:szCs w:val="21"/>
        </w:rPr>
        <w:t>关键技术与数学形式化</w:t>
      </w:r>
    </w:p>
    <w:p w14:paraId="02B530F5">
      <w:pPr>
        <w:wordWrap w:val="0"/>
        <w:spacing w:line="360" w:lineRule="exact"/>
        <w:ind w:right="-57"/>
        <w:outlineLvl w:val="1"/>
        <w:rPr>
          <w:rFonts w:hint="eastAsia" w:ascii="宋体" w:hAnsi="宋体" w:cs="宋体"/>
          <w:bCs/>
          <w:szCs w:val="21"/>
        </w:rPr>
      </w:pPr>
      <w:r>
        <w:rPr>
          <w:rFonts w:hint="eastAsia" w:ascii="宋体" w:hAnsi="宋体" w:cs="宋体"/>
          <w:bCs/>
          <w:szCs w:val="21"/>
        </w:rPr>
        <w:t>3.1 扩展式博弈与子博弈精炼均衡</w:t>
      </w:r>
    </w:p>
    <w:p w14:paraId="7C23CCB1">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本研究的核心方法是将民事诉讼的起诉–答辩过程建模为扩展式博弈并求解SPNE，验证序贯建模相比静态建模的策略预测优势。</w:t>
      </w:r>
    </w:p>
    <w:p w14:paraId="04708A28">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将CD→DD管道建模为两阶段序贯决策的扩展式博弈\mathcal{G} = (\mathcal{P}, H, \mathcal{A}, \iota, u)，</w:t>
      </w:r>
      <w:r>
        <w:rPr>
          <w:rFonts w:ascii="宋体" w:hAnsi="宋体"/>
        </w:rPr>
        <w:t>其中</w:t>
      </w:r>
      <w:r>
        <w:rPr>
          <w:rFonts w:ascii="宋体" w:hAnsi="宋体"/>
        </w:rPr>
        <w:pict>
          <v:shape id="_x0000_i1035" o:spt="75" type="#_x0000_t75" style="height:12.15pt;width:47.3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N={P,D}&lt;/m:t&gt;&lt;/m:r&gt;&lt;/m:oMath&gt;&lt;/m:oMathPara&gt;&lt;/w:p&gt;&lt;/wx:sect&gt;&lt;/w:body&gt;&lt;/w:wordDocument&lt;m:r&gt;&lt;">
            <v:path/>
            <v:fill on="f" focussize="0,0"/>
            <v:stroke on="f" joinstyle="miter"/>
            <v:imagedata r:id="rId19" o:title=""/>
            <o:lock v:ext="edit" aspectratio="f"/>
            <w10:wrap type="none"/>
            <w10:anchorlock/>
          </v:shape>
        </w:pict>
      </w:r>
      <w:r>
        <w:rPr>
          <w:rFonts w:ascii="宋体" w:hAnsi="宋体"/>
        </w:rPr>
        <w:t xml:space="preserve"> 为参与人集合，H 为博弈历史集合，</w:t>
      </w:r>
      <w:r>
        <w:rPr>
          <w:rFonts w:ascii="宋体" w:hAnsi="宋体"/>
        </w:rPr>
        <w:pict>
          <v:shape id="_x0000_i1036" o:spt="75" type="#_x0000_t75" style="height:12.15pt;width:41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P:H鈫扤&lt;/m:t&gt;&lt;/m:r&gt;&lt;/m:oMath&gt;&lt;/m:oMathPara&gt;&lt;/w:p&gt;&lt;/wx:sect&gt;&lt;/w:body&gt;&lt;/w:wordDocumenth&gt;&lt;m:r&gt;&lt;m:">
            <v:path/>
            <v:fill on="f" focussize="0,0"/>
            <v:stroke on="f" joinstyle="miter"/>
            <v:imagedata r:id="rId20" o:title=""/>
            <o:lock v:ext="edit" aspectratio="f"/>
            <w10:wrap type="none"/>
            <w10:anchorlock/>
          </v:shape>
        </w:pict>
      </w:r>
      <w:r>
        <w:rPr>
          <w:rFonts w:ascii="宋体" w:hAnsi="宋体"/>
        </w:rPr>
        <w:t>为行动人函数，u 为终端收益函数。</w:t>
      </w:r>
      <w:r>
        <w:rPr>
          <w:rFonts w:hint="eastAsia" w:ascii="宋体" w:hAnsi="宋体" w:cs="宋体"/>
          <w:bCs/>
          <w:szCs w:val="21"/>
        </w:rPr>
        <w:t>本研究采用完美信息假设作为一阶近似——即被告在答辩阶段可观察原告的起诉策略类型。此假设在模拟法庭场景中合理（起诉状在答辩前已送达被告），但在真实诉讼中原告的完整证据策略可能存在私有信息，后续研究可扩展至贝叶斯博弈框架。博弈树结构如下：</w:t>
      </w:r>
    </w:p>
    <w:p w14:paraId="6C70E1A4">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第1阶段（CD）：原告选择起诉策略 </w:t>
      </w:r>
      <w:r>
        <w:rPr>
          <w:rFonts w:ascii="宋体" w:hAnsi="宋体" w:cs="宋体"/>
          <w:bCs/>
          <w:szCs w:val="21"/>
        </w:rPr>
        <w:pict>
          <v:shape id="_x0000_i1037" o:spt="75" type="#_x0000_t75" style="height:13.4pt;width:32.6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Sup&gt;&lt;m:sSubSupPr&gt;&lt;m:ctrlPr&gt;&lt;w:rPr&gt;&lt;w:rFonts w:ascii=&quot;Cambria Math&quot; w:h-ansi=&quot;Cambria Math&quot; w:fareast=&quot;瀹嬩綋&quot; w:hint=&quot;default&quot;/&gt;&lt;w:sz w:val=&quot;21&quot;/&gt;&lt;/w:rPr&gt;&lt;/m:ctrlPr&gt;&lt;/m:sSubSupPr&gt;&lt;m:e&gt;&lt;m:r&gt;&lt;m:rPr&gt;&lt;m:scr m:val=&quot;roman&quot;/&gt;&lt;/m:rPr&gt;&lt;w:rPr&gt;&lt;w:rFonts w:ascii=&quot;CambrbSubSuia Math&quot; w:h-ansi=&quot;Cambria Math&quot; w:fareast=&quot;瀹嬩綋&quot; w:hint=&quot;default&quot;/&gt;&lt;w:sz w:val=&quot;21&quot;/&gt;&lt;/w:rPr&gt;&lt;m:t&gt;s&lt;/m:t&gt;&lt;/m:r&gt;&lt;m:ctrlPr&gt;&lt;w:rPr&gt;&lt;w:rFonts w:ascii=&quot;Cambria Math&quot; w:h-ansi=&quot;Cambria Math&quot; w:fareast=&quot;瀹嬩綋&quot; w:hint=&quot;default&quot;/&gt;&lt;w:sz w:val=&quot;21&quot;/&gt;&lt;/w:rPr&gt;&lt;mbrbSu/m:mbrbSuctrlPr&gt;&lt;/m:e&gt;&lt;m:sub&gt;&lt;m:r&gt;&lt;m:rPr&gt;&lt;m:scr m:val=&quot;roman&quot;/&gt;&lt;/m:rPr&gt;&lt;w:rPr&gt;&lt;w:rFonts w:ascii=&quot;Cambria Math&quot; w:h-ansi=&quot;Cambria Math&quot; w:fareast=&quot;瀹嬩綋&quot; w:hint=&quot;default&quot;/&gt;&lt;w:sz w:val=&quot;21&quot;/&gt;&lt;/w:rPr&gt;&lt;m:t&gt;P&lt;/m:t&gt;&lt;/m:r&gt;&lt;m:ctrlPr&gt;&lt;w:rPr&gt;&lt;w:rFonts w:ascii=&quot;CambSubria MathbSu&quot; w:h-ansi=&quot;Cambria Math&quot; w:fareast=&quot;瀹嬩綋&quot; w:hint=&quot;default&quot;/&gt;&lt;w:sz w:val=&quot;21&quot;/&gt;&lt;/w:rPr&gt;&lt;/m:ctrlPr&gt;&lt;/m:sub&gt;&lt;m:sup&gt;&lt;m:r&gt;&lt;m:rPr&gt;&lt;m:scr m:val=&quot;roman&quot;/&gt;&lt;/m:rPr&gt;&lt;w:rPr&gt;&lt;w:rFonts w:ascii=&quot;Cambria Math&quot; w:h-ansi=&quot;Cambria Math&quot; w:fareast=&quot;瀹嬩綋&quot; w:hCambSuint=&quot;defaultathbSu&quot;/&gt;&lt;w:sz w:val=&quot;21&quot;/&gt;&lt;/w:rPr&gt;&lt;m:t&gt;CD&lt;/m:t&gt;&lt;/m:r&gt;&lt;m:ctrlPr&gt;&lt;w:rPr&gt;&lt;w:rFonts w:ascii=&quot;Cambria Math&quot; w:h-ansi=&quot;Cambria Math&quot; w:fareast=&quot;瀹嬩綋&quot; w:hint=&quot;default&quot;/&gt;&lt;w:sz w:val=&quot;21&quot;/&gt;&lt;/w:rPr&gt;&lt;/m:ctrlPr&gt;&lt;/m:sup&gt;&lt;/m:sSubSup&gt;&lt;m:r&gt;&lt;m:rPr&gt;&lt;m:scr m:bSuval=&quot;roman&quot;/&gt;&lt;/m:rbSuPr&gt;&lt;w:rPr&gt;&lt;w:rFonts w:ascii=&quot;Cambria Math&quot; w:h-ansi=&quot;Cambria Math&quot; w:fareast=&quot;瀹嬩綋&quot; w:hint=&quot;default&quot;/&gt;&lt;w:sz w:val=&quot;21&quot;/&gt;&lt;/w:rPr&gt;&lt;m:t&gt;鈭圫&lt;/m:t&gt;&lt;/m:r&gt;&lt;/m:oMath&gt;&lt;/m:oMathPara&gt;&lt;/w:p&gt;&lt;/wx:sect&gt;&lt;/w:body&gt;&lt;/w:wordDocumentp&gt;&lt;m:m:rPr">
            <v:path/>
            <v:fill on="f" focussize="0,0"/>
            <v:stroke on="f" joinstyle="miter"/>
            <v:imagedata r:id="rId21" o:title=""/>
            <o:lock v:ext="edit" aspectratio="f"/>
            <w10:wrap type="none"/>
            <w10:anchorlock/>
          </v:shape>
        </w:pict>
      </w:r>
    </w:p>
    <w:p w14:paraId="418D4ADC">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第2阶段（DD）：被告观察起诉状后选择答辩策略 </w:t>
      </w:r>
      <w:r>
        <w:rPr>
          <w:rFonts w:ascii="宋体" w:hAnsi="宋体" w:cs="宋体"/>
          <w:bCs/>
          <w:szCs w:val="21"/>
        </w:rPr>
        <w:pict>
          <v:shape id="_x0000_i1038" o:spt="75" type="#_x0000_t75" style="height:13pt;width:33.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Sup&gt;&lt;m:sSubSupPr&gt;&lt;m:ctrlPr&gt;&lt;w:rPr&gt;&lt;w:rFonts w:ascii=&quot;Cambria Math&quot; w:h-ansi=&quot;Cambria Math&quot; w:fareast=&quot;瀹嬩綋&quot; w:hint=&quot;default&quot;/&gt;&lt;w:sz w:val=&quot;21&quot;/&gt;&lt;/w:rPr&gt;&lt;/m:ctrlPr&gt;&lt;/m:sSubSupPr&gt;&lt;m:e&gt;&lt;m:r&gt;&lt;m:rPr&gt;&lt;m:scr m:val=&quot;roman&quot;/&gt;&lt;/m:rPr&gt;&lt;w:rPr&gt;&lt;w:rFonts w:ascii=&quot;CambrbSubSuia Math&quot; w:h-ansi=&quot;Cambria Math&quot; w:fareast=&quot;瀹嬩綋&quot; w:hint=&quot;default&quot;/&gt;&lt;w:sz w:val=&quot;21&quot;/&gt;&lt;/w:rPr&gt;&lt;m:t&gt;s&lt;/m:t&gt;&lt;/m:r&gt;&lt;m:ctrlPr&gt;&lt;w:rPr&gt;&lt;w:rFonts w:ascii=&quot;Cambria Math&quot; w:h-ansi=&quot;Cambria Math&quot; w:fareast=&quot;瀹嬩綋&quot; w:hint=&quot;default&quot;/&gt;&lt;w:sz w:val=&quot;21&quot;/&gt;&lt;/w:rPr&gt;&lt;mbrbSu/m:mbrbSuctrlPr&gt;&lt;/m:e&gt;&lt;m:sub&gt;&lt;m:r&gt;&lt;m:rPr&gt;&lt;m:scr m:val=&quot;roman&quot;/&gt;&lt;/m:rPr&gt;&lt;w:rPr&gt;&lt;w:rFonts w:ascii=&quot;Cambria Math&quot; w:h-ansi=&quot;Cambria Math&quot; w:fareast=&quot;瀹嬩綋&quot; w:hint=&quot;default&quot;/&gt;&lt;w:sz w:val=&quot;21&quot;/&gt;&lt;/w:rPr&gt;&lt;m:t&gt;D&lt;/m:t&gt;&lt;/m:r&gt;&lt;m:ctrlPr&gt;&lt;w:rPr&gt;&lt;w:rFonts w:ascii=&quot;CambSubria MathbSu&quot; w:h-ansi=&quot;Cambria Math&quot; w:fareast=&quot;瀹嬩綋&quot; w:hint=&quot;default&quot;/&gt;&lt;w:sz w:val=&quot;21&quot;/&gt;&lt;/w:rPr&gt;&lt;/m:ctrlPr&gt;&lt;/m:sub&gt;&lt;m:sup&gt;&lt;m:r&gt;&lt;m:rPr&gt;&lt;m:scr m:val=&quot;roman&quot;/&gt;&lt;/m:rPr&gt;&lt;w:rPr&gt;&lt;w:rFonts w:ascii=&quot;Cambria Math&quot; w:h-ansi=&quot;Cambria Math&quot; w:fareast=&quot;瀹嬩綋&quot; w:hCambSuint=&quot;defaultathbSu&quot;/&gt;&lt;w:sz w:val=&quot;21&quot;/&gt;&lt;/w:rPr&gt;&lt;m:t&gt;DD&lt;/m:t&gt;&lt;/m:r&gt;&lt;m:ctrlPr&gt;&lt;w:rPr&gt;&lt;w:rFonts w:ascii=&quot;Cambria Math&quot; w:h-ansi=&quot;Cambria Math&quot; w:fareast=&quot;瀹嬩綋&quot; w:hint=&quot;default&quot;/&gt;&lt;w:sz w:val=&quot;21&quot;/&gt;&lt;/w:rPr&gt;&lt;/m:ctrlPr&gt;&lt;/m:sup&gt;&lt;/m:sSubSup&gt;&lt;m:r&gt;&lt;m:rPr&gt;&lt;m:scr m:bSuval=&quot;roman&quot;/&gt;&lt;/m:rbSuPr&gt;&lt;w:rPr&gt;&lt;w:rFonts w:ascii=&quot;Cambria Math&quot; w:h-ansi=&quot;Cambria Math&quot; w:fareast=&quot;瀹嬩綋&quot; w:hint=&quot;default&quot;/&gt;&lt;w:sz w:val=&quot;21&quot;/&gt;&lt;/w:rPr&gt;&lt;m:t&gt;鈭圫&lt;/m:t&gt;&lt;/m:r&gt;&lt;/m:oMath&gt;&lt;/m:oMathPara&gt;&lt;/w:p&gt;&lt;/wx:sect&gt;&lt;/w:body&gt;&lt;/w:wordDocumentp&gt;&lt;m:m:rPr">
            <v:path/>
            <v:fill on="f" focussize="0,0"/>
            <v:stroke on="f" joinstyle="miter"/>
            <v:imagedata r:id="rId22" o:title=""/>
            <o:lock v:ext="edit" aspectratio="f"/>
            <w10:wrap type="none"/>
            <w10:anchorlock/>
          </v:shape>
        </w:pict>
      </w:r>
    </w:p>
    <w:p w14:paraId="647DC48B">
      <w:pPr>
        <w:widowControl/>
        <w:adjustRightInd/>
        <w:spacing w:after="60" w:line="360" w:lineRule="exact"/>
        <w:ind w:left="420"/>
        <w:jc w:val="left"/>
        <w:textAlignment w:val="auto"/>
        <w:rPr>
          <w:rFonts w:hint="eastAsia" w:ascii="宋体" w:hAnsi="宋体"/>
          <w:szCs w:val="22"/>
        </w:rPr>
      </w:pPr>
      <w:r>
        <w:rPr>
          <w:rFonts w:hint="eastAsia" w:ascii="宋体" w:hAnsi="宋体" w:cs="宋体"/>
          <w:bCs/>
          <w:szCs w:val="21"/>
        </w:rPr>
        <w:t>终端收益：CI阶段作为收益实现机制，法官基于双方策略组合裁判产生终端收益</w:t>
      </w:r>
      <w:r>
        <w:rPr>
          <w:rFonts w:ascii="宋体" w:hAnsi="宋体"/>
          <w:szCs w:val="22"/>
          <w:lang w:eastAsia="en-US"/>
        </w:rPr>
        <w:pict>
          <v:shape id="_x0000_i1039" o:spt="75" type="#_x0000_t75" style="height:13.4pt;width:70.3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u(&lt;/m:t&gt;&lt;/m:r&gt;&lt;m:sSubSup&gt;&lt;m:sSubSupPr&gt;&lt;m:ctrlPr&gt;&lt;w:rPr&gt;&lt;w:rFonts w:ascii=&quot;Cambria Math&quot; w:m:rm:rh-ansi=&quot;Cambria Math&quot; w:fareast=&quot;瀹嬩綋&quot; w:hint=&quot;default&quot;/&gt;&lt;w:sz w:val=&quot;21&quot;/&gt;&lt;/w:rPr&gt;&lt;/m:ctrlPr&gt;&lt;/m:sSubSupPr&gt;&lt;m:e&gt;&lt;m:r&gt;&lt;m:rPr&gt;&lt;m:scr m:val=&quot;roman&quot;/&gt;&lt;/m:rPr&gt;&lt;w:rPr&gt;&lt;w:rFonts w:ascii=&quot;Cambria Math&quot; w:h-ansi=&quot;Cambria Math&quot; w:fareast=&quot;瀹嬩綋&quot; w:hint=&quot;defa w:m:rult w:m:r&quot;/&gt;&lt;w:sz w:val=&quot;21&quot;/&gt;&lt;/w:rPr&gt;&lt;m:t&gt;s&lt;/m:t&gt;&lt;/m:r&gt;&lt;m:ctrlPr&gt;&lt;w:rPr&gt;&lt;w:rFonts w:ascii=&quot;Cambria Math&quot; w:h-ansi=&quot;Cambria Math&quot; w:fareast=&quot;瀹嬩綋&quot; w:hint=&quot;default&quot;/&gt;&lt;w:sz w:val=&quot;21&quot;/&gt;&lt;/w:rPr&gt;&lt;/m:ctrlPr&gt;&lt;/m:e&gt;&lt;m:sub&gt;&lt;m:r&gt;&lt;m:rPr&gt;&lt;m:scr m:val=&quot;roman&quot;/&gt;&lt;/m:m:rrPr&gt;&lt;w:rPm:rr&gt;&lt;w:rFonts w:ascii=&quot;Cambria Math&quot; w:h-ansi=&quot;Cambria Math&quot; w:fareast=&quot;瀹嬩綋&quot; w:hint=&quot;default&quot;/&gt;&lt;w:sz w:val=&quot;21&quot;/&gt;&lt;/w:rPr&gt;&lt;m:t&gt;P&lt;/m:t&gt;&lt;/m:r&gt;&lt;m:ctrlPr&gt;&lt;w:rPr&gt;&lt;w:rFonts w:ascii=&quot;Cambria Math&quot; w:h-ansi=&quot;Cambria Math&quot; w:fareast=&quot;瀹嬩綋&quot; w:hint=&quot;de/m:m:rfault&quot;/&gt;&lt;w:s:rPm:rz w:val=&quot;21&quot;/&gt;&lt;/w:rPr&gt;&lt;/m:ctrlPr&gt;&lt;/m:sub&gt;&lt;m:sup&gt;&lt;m:r&gt;&lt;m:rPr&gt;&lt;m:scr m:val=&quot;roman&quot;/&gt;&lt;/m:rPr&gt;&lt;w:rPr&gt;&lt;w:rFonts w:ascii=&quot;Cambria Math&quot; w:h-ansi=&quot;Cambria Math&quot; w:fareast=&quot;瀹嬩綋&quot; w:hint=&quot;default&quot;/&gt;&lt;w:sz w:val=&quot;21&quot;/&gt;&lt;/w:rPr&gt;&lt;m:t&gt;CD&lt;/m:t&gt;&lt;/m:r&gt;&lt;m:rm:ctrlPr&gt;&lt;w:rPr&gt;&lt;wm:r:rFonts w:ascii=&quot;Cambria Math&quot; w:h-ansi=&quot;Cambria Math&quot; w:fareast=&quot;瀹嬩綋&quot; w:hint=&quot;default&quot;/&gt;&lt;w:sz w:val=&quot;21&quot;/&gt;&lt;/w:rPr&gt;&lt;/m:ctrlPr&gt;&lt;/m:sup&gt;&lt;/m:sSubSup&gt;&lt;m:r&gt;&lt;m:rPr&gt;&lt;m:scr m:val=&quot;roman&quot;/&gt;&lt;/m:rPr&gt;&lt;w:rPr&gt;&lt;w:rFonts w:ascii=&quot;Cambria Math&quot; w:hm:r-ansi=&quot;Cambria Math&quot; m:rw:fareast=&quot;瀹嬩綋&quot; w:hint=&quot;default&quot;/&gt;&lt;w:sz w:val=&quot;21&quot;/&gt;&lt;/w:rPr&gt;&lt;m:t&gt;,&lt;/m:t&gt;&lt;/m:r&gt;&lt;m:sSubSup&gt;&lt;m:sSubSupPr&gt;&lt;m:ctrlPr&gt;&lt;w:rPr&gt;&lt;w:rFonts w:ascii=&quot;Cambria Math&quot; w:h-ansi=&quot;Cambria Math&quot; w:fareast=&quot;瀹嬩綋&quot; w:hint=&quot;default&quot;/&gt;&lt;w:sz w:val=&quot;21w:hm:r&quot;/&gt;&lt;/w:rPr&gt;&lt;/m:ctrlPr&gt;&lt;/h&quot; m:rm:sSubSupPr&gt;&lt;m:e&gt;&lt;m:r&gt;&lt;m:rPr&gt;&lt;m:scr m:val=&quot;roman&quot;/&gt;&lt;/m:rPr&gt;&lt;w:rPr&gt;&lt;w:rFonts w:ascii=&quot;Cambria Math&quot; w:h-ansi=&quot;Cambria Math&quot; w:fareast=&quot;瀹嬩綋&quot; w:hint=&quot;default&quot;/&gt;&lt;w:sz w:val=&quot;21&quot;/&gt;&lt;/w:rPr&gt;&lt;m:t&gt;s&lt;/m:t&gt;&lt;/m:r&gt;&lt;m:ctrlPr&gt;&lt;w:rPr&gt;&lt;w:rm:rFonts w:ascii=&quot;Cambria Math&quot; wm:r:h-ansi=&quot;Cambria Math&quot; w:fareast=&quot;瀹嬩綋&quot; w:hint=&quot;default&quot;/&gt;&lt;w:sz w:val=&quot;21&quot;/&gt;&lt;/w:rPr&gt;&lt;/m:ctrlPr&gt;&lt;/m:e&gt;&lt;m:sub&gt;&lt;m:r&gt;&lt;m:rPr&gt;&lt;m:scr m:val=&quot;roman&quot;/&gt;&lt;/m:rPr&gt;&lt;w:rPr&gt;&lt;w:rFonts w:ascii=&quot;Cambria Math&quot; w:h-ansi=&quot;Cambria Math&quot; w:farem:rast=&quot;瀹嬩綋&quot; w:hint=&quot;default&quot;/&gt;&lt;w&quot; wm:r:sz w:val=&quot;21&quot;/&gt;&lt;/w:rPr&gt;&lt;m:t&gt;D&lt;/m:t&gt;&lt;/m:r&gt;&lt;m:ctrlPr&gt;&lt;w:rPr&gt;&lt;w:rFonts w:ascii=&quot;Cambria Math&quot; w:h-ansi=&quot;Cambria Math&quot; w:fareast=&quot;瀹嬩綋&quot; w:hint=&quot;default&quot;/&gt;&lt;w:sz w:val=&quot;21&quot;/&gt;&lt;/w:rPr&gt;&lt;/m:ctrlPr&gt;&lt;/m:sub&gt;&lt;m:sup&gt;&lt;m:r&gt;&lt;m:rPrarem:r&gt;&lt;m:scr m:val=&quot;roman&quot;/&gt;&lt;/m:rPr&gt;&lt;w:rPr&gt;&lt;m:rw:rFonts w:ascii=&quot;Cambria Math&quot; w:h-ansi=&quot;Cambria Math&quot; w:fareast=&quot;瀹嬩綋&quot; w:hint=&quot;default&quot;/&gt;&lt;w:sz w:val=&quot;21&quot;/&gt;&lt;/w:rPr&gt;&lt;m:t&gt;DD&lt;/m:t&gt;&lt;/m:r&gt;&lt;m:ctrlPr&gt;&lt;w:rPr&gt;&lt;w:rFonts w:ascii=&quot;Cambria Math&quot; w:h-ansi=&quot;Cambria Math&quot; wm:r:fareast=&quot;瀹嬩綋&quot; w:hint=&quot;default&quot;/&gt;&lt;w:sz r&gt;&lt;m:rw:val=&quot;21&quot;/&gt;&lt;/w:rPr&gt;&lt;/m:ctrlPr&gt;&lt;/m:sup&gt;&lt;/m:sSubSup&gt;&lt;m:r&gt;&lt;m:rPr&gt;&lt;m:scr m:val=&quot;roman&quot;/&gt;&lt;/m:rPr&gt;&lt;w:rPr&gt;&lt;w:rFonts w:ascii=&quot;Cambria Math&quot; w:h-ansi=&quot;Cambria Math&quot; w:fareast=&quot;瀹嬩綋&quot; w:hint=&quot;default&quot;/&gt;&lt;w:sz w:val=&quot;&quot; wm:r21&quot;/&gt;&lt;/w:rPr&gt;&lt;m:t&gt;)&lt;/m:t&gt;&lt;/m:r&gt;&lt;/m:oMath&gt;&lt;/m:oMam:rthPara&gt;&lt;/w:p&gt;&lt;/wx:sect&gt;&lt;/w:body&gt;&lt;/w:wordDocument">
            <v:path/>
            <v:fill on="f" focussize="0,0"/>
            <v:stroke on="f" joinstyle="miter"/>
            <v:imagedata r:id="rId23" o:title=""/>
            <o:lock v:ext="edit" aspectratio="f"/>
            <w10:wrap type="none"/>
            <w10:anchorlock/>
          </v:shape>
        </w:pict>
      </w:r>
    </w:p>
    <w:p w14:paraId="47E9F48B">
      <w:pPr>
        <w:wordWrap w:val="0"/>
        <w:spacing w:line="360" w:lineRule="exact"/>
        <w:ind w:right="-57"/>
        <w:outlineLvl w:val="1"/>
        <w:rPr>
          <w:rFonts w:hint="eastAsia" w:ascii="宋体" w:hAnsi="宋体" w:cs="宋体"/>
          <w:bCs/>
          <w:szCs w:val="21"/>
        </w:rPr>
      </w:pPr>
      <w:r>
        <w:rPr>
          <w:rFonts w:hint="eastAsia" w:ascii="宋体" w:hAnsi="宋体" w:cs="宋体"/>
          <w:bCs/>
          <w:szCs w:val="21"/>
        </w:rPr>
        <w:t>子博弈精炼纳什均衡通过反向归纳法求解：</w:t>
      </w:r>
    </w:p>
    <w:p w14:paraId="166396AB">
      <w:pPr>
        <w:wordWrap w:val="0"/>
        <w:spacing w:line="360" w:lineRule="exact"/>
        <w:ind w:right="-57"/>
        <w:outlineLvl w:val="1"/>
        <w:rPr>
          <w:rFonts w:hint="eastAsia" w:ascii="宋体" w:hAnsi="宋体" w:cs="宋体"/>
          <w:bCs/>
          <w:szCs w:val="21"/>
        </w:rPr>
      </w:pPr>
    </w:p>
    <w:p w14:paraId="75574F7C">
      <w:pPr>
        <w:widowControl/>
        <w:adjustRightInd/>
        <w:spacing w:after="60" w:line="360" w:lineRule="exact"/>
        <w:ind w:left="283"/>
        <w:jc w:val="left"/>
        <w:textAlignment w:val="auto"/>
        <w:rPr>
          <w:rFonts w:hint="eastAsia" w:ascii="宋体" w:hAnsi="宋体"/>
          <w:szCs w:val="22"/>
        </w:rPr>
      </w:pPr>
      <w:r>
        <w:rPr>
          <w:szCs w:val="22"/>
          <w:lang w:eastAsia="en-US"/>
        </w:rPr>
        <w:pict>
          <v:shape id="_x0000_i1040" o:spt="75" type="#_x0000_t75" style="height:14.25pt;width:165.8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Sup&gt;&lt;m:sSubSupPr&gt;&lt;m:ctrlPr&gt;&lt;w:rPr&gt;&lt;w:rFonts w:ascii=&quot;Cambria Math&quot; w:h-ansi=&quot;Cambria Math&quot; w:fareast=&quot;瀹嬩綋&quot; w:hint=&quot;default&quot;/&gt;&lt;w:sz w:val=&quot;21&quot;/&gt;&lt;/w:rPr&gt;&lt;/m:ctrlPr&gt;&lt;/m:sSubSupPr&gt;&lt;m:e&gt;&lt;m:r&gt;&lt;m:rPr&gt;&lt;m:scr m:val=&quot;roman&quot;/&gt;&lt;/m:rPr&gt;&lt;w:rPr&gt;&lt;w:rFonts w:ascii=&quot;CambrbSubSuia Math&quot; w:h-ansi=&quot;Cambria Math&quot; w:fareast=&quot;瀹嬩綋&quot; w:hint=&quot;default&quot;/&gt;&lt;w:sz w:val=&quot;21&quot;/&gt;&lt;/w:rPr&gt;&lt;m:t&gt;s&lt;/m:t&gt;&lt;/m:r&gt;&lt;m:ctrlPr&gt;&lt;w:rPr&gt;&lt;w:rFonts w:ascii=&quot;Cambria Math&quot; w:h-ansi=&quot;Cambria Math&quot; w:fareast=&quot;瀹嬩綋&quot; w:hint=&quot;default&quot;/&gt;&lt;w:sz w:val=&quot;21&quot;/&gt;&lt;/w:rPr&gt;&lt;mbrbSu/m:mbrbSuctrlPr&gt;&lt;/m:e&gt;&lt;m:sub&gt;&lt;m:r&gt;&lt;m:rPr&gt;&lt;m:scr m:val=&quot;roman&quot;/&gt;&lt;/m:rPr&gt;&lt;w:rPr&gt;&lt;w:rFonts w:ascii=&quot;Cambria Math&quot; w:h-ansi=&quot;Cambria Math&quot; w:fareast=&quot;瀹嬩綋&quot; w:hint=&quot;default&quot;/&gt;&lt;w:sz w:val=&quot;21&quot;/&gt;&lt;/w:rPr&gt;&lt;m:t&gt;D&lt;/m:t&gt;&lt;/m:r&gt;&lt;m:ctrlPr&gt;&lt;w:rPr&gt;&lt;w:rFonts w:ascii=&quot;CambSubria MathbSu&quot; w:h-ansi=&quot;Cambria Math&quot; w:fareast=&quot;瀹嬩綋&quot; w:hint=&quot;default&quot;/&gt;&lt;w:sz w:val=&quot;21&quot;/&gt;&lt;/w:rPr&gt;&lt;/m:ctrlPr&gt;&lt;/m:sub&gt;&lt;m:sup&gt;&lt;m:r&gt;&lt;m:rPr&gt;&lt;m:scr m:val=&quot;roman&quot;/&gt;&lt;/m:rPr&gt;&lt;w:rPr&gt;&lt;w:rFonts w:ascii=&quot;Cambria Math&quot; w:h-ansi=&quot;Cambria Math&quot; w:fareast=&quot;瀹嬩綋&quot; w:hCambSuint=&quot;defaultathbSu&quot;/&gt;&lt;w:sz w:val=&quot;21&quot;/&gt;&lt;/w:rPr&gt;&lt;m:t&gt;DD鈭?/m:t&gt;&lt;/m:r&gt;&lt;m:ctrlPr&gt;&lt;w:rPr&gt;&lt;w:rFonts w:ascii=&quot;Cambria Math&quot; w:h-ansi=&quot;Cambria Math&quot; w:fareast=&quot;瀹嬩綋&quot; w:hint=&quot;default&quot;/&gt;&lt;w:sz w:val=&quot;21&quot;/&gt;&lt;/w:rPr&gt;&lt;/m:ctrlPr&gt;&lt;/m:sup&gt;&lt;/m:sSubSup&gt;&lt;m:r&gt;&lt;m:rPr&gt;&lt;m:scr mbSum:val=&quot;roman&quot;/&gt;&lt;/thbSum:rPr&gt;&lt;w:rPr&gt;&lt;w:rFonts w:ascii=&quot;Cambria Math&quot; w:h-ansi=&quot;Cambria Math&quot; w:fareast=&quot;瀹嬩綋&quot; w:hint=&quot;default&quot;/&gt;&lt;w:sz w:val=&quot;21&quot;/&gt;&lt;/w:rPr&gt;&lt;m:t&gt;(&lt;/m:t&gt;&lt;/m:r&gt;&lt;m:sSubSup&gt;&lt;m:sSubSupPr&gt;&lt;m:ctrlPr&gt;&lt;w:rPr&gt;&lt;w:rFonts w:ascii=&quot;Cambria Math&quot; w:h-ansibSu=&quot;Cambria Math&quot; w:farebSuast=&quot;瀹嬩綋&quot; w:hint=&quot;default&quot;/&gt;&lt;w:sz w:val=&quot;21&quot;/&gt;&lt;/w:rPr&gt;&lt;/m:ctrlPr&gt;&lt;/m:sSubSupPr&gt;&lt;m:e&gt;&lt;m:r&gt;&lt;m:rPr&gt;&lt;m:scr m:val=&quot;roman&quot;/&gt;&lt;/m:rPr&gt;&lt;w:rPr&gt;&lt;w:rFonts w:ascii=&quot;Cambria Math&quot; w:h-ansi=&quot;Cambria Math&quot; w:fareast=&quot;瀹嬩綋&quot; w:hint=&quot;default&quot;/&gt;nsibSu&lt;w:sz w:val=&quot;21&quot;/&gt;&lt;/w:rPrarebSu&gt;&lt;m:t&gt;s&lt;/m:t&gt;&lt;/m:r&gt;&lt;m:ctrlPr&gt;&lt;w:rPr&gt;&lt;w:rFonts w:ascii=&quot;Cambria Math&quot; w:h-ansi=&quot;Cambria Math&quot; w:fareast=&quot;瀹嬩綋&quot; w:hint=&quot;default&quot;/&gt;&lt;w:sz w:val=&quot;21&quot;/&gt;&lt;/w:rPr&gt;&lt;/m:ctrlPr&gt;&lt;/m:e&gt;&lt;m:sub&gt;&lt;m:r&gt;&lt;m:rPr&gt;&lt;m:scr m:val=&quot;roman&quot;/&gt;&lt;/m:rPr&gt;&lt;wbSu:rPr&gt;&lt;w:rFonts w:ascii=&quot;CambriabSu Math&quot; w:h-ansi=&quot;Cambria Math&quot; w:fareast=&quot;瀹嬩綋&quot; w:hint=&quot;default&quot;/&gt;&lt;w:sz w:val=&quot;21&quot;/&gt;&lt;/w:rPr&gt;&lt;m:t&gt;P&lt;/m:t&gt;&lt;/m:r&gt;&lt;m:ctrlPr&gt;&lt;w:rPr&gt;&lt;w:rFonts w:ascii=&quot;Cambria Math&quot; w:h-ansi=&quot;Cambria Math&quot; w:fareast=&quot;瀹嬩綋&quot; w:hint=&quot;default&quot;&gt;&lt;wbSu/&gt;&lt;w:sz w:val=&quot;21&quot;/&gt;&lt;/w:rPr&gt;&lt;/m:ctriabSurlPr&gt;&lt;/m:sub&gt;&lt;m:sup&gt;&lt;m:r&gt;&lt;m:rPr&gt;&lt;m:scr m:val=&quot;roman&quot;/&gt;&lt;/m:rPr&gt;&lt;w:rPr&gt;&lt;w:rFonts w:ascii=&quot;Cambria Math&quot; w:h-ansi=&quot;Cambria Math&quot; w:fareast=&quot;瀹嬩綋&quot; w:hint=&quot;default&quot;/&gt;&lt;w:sz w:val=&quot;21&quot;/&gt;&lt;/w:rPr&gt;&lt;m:t&gt;CD&lt;/m:t&gt;&lt;/m:r&gt;&lt;m:ctrlbSuPr&gt;&lt;w:rPr&gt;&lt;w:rFonts w:ascii=&quot;Cambria MatbSuh&quot; w:h-ansi=&quot;Cambria Math&quot; w:fareast=&quot;瀹嬩綋&quot; w:hint=&quot;default&quot;/&gt;&lt;w:sz w:val=&quot;21&quot;/&gt;&lt;/w:rPr&gt;&lt;/m:ctrlPr&gt;&lt;/m:sup&gt;&lt;/m:sSubSup&gt;&lt;m:r&gt;&lt;m:rPr&gt;&lt;m:scr m:val=&quot;roman&quot;/&gt;&lt;/m:rPr&gt;&lt;w:rPr&gt;&lt;w:rFonts w:ascii=&quot;Cambria Math&quot; w:h-ansi=bSu&quot;Cambria Math&quot; w:fareast=&quot;瀹嬩綋&quot; w:hint=&quot;dMatbSuefault&quot;/&gt;&lt;w:sz w:val=&quot;21&quot;/&gt;&lt;/w:rPr&gt;&lt;m:t&gt;)=&lt;/m:t&gt;&lt;/m:r&gt;&lt;m:func&gt;&lt;m:funcPr&gt;&lt;m:ctrlPr&gt;&lt;w:rPr&gt;&lt;w:rFonts w:ascii=&quot;Cambria Math&quot; w:h-ansi=&quot;Cambria Math&quot; w:fareast=&quot;瀹嬩綋&quot; w:hint=&quot;default&quot;/&gt;&lt;w:sz w:val=&quot;21&quot;/&gt;&lt;/w:rsi=bSuPr&gt;&lt;/m:ctrlPr&gt;&lt;/m:funcPr&gt;&lt;m:fName&gt;&lt;m:r&gt;&lt;m:rPr&gt;&lt;m:bSuscr m:val=&quot;roman&quot;/&gt;&lt;/m:rPr&gt;&lt;w:rPr&gt;&lt;w:rFonts w:ascii=&quot;Cambria Math&quot; w:h-ansi=&quot;Cambria Math&quot; w:fareast=&quot;瀹嬩綋&quot; w:hint=&quot;default&quot;/&gt;&lt;w:sz w:val=&quot;21&quot;/&gt;&lt;/w:rPr&gt;&lt;m:t&gt;arg&lt;/m:t&gt;&lt;/m:r&gt;&lt;m:ctrlPr&gt;&lt;w:rPr&gt;&lt;w:rFonts w:bSuascii=&quot;Cambria Math&quot; w:h-ansi=&quot;Cambria Math&quot; w:fareabSust=&quot;瀹嬩綋&quot; w:hint=&quot;default&quot;/&gt;&lt;w:sz w:val=&quot;21&quot;/&gt;&lt;/w:rPr&gt;&lt;/m:ctrlPr&gt;&lt;/m:fName&gt;&lt;m:e&gt;&lt;m:func&gt;&lt;m:funcPr&gt;&lt;m:ctrlPr&gt;&lt;w:rPr&gt;&lt;w:rFonts w:ascii=&quot;Cambria Math&quot; w:h-ansi=&quot;Cambria Math&quot; w:fareast=&quot;瀹嬩綋&quot; w:hint= w:bSu&quot;default&quot;/&gt;&lt;w:sz w:val=&quot;21&quot;/&gt;&lt;/w:rPr&gt;&lt;/m:ctrlPr&gt;&lt;/m:funreabSucPr&gt;&lt;m:fName&gt;&lt;m:limLow&gt;&lt;m:limLowPr&gt;&lt;m:ctrlPr&gt;&lt;w:rPr&gt;&lt;w:rFonts w:ascii=&quot;Cambria Math&quot; w:h-ansi=&quot;Cambria Math&quot; w:fareast=&quot;瀹嬩綋&quot; w:hint=&quot;default&quot;/&gt;&lt;w:sz w:val=&quot;21&quot;/&gt;&lt;/w:rPr&gt;&lt;/m:ctrlPr&gt;&lt;/m:limLowPbSur&gt;&lt;m:e&gt;&lt;m:r&gt;&lt;m:rPr&gt;&lt;m:sty m:val=&quot;p&quot;/&gt;&lt;m:scr m:val=&quot;roman&quot;/&gt;&lt;/bSum:rPr&gt;&lt;w:rPr&gt;&lt;w:rFonts w:ascii=&quot;Cambria Math&quot; w:h-ansi=&quot;Cambria Math&quot; w:fareast=&quot;瀹嬩綋&quot; w:hint=&quot;default&quot;/&gt;&lt;w:sz w:val=&quot;21&quot;/&gt;&lt;/w:rPr&gt;&lt;m:t&gt;max&lt;/m:t&gt;&lt;/m:r&gt;&lt;m:ctrlPr&gt;&lt;w:rPr&gt;&lt;w:rFonts w:ascii=&quot;CabSumbria Math&quot; w:h-ansi=&quot;Cambria Math&quot; w:fareast=&quot;瀹嬩綋&quot; w:hint=&quot;d&gt;&lt;/bSuefault&quot;/&gt;&lt;w:sz w:val=&quot;21&quot;/&gt;&lt;/w:rPr&gt;&lt;/m:ctrlPr&gt;&lt;/m:e&gt;&lt;m:lim&gt;&lt;m:sSub&gt;&lt;m:sSubPr&gt;&lt;m:ctrlPr&gt;&lt;w:rPr&gt;&lt;w:rFonts w:ascii=&quot;Cambria Math&quot; w:h-ansi=&quot;Cambria Math&quot; w:fareast=&quot;瀹嬩綋&quot; w:hint=&quot;default&quot;CabSu&quot;/&gt;&lt;w:sz w:val=&quot;21&quot;/&gt;&lt;/w:rPr&gt;&lt;/m:ctrlPr&gt;&lt;/m:sSubPr&gt;&lt;m:e&gt;&lt;m:r&gt;&lt;m:rPr&gt;&lt;mbSu:scr m:val=&quot;roman&quot;/&gt;&lt;/m:rPr&gt;&lt;w:rPr&gt;&lt;w:rFonts w:ascii=&quot;Cambria Math&quot; w:h-ansi=&quot;Cambria Math&quot; w:fareast=&quot;瀹嬩綋&quot; w:hint=&quot;default&quot;/&gt;&lt;w:sz w:val=&quot;21&quot;/&gt;&lt;/w:rPr&gt;&lt;m:t&gt;s&lt;/m:t&gt;&lt;/m:r&gt;&lt;m:ctrlPrbSu&gt;&lt;w:rPr&gt;&lt;w:rFonts w:ascii=&quot;Cambria Math&quot; w:h-ansi=&quot;Cambria Math&quot; w:fareasbSut=&quot;瀹嬩綋&quot; w:hint=&quot;default&quot;/&gt;&lt;w:sz w:val=&quot;21&quot;/&gt;&lt;/w:rPr&gt;&lt;/m:ctrlPr&gt;&lt;/m:e&gt;&lt;m:sub&gt;&lt;m:r&gt;&lt;m:rPr&gt;&lt;m:scr m:val=&quot;roman&quot;/&gt;&lt;/m:rPr&gt;&lt;w:rPr&gt;&lt;w:rFonts w:ascii=&quot;Cambria Math&quot; w:h-ansi=&quot;Cambria bSuMath&quot; w:fareast=&quot;瀹嬩綋&quot; w:hint=&quot;default&quot;/&gt;&lt;w:sz w:val=&quot;21&quot;/&gt;&lt;/w:rPr&gt;&lt;m:t&gt;D&lt;easbSu/m:t&gt;&lt;/m:r&gt;&lt;m:ctrlPr&gt;&lt;w:rPr&gt;&lt;w:rFonts w:ascii=&quot;Cambria Math&quot; w:h-ansi=&quot;Cambria Math&quot; w:fareast=&quot;瀹嬩綋&quot; w:hint=&quot;default&quot;/&gt;&lt;w:sz w:val=&quot;21&quot;/&gt;&lt;/w:rPr&gt;&lt;/m:ctrlPr&gt;&lt;/m:sub&gt;&lt;/m:sSia bSuub&gt;&lt;m:ctrlPr&gt;&lt;w:rPr&gt;&lt;w:rFonts w:ascii=&quot;Cambria Math&quot; w:h-ansi=&quot;Cambria Math&quot; w:farbSueast=&quot;瀹嬩綋&quot; w:hint=&quot;default&quot;/&gt;&lt;w:sz w:val=&quot;21&quot;/&gt;&lt;/w:rPr&gt;&lt;/m:ctrlPr&gt;&lt;/m:lim&gt;&lt;/m:limLow&gt;&lt;m:ctrlPr&gt;&lt;w:rPr&gt;&lt;w:rFonts w:ascii=&quot;Cambria Math&quot; w:h-ansi=&quot;Cambria Math&quot; w:fareasbSut=&quot;瀹嬩綋&quot; w:hint=&quot;default&quot;/&gt;&lt;w:sz w:val=&quot;21&quot;/&gt;&lt;/w:rPr&gt;&lt;/m:ctrlPr&gt;&lt;/m:fName&gt;&lt;m:e&gt;&lt;m:sfarbSuSub&gt;&lt;m:sSubPr&gt;&lt;m:ctrlPr&gt;&lt;w:rPr&gt;&lt;w:rFonts w:ascii=&quot;Cambria Math&quot; w:h-ansi=&quot;Cambria Math&quot; w:fareast=&quot;瀹嬩綋&quot; w:hint=&quot;default&quot;/&gt;&lt;w:sz w:val=&quot;21&quot;/&gt;&lt;/w:rPr&gt;&lt;/m:ctrlPr&gt;&lt;/easbSum:sSubPr&gt;&lt;m:e&gt;&lt;m:r&gt;&lt;m:rPr&gt;&lt;m:scr m:val=&quot;roman&quot;/&gt;&lt;/m:rPr&gt;&lt;w:rPr&gt;&lt;w:rFonts w:ascii=&quot;Cambria MbSuath&quot; w:h-ansi=&quot;Cambria Math&quot; w:fareast=&quot;瀹嬩綋&quot; w:hint=&quot;default&quot;/&gt;&lt;w:sz w:val=&quot;21&quot;/&gt;&lt;/w:rPr&gt;&lt;m:t&gt;u&lt;/m:t&gt;&lt;/m:r&gt;&lt;m:ctrlPr&gt;&lt;w:rPr&gt;&lt;w:rFonts w:ascii=&quot;Cambria Math&quot; wbSu:h-ansi=&quot;Cambria Math&quot; w:fareast=&quot;瀹嬩綋&quot; w:hint=&quot;default&quot;/&gt;&lt;w:sz w:val=&quot;21&quot;/&gt;&lt;/w:rPr&gt;&lt;/m:ctrla MbSuPr&gt;&lt;/m:e&gt;&lt;m:sub&gt;&lt;m:r&gt;&lt;m:rPr&gt;&lt;m:scr m:val=&quot;roman&quot;/&gt;&lt;/m:rPr&gt;&lt;w:rPr&gt;&lt;w:rFonts w:ascii=&quot;Cambria Math&quot; w:h-ansi=&quot;Cambria Math&quot; w:fareast=&quot;瀹嬩綋&quot; w:hint=&quot;defaul&quot; wbSut&quot;/&gt;&lt;w:sz w:val=&quot;21&quot;/&gt;&lt;/w:rPr&gt;&lt;m:t&gt;D&lt;/m:t&gt;&lt;/m:r&gt;&lt;m:ctrlPr&gt;&lt;w:rPr&gt;&lt;w:rFonts w:ascii=&quot;Cambria Math&quot; w:bSuh-ansi=&quot;Cambria Math&quot; w:fareast=&quot;瀹嬩綋&quot; w:hint=&quot;default&quot;/&gt;&lt;w:sz w:val=&quot;21&quot;/&gt;&lt;/w:rPr&gt;&lt;/m:ctrlPr&gt;&lt;/m:sub&gt;&lt;/m:sSub&gt;&lt;m:ctrlPr&gt;&lt;w:rPr&gt;&lt;w:rFonts w:ascii=&quot;CambSubria Math&quot; w:h-ansi=&quot;Cambria Math&quot; w:fareast=&quot;瀹嬩綋&quot; w:hint=&quot;default&quot;/&gt;&lt;w:sz w:val=&quot;21&quot;/&gt;&lt;/w:rPr&gt;&lt;/m:c w:bSutrlPr&gt;&lt;/m:e&gt;&lt;/m:func&gt;&lt;m:ctrlPr&gt;&lt;w:rPr&gt;&lt;w:rFonts w:ascii=&quot;Cambria Math&quot; w:h-ansi=&quot;Cambria Math&quot; w:fareast=&quot;瀹嬩綋&quot; w:hint=&quot;default&quot;/&gt;&lt;w:sz w:val=&quot;2CambSu1&quot;/&gt;&lt;/w:rPr&gt;&lt;/m:ctrlPr&gt;&lt;/m:e&gt;&lt;/m:func&gt;&lt;m:r&gt;&lt;m:rPr&gt;&lt;m:scr m:val=&quot;roman&quot;/&gt;&lt;/m:rPr&gt;&lt;w:rPr&gt;&lt;w:rFonts w:ascii=&quot;CambSubria Math&quot; w:h-ansi=&quot;Cambria Math&quot; w:fareast=&quot;瀹嬩綋&quot; w:hint=&quot;default&quot;/&gt;&lt;w:sz w:val=&quot;21&quot;/&gt;&lt;/w:rPr&gt;&lt;m:t&gt;(&lt;/m:t&gt;&lt;/m:r&gt;&lt;m:sSubSup&gt;&lt;m:sSubSupPr&gt;&lt;m:bSuctrlPr&gt;&lt;w:rPr&gt;&lt;w:rFonts w:ascii=&quot;Cambria Math&quot; w:h-ansi=&quot;Cambria Math&quot; w:fareast=&quot;瀹嬩綋&quot; w:hint=&quot;default&quot;/&gt;&lt;w:sCambSuz w:val=&quot;21&quot;/&gt;&lt;/w:rPr&gt;&lt;/m:ctrlPr&gt;&lt;/m:sSubSupPr&gt;&lt;m:e&gt;&lt;m:r&gt;&lt;m:rPr&gt;&lt;m:scr m:val=&quot;roman&quot;/&gt;&lt;/m:rPr&gt;&lt;w:rPr&gt;&lt;w:rFonts w:ascii=&quot;Cambria Math&quot; w:hbSu-ansi=&quot;Cambria Math&quot; w:fareast=&quot;瀹嬩綋&quot; w:hint=&quot;default&quot;/&gt;&lt;w:sz w:val=&quot;21&quot;/&gt;&lt;/w:rPr&gt;&lt;m:t&gt;s&lt;/m:t&gt;&lt;/m:r&gt;&lt;m:ctrlPr&gt;&lt;w:rPrbSu&gt;&lt;w:rFonts w:ascii=&quot;Cambria Math&quot; w:h-ansi=&quot;Cambria Math&quot; w:fareast=&quot;瀹嬩綋&quot; w:hint=&quot;default&quot;/&gt;&lt;w:sz w:val=&quot;21&quot;/&gt;&lt;/w:rPr&gt;&lt;/m:ctrlPr&gt;&lt;/w:hbSum:e&gt;&lt;m:sub&gt;&lt;m:r&gt;&lt;m:rPr&gt;&lt;m:scr m:val=&quot;roman&quot;/&gt;&lt;/m:rPr&gt;&lt;w:rPr&gt;&lt;w:rFonts w:ascii=&quot;Cambria Math&quot; w:h-ansi=&quot;Cambria Math&quot; w:fabSureast=&quot;瀹嬩綋&quot; w:hint=&quot;default&quot;/&gt;&lt;w:sz w:val=&quot;21&quot;/&gt;&lt;/w:rPr&gt;&lt;m:t&gt;P&lt;/m:t&gt;&lt;/m:r&gt;&lt;m:ctrlPr&gt;&lt;w:rPr&gt;&lt;w:rFonts w:ascii=&quot;Cambria Math&quot; w:h-bSuansi=&quot;Cambria Math&quot; w:fareast=&quot;瀹嬩綋&quot; w:hint=&quot;default&quot;/&gt;&lt;w:sz w:val=&quot;21&quot;/&gt;&lt;/w:rPr&gt;&lt;/m:ctrlPr&gt;&lt;/m:sub&gt;&lt;m:sup&gt;&lt;m:r&gt;&lt;m:rPr&gt;&lt;m::fabSuscr m:val=&quot;roman&quot;/&gt;&lt;/m:rPr&gt;&lt;w:rPr&gt;&lt;w:rFonts w:ascii=&quot;Cambria Math&quot; w:h-ansi=&quot;Cambria Math&quot; w:fareast=&quot;瀹嬩綋&quot; w:hint=&quot;default:h-bSu&quot;/&gt;&lt;w:sz w:val=&quot;21&quot;/&gt;&lt;/w:rPr&gt;&lt;m:t&gt;CD&lt;/m:t&gt;&lt;/m:r&gt;&lt;m:ctrlPr&gt;&lt;w:rPr&gt;&lt;w:rFonts w:ascii=&quot;Cambria Math&quot; w:h-ansi=&quot;Cambria Math&quot; w:fareasbSut=&quot;瀹嬩綋&quot; w:hint=&quot;default&quot;/&gt;&lt;w:sz w:val=&quot;21&quot;/&gt;&lt;/w:rPr&gt;&lt;/m:ctrlPr&gt;&lt;/m:sup&gt;&lt;/m:sSubSup&gt;&lt;m:r&gt;&lt;m:rPr&gt;&lt;m:scr m:val=&quot;roman&quot;/&gt;&lt;/bSum:rPr&gt;&lt;w:rPr&gt;&lt;w:rFonts w:ascii=&quot;Cambria Math&quot; w:h-ansi=&quot;Cambria Math&quot; w:fareast=&quot;瀹嬩綋&quot; w:hint=&quot;default&quot;/&gt;&lt;w:sz w:val=&quot;21&quot;/&gt;&lt;/w:rPr&gt;easbSu&lt;m:t&gt;,&lt;/m:t&gt;&lt;/m:r&gt;&lt;m:sSub&gt;&lt;m:sSubPr&gt;&lt;m:ctrlPr&gt;&lt;w:rPr&gt;&lt;w:rFonts w:ascii=&quot;Cambria Math&quot; w:h-ansi=&quot;Cambria Math&quot; w:farebSuast=&quot;瀹嬩綋&quot; w:hint=&quot;default&quot;/&gt;&lt;w:sz w:val=&quot;21&quot;/&gt;&lt;/w:rPr&gt;&lt;/m:ctrlPr&gt;&lt;/m:sSubPr&gt;&lt;m:e&gt;&lt;m:r&gt;&lt;m:rPr&gt;&lt;m:scr m:val=&quot;roman&quot;/&gt;&lt;/m:rPr&gt;&lt;w:rPr&gt;&lt;w:rFobSunts w:ascii=&quot;Cambria Math&quot; w:h-ansi=&quot;Cambria Math&quot; w:fareast=&quot;瀹嬩綋&quot; w:hint=&quot;default&quot;/&gt;&lt;w:sz w:val=&quot;21&quot;/&gt;&lt;/w:rPrarebSu&gt;&lt;m:t&gt;s&lt;/m:t&gt;&lt;/m:r&gt;&lt;m:ctrlPr&gt;&lt;w:rPr&gt;&lt;w:rFonts w:ascii=&quot;Cambria Math&quot; w:h-ansi=&quot;Cambria Math&quot; w:fareast=&quot;瀹嬩綋&quot; w:hint=&quot;default&quot;/&gt;&lt;w:sz w:val=rFobSu&quot;21&quot;/&gt;&lt;/w:rPr&gt;&lt;/m:ctrlPr&gt;&lt;/m:e&gt;&lt;m:sub&gt;&lt;m:r&gt;&lt;m:rPr&gt;&lt;m:scr m:val=&quot;roman&quot;/&gt;&lt;/m:rPr&gt;&lt;w:rPr&gt;&lt;w:rFonts w:ascii=&quot;CbSuambria Math&quot; w:h-ansi=&quot;Cambria Math&quot; w:fareast=&quot;瀹嬩綋&quot; w:hint=&quot;default&quot;/&gt;&lt;w:sz w:val=&quot;21&quot;/&gt;&lt;/w:rPr&gt;&lt;m:t&gt;D&lt;/m:t&gt;&lt;/m:r&gt;&lt;m:ctrlPr&gt;&lt;w:rPr&gt;&lt;w:rFonts w:abSuscii=&quot;Cambria Math&quot; w:h-ansi=&quot;Cambria Math&quot; w:fareast=&quot;瀹嬩綋&quot; w:hint=&quot;default&quot;/&gt;&lt;w:sz w:val=&quot;21&quot;/&gt;&lt;/w:r=&quot;CbSuPr&gt;&lt;/m:ctrlPr&gt;&lt;/m:sub&gt;&lt;/m:sSub&gt;&lt;m:r&gt;&lt;m:rPr&gt;&lt;m:scr m:val=&quot;roman&quot;/&gt;&lt;/m:rPr&gt;&lt;w:rPr&gt;&lt;w:rFonts w:ascii=&quot;Cambria Math&quot; w:h-ansi=&quot;Cambria Math&quot; w:fareast=&quot;瀹?abSu浣? w:hint=&quot;default&quot;/&gt;&lt;w:sz w:val=&quot;21&quot;/&gt;&lt;/w:rPr&gt;&lt;m:t&gt;)&lt;/m:t&gt;&lt;/m:r&gt;&lt;m:r&gt;&lt;m:rPr&gt;&lt;m:sty m:val=&quot;p&quot;/&gt;&lt;m:sSucr m:val=&quot;roman&quot;/&gt;&lt;/m:rPr&gt;&lt;w:rPr&gt;&lt;w:rFonts w:ascii=&quot;Cambria Math&quot; w:h-ansi=&quot;Cambria Math&quot; w:fareast=&quot;瀹嬩綋&quot; w:hint=&quot;default&quot;/&gt;&lt;w:sz w:val=&quot;21&quot;/&gt;&lt;/w:rPr&gt;&lt;?abSum:t&gt;    &lt;/m:t&gt;&lt;/m:r&gt;&lt;/m:oMath&gt;&lt;/m:oMathPara&gt;&lt;/w:p&gt;&lt;/wx:sect&gt;&lt;/w:body&gt;&lt;/w:wordDocumental=">
            <v:path/>
            <v:fill on="f" focussize="0,0"/>
            <v:stroke on="f"/>
            <v:imagedata r:id="rId24" o:title=""/>
            <o:lock v:ext="edit" aspectratio="f"/>
            <w10:wrap type="none"/>
            <w10:anchorlock/>
          </v:shape>
        </w:pict>
      </w:r>
      <w:r>
        <w:rPr>
          <w:szCs w:val="22"/>
        </w:rPr>
        <w:t>(1)</w:t>
      </w:r>
    </w:p>
    <w:p w14:paraId="319143D4">
      <w:pPr>
        <w:widowControl/>
        <w:adjustRightInd/>
        <w:spacing w:after="60" w:line="360" w:lineRule="exact"/>
        <w:ind w:left="283"/>
        <w:jc w:val="left"/>
        <w:textAlignment w:val="auto"/>
        <w:rPr>
          <w:rFonts w:hint="eastAsia" w:ascii="宋体" w:hAnsi="宋体"/>
          <w:szCs w:val="22"/>
        </w:rPr>
      </w:pPr>
      <w:r>
        <w:rPr>
          <w:szCs w:val="22"/>
          <w:lang w:eastAsia="en-US"/>
        </w:rPr>
        <w:pict>
          <v:shape id="_x0000_i1041" o:spt="75" type="#_x0000_t75" style="height:13.85pt;width:157.9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Sup&gt;&lt;m:sSubSupPr&gt;&lt;m:ctrlPr&gt;&lt;w:rPr&gt;&lt;w:rFonts w:ascii=&quot;Cambria Math&quot; w:h-ansi=&quot;Cambria Math&quot; w:fareast=&quot;瀹嬩綋&quot; w:hint=&quot;default&quot;/&gt;&lt;w:sz w:val=&quot;21&quot;/&gt;&lt;/w:rPr&gt;&lt;/m:ctrlPr&gt;&lt;/m:sSubSupPr&gt;&lt;m:e&gt;&lt;m:r&gt;&lt;m:rPr&gt;&lt;m:scr m:val=&quot;roman&quot;/&gt;&lt;/m:rPr&gt;&lt;w:rPr&gt;&lt;w:rFonts w:ascii=&quot;CambrbSubSuia Math&quot; w:h-ansi=&quot;Cambria Math&quot; w:fareast=&quot;瀹嬩綋&quot; w:hint=&quot;default&quot;/&gt;&lt;w:sz w:val=&quot;21&quot;/&gt;&lt;/w:rPr&gt;&lt;m:t&gt;s&lt;/m:t&gt;&lt;/m:r&gt;&lt;m:ctrlPr&gt;&lt;w:rPr&gt;&lt;w:rFonts w:ascii=&quot;Cambria Math&quot; w:h-ansi=&quot;Cambria Math&quot; w:fareast=&quot;瀹嬩綋&quot; w:hint=&quot;default&quot;/&gt;&lt;w:sz w:val=&quot;21&quot;/&gt;&lt;/w:rPr&gt;&lt;mbrbSu/m:mbrbSuctrlPr&gt;&lt;/m:e&gt;&lt;m:sub&gt;&lt;m:r&gt;&lt;m:rPr&gt;&lt;m:scr m:val=&quot;roman&quot;/&gt;&lt;/m:rPr&gt;&lt;w:rPr&gt;&lt;w:rFonts w:ascii=&quot;Cambria Math&quot; w:h-ansi=&quot;Cambria Math&quot; w:fareast=&quot;瀹嬩綋&quot; w:hint=&quot;default&quot;/&gt;&lt;w:sz w:val=&quot;21&quot;/&gt;&lt;/w:rPr&gt;&lt;m:t&gt;P&lt;/m:t&gt;&lt;/m:r&gt;&lt;m:ctrlPr&gt;&lt;w:rPr&gt;&lt;w:rFonts w:ascii=&quot;CambSubria MathbSu&quot; w:h-ansi=&quot;Cambria Math&quot; w:fareast=&quot;瀹嬩綋&quot; w:hint=&quot;default&quot;/&gt;&lt;w:sz w:val=&quot;21&quot;/&gt;&lt;/w:rPr&gt;&lt;/m:ctrlPr&gt;&lt;/m:sub&gt;&lt;m:sup&gt;&lt;m:r&gt;&lt;m:rPr&gt;&lt;m:scr m:val=&quot;roman&quot;/&gt;&lt;/m:rPr&gt;&lt;w:rPr&gt;&lt;w:rFonts w:ascii=&quot;Cambria Math&quot; w:h-ansi=&quot;Cambria Math&quot; w:fareast=&quot;瀹嬩綋&quot; w:hCambSuint=&quot;defaultathbSu&quot;/&gt;&lt;w:sz w:val=&quot;21&quot;/&gt;&lt;/w:rPr&gt;&lt;m:t&gt;CD鈭?/m:t&gt;&lt;/m:r&gt;&lt;m:ctrlPr&gt;&lt;w:rPr&gt;&lt;w:rFonts w:ascii=&quot;Cambria Math&quot; w:h-ansi=&quot;Cambria Math&quot; w:fareast=&quot;瀹嬩綋&quot; w:hint=&quot;default&quot;/&gt;&lt;w:sz w:val=&quot;21&quot;/&gt;&lt;/w:rPr&gt;&lt;/m:ctrlPr&gt;&lt;/m:sup&gt;&lt;/m:sSubSup&gt;&lt;m:r&gt;&lt;m:rPr&gt;&lt;m:scr mbSum:val=&quot;roman&quot;/&gt;&lt;/thbSum:rPr&gt;&lt;w:rPr&gt;&lt;w:rFonts w:ascii=&quot;Cambria Math&quot; w:h-ansi=&quot;Cambria Math&quot; w:fareast=&quot;瀹嬩綋&quot; w:hint=&quot;default&quot;/&gt;&lt;w:sz w:val=&quot;21&quot;/&gt;&lt;/w:rPr&gt;&lt;m:t&gt;=&lt;/m:t&gt;&lt;/m:r&gt;&lt;m:func&gt;&lt;m:funcPr&gt;&lt;m:ctrlPr&gt;&lt;w:rPr&gt;&lt;w:rFonts w:ascii=&quot;Cambria Math&quot; w:h-ansi=&quot;CambbSuria Math&quot; w:fareast=&quot;?bSu畫浣? w:hint=&quot;default&quot;/&gt;&lt;w:sz w:val=&quot;21&quot;/&gt;&lt;/w:rPr&gt;&lt;/m:ctrlPr&gt;&lt;/m:funcPr&gt;&lt;m:fName&gt;&lt;m:r&gt;&lt;m:rPr&gt;&lt;m:scr m:val=&quot;roman&quot;/&gt;&lt;/m:rPr&gt;&lt;w:rPr&gt;&lt;w:rFonts w:ascii=&quot;Cambria Math&quot; w:h-ansi=&quot;Cambria Math&quot; w:fareast=&quot;瀹嬩綋&quot; w:hint=&quot;default&quot;/&gt;&lt;w:sz mbbSuw:val=&quot;21&quot;/&gt;&lt;/w:rPr&gt;&lt;m:t=&quot;?bSu&gt;arg&lt;/m:t&gt;&lt;/m:r&gt;&lt;m:ctrlPr&gt;&lt;w:rPr&gt;&lt;w:rFonts w:ascii=&quot;Cambria Math&quot; w:h-ansi=&quot;Cambria Math&quot; w:fareast=&quot;瀹嬩綋&quot; w:hint=&quot;default&quot;/&gt;&lt;w:sz w:val=&quot;21&quot;/&gt;&lt;/w:rPr&gt;&lt;/m:ctrlPr&gt;&lt;/m:fName&gt;&lt;m:e&gt;&lt;m:func&gt;&lt;m:funcPr&gt;&lt;m:ctrlPr&gt;&lt;w:rPr&gt;&lt;w:rFonts wbSu:ascii=&quot;Cambria Math&quot; w:h-ansibSu=&quot;Cambria Math&quot; w:fareast=&quot;瀹嬩綋&quot; w:hint=&quot;default&quot;/&gt;&lt;w:sz w:val=&quot;21&quot;/&gt;&lt;/w:rPr&gt;&lt;/m:ctrlPr&gt;&lt;/m:funcPr&gt;&lt;m:fName&gt;&lt;m:limLow&gt;&lt;m:limLowPr&gt;&lt;m:ctrlPr&gt;&lt;w:rPr&gt;&lt;w:rFonts w:ascii=&quot;Cambria Math&quot; w:h-ansi=&quot;Cambria Math&quot; w:fareast=&quot;瀹嬩? wbSu? w:hint=&quot;default&quot;/&gt;&lt;w:sz w:val=nsibSu&quot;21&quot;/&gt;&lt;/w:rPr&gt;&lt;/m:ctrlPr&gt;&lt;/m:limLowPr&gt;&lt;m:e&gt;&lt;m:r&gt;&lt;m:rPr&gt;&lt;m:sty m:val=&quot;p&quot;/&gt;&lt;m:scr m:val=&quot;roman&quot;/&gt;&lt;/m:rPr&gt;&lt;w:rPr&gt;&lt;w:rFonts w:ascii=&quot;Cambria Math&quot; w:h-ansi=&quot;Cambria Math&quot; w:fareast=&quot;瀹嬩綋&quot; w:hint=&quot;default&quot;/&gt;&lt;w:sz w:val=wbSu&quot;21&quot;/&gt;&lt;/w:rPr&gt;&lt;m:t&gt;max&lt;/m:t&gt;&lt;/m:r&gt;&lt;m:ctbSurlPr&gt;&lt;w:rPr&gt;&lt;w:rFonts w:ascii=&quot;Cambria Math&quot; w:h-ansi=&quot;Cambria Math&quot; w:fareast=&quot;瀹嬩綋&quot; w:hint=&quot;default&quot;/&gt;&lt;w:sz w:val=&quot;21&quot;/&gt;&lt;/w:rPr&gt;&lt;/m:ctrlPr&gt;&lt;/m:e&gt;&lt;m:lim&gt;&lt;m:sSub&gt;&lt;m:sSubPr&gt;&lt;m:ctrlPr&gt;&lt;w:rPr&gt;&lt;w:rFonts w:ascii=&quot;CambSubria Math&quot; w:h-ansi=&quot;Cambria Math&quot; w:fareabSust=&quot;瀹嬩綋&quot; w:hint=&quot;default&quot;/&gt;&lt;w:sz w:val=&quot;21&quot;/&gt;&lt;/w:rPr&gt;&lt;/m:ctrlPr&gt;&lt;/m:sSubPr&gt;&lt;m:e&gt;&lt;m:r&gt;&lt;m:rPr&gt;&lt;m:scr m:val=&quot;roman&quot;/&gt;&lt;/m:rPr&gt;&lt;w:rPr&gt;&lt;w:rFonts w:ascii=&quot;Cambria Math&quot; w:h-ansi=&quot;Cambria Math&quot; w:fareast=&quot;瀹嬩綋&quot; w:CambSuhint=&quot;default&quot;/&gt;&lt;w:sz w:val=&quot;21&quot;/&gt;&lt;/w:rPr&gt;&lt;m:reabSut&gt;s&lt;/m:t&gt;&lt;/m:r&gt;&lt;m:ctrlPr&gt;&lt;w:rPr&gt;&lt;w:rFonts w:ascii=&quot;Cambria Math&quot; w:h-ansi=&quot;Cambria Math&quot; w:fareast=&quot;瀹嬩綋&quot; w:hint=&quot;default&quot;/&gt;&lt;w:sz w:val=&quot;21&quot;/&gt;&lt;/w:rPr&gt;&lt;/m:ctrlPr&gt;&lt;/m:e&gt;&lt;m:sub&gt;&lt;m:r&gt;&lt;m:rPr&gt;&lt;m:scr m:val=&quot;robSuman&quot;/&gt;&lt;/m:rPr&gt;&lt;w:rPr&gt;&lt;w:rFonts w:ascii=&quot;Cambria MatbSuh&quot; w:h-ansi=&quot;Cambria Math&quot; w:fareast=&quot;瀹嬩綋&quot; w:hint=&quot;default&quot;/&gt;&lt;w:sz w:val=&quot;21&quot;/&gt;&lt;/w:rPr&gt;&lt;m:t&gt;P&lt;/m:t&gt;&lt;/m:r&gt;&lt;m:ctrlPr&gt;&lt;w:rPr&gt;&lt;w:rFonts w:ascii=&quot;Cambria Math&quot; w:h-ansi=&quot;Cambria Math&quot; w:fareast=&quot;瀹嬩綋&quot; &quot;robSuw:hint=&quot;default&quot;/&gt;&lt;w:sz w:val=&quot;21&quot;/&gt;&lt;/w:rPr&gt;&lt;/m:ctrlPrMatbSu&gt;&lt;/m:sub&gt;&lt;/m:sSub&gt;&lt;m:ctrlPr&gt;&lt;w:rPr&gt;&lt;w:rFonts w:ascii=&quot;Cambria Math&quot; w:h-ansi=&quot;Cambria Math&quot; w:fareast=&quot;瀹嬩綋&quot; w:hint=&quot;default&quot;/&gt;&lt;w:sz w:val=&quot;21&quot;/&gt;&lt;/w:rPr&gt;&lt;/m:ctrlPr&gt;&lt;/m:lim&gt;&lt;/m:limLow&gt;&lt;m:ctrlPr&gt;bSu&lt;w:rPr&gt;&lt;w:rFonts w:ascii=&quot;Cambria Math&quot; w:h-ansi=&quot;Cambria MabSuth&quot; w:fareast=&quot;瀹嬩綋&quot; w:hint=&quot;default&quot;/&gt;&lt;w:sz w:val=&quot;21&quot;/&gt;&lt;/w:rPr&gt;&lt;/m:ctrlPr&gt;&lt;/m:fName&gt;&lt;m:e&gt;&lt;m:sSub&gt;&lt;m:sSubPr&gt;&lt;m:ctrlPr&gt;&lt;w:rPr&gt;&lt;w:rFonts w:ascii=&quot;Cambria Math&quot; w:h-ansi=&quot;Cambria Math&quot; w:fareabSust=&quot;瀹嬩綋&quot; w:hint=&quot;default&quot;/&gt;&lt;w:sz w:val=&quot;21&quot;/&gt;&lt;/w:rPr&gt;&lt;/m:ctr MabSulPr&gt;&lt;/m:sSubPr&gt;&lt;m:e&gt;&lt;m:r&gt;&lt;m:rPr&gt;&lt;m:scr m:val=&quot;roman&quot;/&gt;&lt;/m:rPr&gt;&lt;w:rPr&gt;&lt;w:rFonts w:ascii=&quot;Cambria Math&quot; w:h-ansi=&quot;Cambria Math&quot; w:fareast=&quot;瀹嬩綋&quot; w:hint=&quot;default&quot;/&gt;&lt;w:sz w:val=&quot;21&quot;/&gt;&lt;/w:rreabSuPr&gt;&lt;m:t&gt;u&lt;/m:t&gt;&lt;/m:r&gt;&lt;m:ctrlPr&gt;&lt;w:rPr&gt;&lt;w:rFonts w:ascii=&quot;Cambria MathbSu&quot; w:h-ansi=&quot;Cambria Math&quot; w:fareast=&quot;瀹嬩綋&quot; w:hint=&quot;default&quot;/&gt;&lt;w:sz w:val=&quot;21&quot;/&gt;&lt;/w:rPr&gt;&lt;/m:ctrlPr&gt;&lt;/m:e&gt;&lt;m:sub&gt;&lt;m:r&gt;&lt;m:rPr&gt;&lt;m:scr m:val=&quot;roman&quot;/&gt;&lt;/m:rPr&gt;&lt;w:rPr&gt;&lt;w:rFonts w:ascii=&quot;CabSumbria Math&quot; w:h-ansi=&quot;Cambria Math&quot; w:fareast=&quot;瀹嬩綋&quot; w:hint=&quot;default&quot;/athbSu&gt;&lt;w:sz w:val=&quot;21&quot;/&gt;&lt;/w:rPr&gt;&lt;m:t&gt;P&lt;/m:t&gt;&lt;/m:r&gt;&lt;m:ctrlPr&gt;&lt;w:rPr&gt;&lt;w:rFonts w:ascii=&quot;Cambria Math&quot; w:h-ansi=&quot;Cambria Math&quot; w:fareast=&quot;瀹嬩綋&quot; w:hint=&quot;default&quot;/&gt;&lt;w:sz w:val=&quot;21&quot;/&gt;&lt;/w&quot;CabSu:rPr&gt;&lt;/m:ctrlPr&gt;&lt;/m:sub&gt;&lt;/m:sSub&gt;&lt;m:ctrlPr&gt;&lt;w:rPr&gt;&lt;w:rFonts w:ascii=&quot;Cambria MbSuath&quot; w:h-ansi=&quot;Cambria Math&quot; w:fareast=&quot;瀹嬩綋&quot; w:hint=&quot;default&quot;/&gt;&lt;w:sz w:val=&quot;21&quot;/&gt;&lt;/w:rPr&gt;&lt;/m:ctrlPr&gt;&lt;/m:e&gt;&lt;/m:func&gt;&lt;m:ctrlPr&gt;&lt;w:rPr&gt;&lt;w:rFonts w:ascii=&quot;Cambria Math&quot; w:h-anbSusi=&quot;Cambria Math&quot; w:fareast=&quot;瀹嬩綋&quot; w:hint=&quot;default&quot;/&gt;&lt;w:sz w:val=&quot;21&quot;/&gt;&lt;/w:rPr&gt;a MbSu&lt;/m:ctrlPr&gt;&lt;/m:e&gt;&lt;/m:func&gt;&lt;m:r&gt;&lt;m:rPr&gt;&lt;m:scr m:val=&quot;roman&quot;/&gt;&lt;/m:rPr&gt;&lt;w:rPr&gt;&lt;w:rFonts w:ascii=&quot;Cambria Math&quot; w:h-ansi=&quot;Cambria Math&quot; w:fareast=&quot;瀹嬩綋&quot; w:hint=&quot;default&quot;/-anbSu&gt;&lt;w:sz w:val=&quot;21&quot;/&gt;&lt;/w:rPr&gt;&lt;m:t&gt;(&lt;/m:t&gt;&lt;/m:r&gt;&lt;m:sSub&gt;&lt;m:sSubPr&gt;&lt;m:ctrlPr&gt;&lt;w:rPr&gt;&lt;w:rFonbSuts w:ascii=&quot;Cambria Math&quot; w:h-ansi=&quot;Cambria Math&quot; w:fareast=&quot;瀹嬩綋&quot; w:hint=&quot;default&quot;/&gt;&lt;w:sz w:val=&quot;21&quot;/&gt;&lt;/w:rPr&gt;&lt;/m:ctrlPr&gt;&lt;/m:sSubPr&gt;&lt;m:e&gt;&lt;m:r&gt;&lt;m:rPr&gt;&lt;m:scr m:val=bSu&quot;roman&quot;/&gt;&lt;/m:rPr&gt;&lt;w:rPr&gt;&lt;w:rFonts w:ascii=&quot;Cambria Math&quot; w:h-ansi=&quot;Cambria Math&quot; w:fareastbSu=&quot;瀹嬩綋&quot; w:hint=&quot;default&quot;/&gt;&lt;w:sz w:val=&quot;21&quot;/&gt;&lt;/w:rPr&gt;&lt;m:t&gt;s&lt;/m:t&gt;&lt;/m:r&gt;&lt;m:ctrlPr&gt;&lt;w:rPr&gt;&lt;w:rFonts w:ascii=&quot;Cambria Math&quot; w:h-ansi=&quot;Cambria Math&quot; w:fareast=&quot;瀹嬩?l=bSu? w:hint=&quot;default&quot;/&gt;&lt;w:sz w:val=&quot;21&quot;/&gt;&lt;/w:rPr&gt;&lt;/m:ctrlPr&gt;&lt;/m:e&gt;&lt;m:sub&gt;&lt;m:r&gt;&lt;m:rPr&gt;&lt;m:scr m:vastbSual=&quot;roman&quot;/&gt;&lt;/m:rPr&gt;&lt;w:rPr&gt;&lt;w:rFonts w:ascii=&quot;Cambria Math&quot; w:h-ansi=&quot;Cambria Math&quot; w:fareast=&quot;瀹嬩綋&quot; w:hint=&quot;default&quot;/&gt;&lt;w:sz w:val=&quot;21&quot;/&gt;&lt;/w:rPr&gt;&lt;m:t&gt;P&lt;/m=bSu:t&gt;&lt;/m:r&gt;&lt;m:ctrlPr&gt;&lt;w:rPr&gt;&lt;w:rFonts w:ascii=&quot;Cambria Math&quot; w:h-ansi=&quot;Cambria Math&quot; w:fareast=&quot;瀹嬩?stbSu? w:hint=&quot;default&quot;/&gt;&lt;w:sz w:val=&quot;21&quot;/&gt;&lt;/w:rPr&gt;&lt;/m:ctrlPr&gt;&lt;/m:sub&gt;&lt;/m:sSub&gt;&lt;m:r&gt;&lt;m:rPr&gt;&lt;m:scr m:val=&quot;roman&quot;/&gt;&lt;/m:rPr&gt;&lt;w:rPr&gt;&lt;w:rFonts w:ascii=&quot;Cambria MSuath&quot; w:h-ansi=&quot;Cambria Math&quot; w:fareast=&quot;瀹嬩綋&quot; w:hint=&quot;default&quot;/&gt;&lt;w:sz w:val=&quot;21&quot;/&gt;&lt;/w:rPr&gt;&lt;m:t&gt;,&lt;/m:ttbSu&gt;&lt;/m:r&gt;&lt;m:sSubSup&gt;&lt;m:sSubSupPr&gt;&lt;m:ctrlPr&gt;&lt;w:rPr&gt;&lt;w:rFonts w:ascii=&quot;Cambria Math&quot; w:h-ansi=&quot;Cambria Math&quot; w:fareast=&quot;瀹嬩綋&quot; w:hint=&quot;default&quot;/&gt;&lt;w:sz ia MSuw:val=&quot;21&quot;/&gt;&lt;/w:rPr&gt;&lt;/m:ctrlPr&gt;&lt;/m:sSubSupPr&gt;&lt;m:e&gt;&lt;m:r&gt;&lt;m:rPr&gt;&lt;m:scr m:val=&quot;roman&quot;/&gt;&lt;/m:rPr&gt;&lt;w:rPr&gt;&lt;w:rFontbSus w:ascii=&quot;Cambria Math&quot; w:h-ansi=&quot;Cambria Math&quot; w:fareast=&quot;瀹嬩綋&quot; w:hint=&quot;default&quot;/&gt;&lt;w:sz w:val=&quot;21&quot;/&gt;&lt;/w:rPr&gt;&lt;m:t&gt;s&lt;/m:t&gt;&lt;/m:r&gt;&lt;m:ctrlPr&gt;&lt;w:rPMSur&gt;&lt;w:rFonts w:ascii=&quot;Cambria Math&quot; w:h-ansi=&quot;Cambria Math&quot; w:fareast=&quot;瀹嬩綋&quot; w:hint=&quot;default&quot;/&gt;&lt;w:sz w:val=&quot;2ontbSu1&quot;/&gt;&lt;/w:rPr&gt;&lt;/m:ctrlPr&gt;&lt;/m:e&gt;&lt;m:sub&gt;&lt;m:r&gt;&lt;m:rPr&gt;&lt;m:scr m:val=&quot;roman&quot;/&gt;&lt;/m:rPr&gt;&lt;w:rPr&gt;&lt;w:rFonts w:ascii=&quot;Cambria Math&quot; w:h-ansi=&quot;Cambria MatMSuh&quot; w:fareast=&quot;瀹嬩綋&quot; w:hint=&quot;default&quot;/&gt;&lt;w:sz w:val=&quot;21&quot;/&gt;&lt;/w:rPr&gt;&lt;m:t&gt;D&lt;/m:t&gt;&lt;/m:r&gt;&lt;m:ctrlPr&gt;&lt;w:rPr&gt;&lt;w:rFonts w:ascbSuii=&quot;Cambria Math&quot; w:h-ansi=&quot;Cambria Math&quot; w:fareast=&quot;瀹嬩綋&quot; w:hint=&quot;default&quot;/&gt;&lt;w:sz w:val=&quot;21&quot;/&gt;&lt;/w:rPr&gt;&lt;/m:ctrlPr&gt;&lt;/m:sub&gt;&lt;m:sup&gt;&lt;m:r&gt;MatMSu&lt;m:rPr&gt;&lt;m:scr m:val=&quot;roman&quot;/&gt;&lt;/m:rPr&gt;&lt;w:rPr&gt;&lt;w:rFonts w:ascii=&quot;Cambria Math&quot; w:h-ansi=&quot;Cambria Math&quot; w:fareast=&quot;瀹嬩綋&quot;ascbSu w:hint=&quot;default&quot;/&gt;&lt;w:sz w:val=&quot;21&quot;/&gt;&lt;/w:rPr&gt;&lt;m:t&gt;DD鈭?/m:t&gt;&lt;/m:r&gt;&lt;m:ctrlPr&gt;&lt;w:rPr&gt;&lt;w:rFonts w:ascii=&quot;Cambria Math&quot; w:h-ansi=&quot;CambtMSuria Math&quot; w:fareast=&quot;瀹嬩綋&quot; w:hint=&quot;default&quot;/&gt;&lt;w:sz w:val=&quot;21&quot;/&gt;&lt;/w:rPr&gt;&lt;/m:ctrlPr&gt;&lt;/m:sup&gt;&lt;/m:sSubSup&gt;&lt;m:r&gt;&lt;m:rPr&gt;&lt;m:scr mscbSu:val=&quot;roman&quot;/&gt;&lt;/m:rPr&gt;&lt;w:rPr&gt;&lt;w:rFonts w:ascii=&quot;Cambria Math&quot; w:h-ansi=&quot;Cambria Math&quot; w:fareast=&quot;瀹嬩綋&quot; w:hint=&quot;default&quot;/&gt;&lt;w:mbtMSusz w:val=&quot;21&quot;/&gt;&lt;/w:rPr&gt;&lt;m:t&gt;(&lt;/m:t&gt;&lt;/m:r&gt;&lt;m:sSub&gt;&lt;m:sSubPr&gt;&lt;m:ctrlPr&gt;&lt;w:rPr&gt;&lt;w:rFonts w:ascii=&quot;Cambria Math&quot; w:h-ansi=&quot;Cambria MabSuth&quot; w:fareast=&quot;瀹嬩綋&quot; w:hint=&quot;default&quot;/&gt;&lt;w:sz w:val=&quot;21&quot;/&gt;&lt;/w:rPr&gt;&lt;/m:ctrlPr&gt;&lt;/m:sSubPr&gt;&lt;m:e&gt;&lt;m:r&gt;&lt;m:rPr&gt;&lt;m:scr m:val=&quot;romMSuan&quot;/&gt;&lt;/m:rPr&gt;&lt;w:rPr&gt;&lt;w:rFonts w:ascii=&quot;Cambria Math&quot; w:h-ansi=&quot;Cambria Math&quot; w:fareast=&quot;瀹嬩綋&quot; w:hint=&quot;default&quot;/&gt;&lt;w:sz w:val=&quot;21&quot;/&gt; MabSu&lt;/w:rPr&gt;&lt;m:t&gt;s&lt;/m:t&gt;&lt;/m:r&gt;&lt;m:ctrlPr&gt;&lt;w:rPr&gt;&lt;w:rFonts w:ascii=&quot;Cambria Math&quot; w:h-ansi=&quot;Cambria Math&quot; w:fareast=&quot;瀹嬩綋romMSu&quot; w:hint=&quot;default&quot;/&gt;&lt;w:sz w:val=&quot;21&quot;/&gt;&lt;/w:rPr&gt;&lt;/m:ctrlPr&gt;&lt;/m:e&gt;&lt;m:sub&gt;&lt;m:r&gt;&lt;m:rPr&gt;&lt;m:scr m:val=&quot;roman&quot;/&gt;&lt;/m:rPr&gt;&lt;w:rPr&gt;&lt;w:rFonts w:ascii=&quot;bSuCambria Math&quot; w:h-ansi=&quot;Cambria Math&quot; w:fareast=&quot;瀹嬩綋&quot; w:hint=&quot;default&quot;/&gt;&lt;w:sz w:val=&quot;21&quot;/&gt;&lt;/w:rPr&gt;&lt;m:t&gt;P&lt;/m:t&gt;&lt;MSu/m:r&gt;&lt;m:ctrlPr&gt;&lt;w:rPr&gt;&lt;w:rFonts w:ascii=&quot;Cambria Math&quot; w:h-ansi=&quot;Cambria Math&quot; w:fareast=&quot;瀹嬩綋&quot; w:hint=&quot;default&quot;/&gt;&lt;w:sz w:val=&quot;21&quot;/&gt;&lt;/w:rPri=&quot;bSu&gt;&lt;/m:ctrlPr&gt;&lt;/m:sub&gt;&lt;/m:sSub&gt;&lt;m:r&gt;&lt;m:rPr&gt;&lt;m:scr m:val=&quot;roman&quot;/&gt;&lt;/m:rPr&gt;&lt;w:rPr&gt;&lt;w:rFonts w:ascii=&quot;Cambria MatMSuh&quot; w:h-ansi=&quot;Cambria Math&quot; w:fareast=&quot;瀹嬩綋&quot; w:hint=&quot;default&quot;/&gt;&lt;w:sz w:val=&quot;21&quot;/&gt;&lt;/w:rPr&gt;&lt;m:t&gt;))&lt;/m:t&gt;&lt;/m:r&gt;&lt;m:r&gt;&lt;m:rPr&gt;&lt;m:sty m:val=&quot;p&quot;/&gt;&lt;m:scr mbSu:val=&quot;roman&quot;/&gt;&lt;/m:rPr&gt;&lt;w:rPr&gt;&lt;w:rFonts w:ascii=&quot;Cambria Math&quot; w:h-ansi=&quot;Cambria Math&quot; w:fareast=&quot;瀹嬩綋&quot; MatMSuw:hint=&quot;default&quot;/&gt;&lt;w:sz w:val=&quot;21&quot;/&gt;&lt;/w:rPr&gt;&lt;m:t&gt;    &lt;/m:t&gt;&lt;/m:r&gt;&lt;/m:oMath&gt;&lt;/m:oMathPara&gt;&lt;/w:p&gt;&lt;/wx:sect&gt;&lt;/w:body&gt;&lt;/w:wordDocument m:">
            <v:path/>
            <v:fill on="f" focussize="0,0"/>
            <v:stroke on="f"/>
            <v:imagedata r:id="rId25" o:title=""/>
            <o:lock v:ext="edit" aspectratio="f"/>
            <w10:wrap type="none"/>
            <w10:anchorlock/>
          </v:shape>
        </w:pict>
      </w:r>
      <w:r>
        <w:rPr>
          <w:szCs w:val="22"/>
        </w:rPr>
        <w:t>(2)</w:t>
      </w:r>
    </w:p>
    <w:p w14:paraId="2CE3F88E">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例如，在一起民间借贷纠纷中，原告选择"竞争型"策略主张全额本息赔偿。在静态NE分析中，被告的最优响应可能同为"竞争型"——全面否认债务。但在SPNE分析中，被告观察到原告的强硬姿态和充分的借据证据后，通过反向归纳发现"妥协型"策略（承认本金、仅争议利息计算方式）的预期收益更高——因为全面否认在充分证据面前缺乏可信度，法官裁判支持原告的概率极高。这种"原告策略改变被告最优响应"的序贯效应，正是SPNE所捕捉而静态NE所遗漏的。</w:t>
      </w:r>
    </w:p>
    <w:p w14:paraId="40C31F93">
      <w:pPr>
        <w:wordWrap w:val="0"/>
        <w:spacing w:after="120" w:afterLines="50" w:line="360" w:lineRule="exact"/>
        <w:ind w:right="-57" w:firstLine="420" w:firstLineChars="200"/>
        <w:outlineLvl w:val="1"/>
        <w:rPr>
          <w:rFonts w:hint="eastAsia" w:ascii="宋体" w:hAnsi="宋体" w:cs="宋体"/>
          <w:bCs/>
          <w:szCs w:val="21"/>
        </w:rPr>
      </w:pPr>
      <w:r>
        <w:rPr>
          <w:rFonts w:hint="eastAsia" w:ascii="宋体" w:hAnsi="宋体" w:cs="宋体"/>
          <w:bCs/>
          <w:szCs w:val="21"/>
        </w:rPr>
        <w:t>与正规形式NE的关键区别在于：SPNE通过反向归纳排除了不可信威胁，给出更精确的序贯策略预测。博弈树结构如图4所示。</w:t>
      </w:r>
    </w:p>
    <w:p w14:paraId="189F28E4">
      <w:pPr>
        <w:wordWrap w:val="0"/>
        <w:spacing w:line="360" w:lineRule="auto"/>
        <w:ind w:right="-57"/>
        <w:outlineLvl w:val="1"/>
        <w:rPr>
          <w:rFonts w:hint="eastAsia" w:ascii="宋体" w:hAnsi="宋体" w:cs="宋体"/>
          <w:bCs/>
          <w:szCs w:val="21"/>
        </w:rPr>
      </w:pPr>
      <w:r>
        <w:rPr>
          <w:rFonts w:ascii="宋体" w:hAnsi="宋体" w:cs="宋体"/>
          <w:bCs/>
          <w:szCs w:val="21"/>
        </w:rPr>
        <w:pict>
          <v:shape id="_x0000_i1042" o:spt="75" alt="图3_扩展式博弈树与SPNE" type="#_x0000_t75" style="height:221pt;width:462.15pt;" filled="f" o:preferrelative="t" stroked="f" coordsize="21600,21600">
            <v:path/>
            <v:fill on="f" focussize="0,0"/>
            <v:stroke on="f" joinstyle="miter"/>
            <v:imagedata r:id="rId26" cropright="778f" cropbottom="4894f" o:title="图3_扩展式博弈树与SPNE"/>
            <o:lock v:ext="edit" aspectratio="t"/>
            <w10:wrap type="none"/>
            <w10:anchorlock/>
          </v:shape>
        </w:pict>
      </w:r>
    </w:p>
    <w:p w14:paraId="2CF0682E">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图4 CD→DD→CI扩展式博弈树与SPNE均衡路径（红色粗线）</w:t>
      </w:r>
    </w:p>
    <w:p w14:paraId="1DD96CC7">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原告在CD阶段选择起诉策略，被告在DD阶段观察后选择答辩策略，CI阶段作为收益实现机制。通过反向归纳法（公式(1)(2)），被告在每个子博弈中选择最优响应，原告预期被告响应后选择全局最优策略。</w:t>
      </w:r>
    </w:p>
    <w:p w14:paraId="392ECD62">
      <w:pPr>
        <w:wordWrap w:val="0"/>
        <w:spacing w:line="360" w:lineRule="exact"/>
        <w:ind w:right="-57"/>
        <w:outlineLvl w:val="1"/>
        <w:rPr>
          <w:rFonts w:hint="eastAsia" w:ascii="宋体" w:hAnsi="宋体" w:cs="宋体"/>
          <w:bCs/>
          <w:szCs w:val="21"/>
        </w:rPr>
      </w:pPr>
      <w:r>
        <w:rPr>
          <w:rFonts w:hint="eastAsia" w:ascii="宋体" w:hAnsi="宋体" w:cs="宋体"/>
          <w:bCs/>
          <w:szCs w:val="21"/>
        </w:rPr>
        <w:t>3.2 收益矩阵构建与双路校验</w:t>
      </w:r>
    </w:p>
    <w:p w14:paraId="538A0031">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作为博弈分析的数据基础，系统维护一张5×5经验收益矩阵，该矩阵同时服务于步骤二（构建博弈树终端收益和正规形式博弈求解）和步骤三（作为演化适应度矩阵）。</w:t>
      </w:r>
    </w:p>
    <w:p w14:paraId="70363E9A">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将民事诉讼建模为双人正规形式博弈，其中参与人</w:t>
      </w:r>
      <w:r>
        <w:rPr>
          <w:rFonts w:ascii="宋体" w:hAnsi="宋体"/>
        </w:rPr>
        <w:pict>
          <v:shape id="_x0000_i1043" o:spt="75" type="#_x0000_t75" style="height:12.15pt;width:47.3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N={P,D}&lt;/m:t&gt;&lt;/m:r&gt;&lt;/m:oMath&gt;&lt;/m:oMathPara&gt;&lt;/w:p&gt;&lt;/wx:sect&gt;&lt;/w:body&gt;&lt;/w:wordDocument&lt;m:r&gt;&lt;">
            <v:path/>
            <v:fill on="f" focussize="0,0"/>
            <v:stroke on="f" joinstyle="miter"/>
            <v:imagedata r:id="rId19" o:title=""/>
            <o:lock v:ext="edit" aspectratio="f"/>
            <w10:wrap type="none"/>
            <w10:anchorlock/>
          </v:shape>
        </w:pict>
      </w:r>
      <w:r>
        <w:rPr>
          <w:rFonts w:hint="eastAsia" w:ascii="宋体" w:hAnsi="宋体" w:cs="宋体"/>
          <w:bCs/>
          <w:szCs w:val="21"/>
        </w:rPr>
        <w:t>（原告、被告），策略集 </w:t>
      </w:r>
      <w:r>
        <w:rPr>
          <w:rFonts w:ascii="宋体" w:hAnsi="宋体" w:cs="宋体"/>
          <w:bCs/>
          <w:szCs w:val="21"/>
        </w:rPr>
        <w:pict>
          <v:shape id="_x0000_i1044" o:spt="75" type="#_x0000_t75" style="height:12.15pt;width:383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Cambria Math&quot; w:h-ansi=&quot;Cambria Math&quot; w:fareast=&quot;瀹嬩綋&quot; w:hint=&quot;default&quot;/&gt;&lt;w:sz w:val=&quot;21&quot;/&gt;&lt;/w:rPr&gt;&lt;/m:ctrlPr&gt;&lt;/m:sSubPr&gt;&lt;m:e&gt;&lt;m:r&gt;&lt;m:rPr&gt;&lt;m:scr m:val=&quot;roman&quot;/&gt;&lt;/m:rPr&gt;&lt;w:rPr&gt;&lt;w:rFonts w:ascii=&quot;Cambria Math&quot; b&gt;&lt;b&gt;&lt;w:h-ansi=&quot;Cambria Math&quot; w:fareast=&quot;瀹嬩綋&quot; w:hint=&quot;default&quot;/&gt;&lt;w:sz w:val=&quot;21&quot;/&gt;&lt;/w:rPr&gt;&lt;m:t&gt;S&lt;/m:t&gt;&lt;/m:r&gt;&lt;m:ctrlPr&gt;&lt;w:rPr&gt;&lt;w:rFonts w:ascii=&quot;Cambria Math&quot; w:h-ansi=&quot;Cambria Math&quot; w:fareast=&quot;瀹嬩綋&quot; w:hint=&quot;default&quot;/&gt;&lt;w:sz w:val=&quot;21&quot;/&gt;&lt;/w:rPr&gt;&lt;/m:ctrlPrh&quot; b&gt;&lt;&gt;&lt;/h&quot; b&gt;&lt;m:e&gt;&lt;m:sub&gt;&lt;m:r&gt;&lt;m:rPr&gt;&lt;m:scr m:val=&quot;roman&quot;/&gt;&lt;/m:rPr&gt;&lt;w:rPr&gt;&lt;w:rFonts w:ascii=&quot;Cambria Math&quot; w:h-ansi=&quot;Cambria Math&quot; w:fareast=&quot;瀹嬩綋&quot; w:hint=&quot;default&quot;/&gt;&lt;w:sz w:val=&quot;21&quot;/&gt;&lt;/w:rPr&gt;&lt;m:t&gt;P&lt;/m:t&gt;&lt;/m:r&gt;&lt;m:ctrlPr&gt;&lt;w:rPr&gt;&lt;w:rFonts w:ascii=&quot;Cambria Mathb&gt;&lt;&quot; w:h-ansb&gt;&lt;i=&quot;Cambria Math&quot; w:fareast=&quot;瀹嬩綋&quot; w:hint=&quot;default&quot;/&gt;&lt;w:sz w:val=&quot;21&quot;/&gt;&lt;/w:rPr&gt;&lt;/m:ctrlPr&gt;&lt;/m:sub&gt;&lt;/m:sSub&gt;&lt;m:r&gt;&lt;m:rPr&gt;&lt;m:scr m:val=&quot;roman&quot;/&gt;&lt;/m:rPr&gt;&lt;w:rPr&gt;&lt;w:rFonts w:ascii=&quot;Cambria Math&quot; w:h-ansi=&quot;Cambria Math&quot; w:fareast=&quot;瀹嬩綋&quot; w:hint=&quot;deathb&gt;&lt;fault&quot;/&gt;&lt;w:sansb&gt;&lt;z w:val=&quot;21&quot;/&gt;&lt;/w:rPr&gt;&lt;m:t&gt;=&lt;/m:t&gt;&lt;/m:r&gt;&lt;m:sSub&gt;&lt;m:sSubPr&gt;&lt;m:ctrlPr&gt;&lt;w:rPr&gt;&lt;w:rFonts w:ascii=&quot;Cambria Math&quot; w:h-ansi=&quot;Cambria Math&quot; w:fareast=&quot;瀹嬩綋&quot; w:hint=&quot;default&quot;/&gt;&lt;w:sz w:val=&quot;21&quot;/&gt;&lt;/w:rPr&gt;&lt;/m:ctrlPr&gt;&lt;/m:sSubPr&gt;&lt;m:e&gt;&lt;m:r&gt;&lt;m:rPr&gt;&lt;m:b&gt;&lt;scr m:val=&quot;roman&quot;/b&gt;&lt;&gt;&lt;/m:rPr&gt;&lt;w:rPr&gt;&lt;w:rFonts w:ascii=&quot;Cambria Math&quot; w:h-ansi=&quot;Cambria Math&quot; w:fareast=&quot;瀹嬩綋&quot; w:hint=&quot;default&quot;/&gt;&lt;w:sz w:val=&quot;21&quot;/&gt;&lt;/w:rPr&gt;&lt;m:t&gt;S&lt;/m:t&gt;&lt;/m:r&gt;&lt;m:ctrlPr&gt;&lt;w:rPr&gt;&lt;w:rFonts w:ascii=&quot;Cambria Math&quot; w:h-ansi=&quot;Cambria Math&quot; w:fareb&gt;&lt;ast=&quot;瀹嬩綋&quot; w:hint=&quot;n&quot;/b&gt;&lt;default&quot;/&gt;&lt;w:sz w:val=&quot;21&quot;/&gt;&lt;/w:rPr&gt;&lt;/m:ctrlPr&gt;&lt;/m:e&gt;&lt;m:sub&gt;&lt;m:r&gt;&lt;m:rPr&gt;&lt;m:scr m:val=&quot;roman&quot;/&gt;&lt;/m:rPr&gt;&lt;w:rPr&gt;&lt;w:rFonts w:ascii=&quot;Cambria Math&quot; w:h-ansi=&quot;Cambria Math&quot; w:fareast=&quot;瀹嬩綋&quot; w:hint=&quot;default&quot;/&gt;&lt;w:sz w:val=&quot;21&quot;/&gt;&lt;/w:rPrareb&gt;&lt;&gt;&lt;m:t&gt;D&lt;/m:t&gt;&lt;/m:r&gt;&lt;m:ctrlPb&gt;&lt;r&gt;&lt;w:rPr&gt;&lt;w:rFonts w:ascii=&quot;Cambria Math&quot; w:h-ansi=&quot;Cambria Math&quot; w:fareast=&quot;瀹嬩綋&quot; w:hint=&quot;default&quot;/&gt;&lt;w:sz w:val=&quot;21&quot;/&gt;&lt;/w:rPr&gt;&lt;/m:ctrlPr&gt;&lt;/m:sub&gt;&lt;/m:sSub&gt;&lt;m:r&gt;&lt;m:rPr&gt;&lt;m:scr m:val=&quot;roman&quot;/&gt;&lt;/m:rPr&gt;&lt;w:rPr&gt;&lt;w:rFonts w:ascii=&quot;b&gt;&lt;Cambria Math&quot; w:h-ansi=&quot;Cambrib&gt;&lt;a Math&quot; w:fareast=&quot;瀹嬩綋&quot; w:hint=&quot;default&quot;/&gt;&lt;w:sz w:val=&quot;21&quot;/&gt;&lt;/w:rPr&gt;&lt;m:t&gt;={Competing,&lt;/m:t&gt;&lt;/m:r&gt;&lt;m:r&gt;&lt;m:rPr&gt;&lt;m:sty m:val=&quot;p&quot;/&gt;&lt;m:scr m:val=&quot;roman&quot;/&gt;&lt;/m:rPr&gt;&lt;w:rPr&gt;&lt;w:rFonts w:ascii=&quot;Cambria Math&quot; w:h-ansi=&quot;Cambria Mathb&gt;&lt;&quot; w:fareast=&quot;瀹嬩綋&quot; w:hint=&quot;defabrib&gt;&lt;ult&quot;/&gt;&lt;w:sz w:val=&quot;21&quot;/&gt;&lt;/w:rPr&gt;&lt;m:t&gt; &lt;/m:t&gt;&lt;/m:r&gt;&lt;m:r&gt;&lt;m:rPr&gt;&lt;m:scr m:val=&quot;roman&quot;/&gt;&lt;/m:rPr&gt;&lt;w:rPr&gt;&lt;w:rFonts w:ascii=&quot;Cambria Math&quot; w:h-ansi=&quot;Cambria Math&quot; w:fareast=&quot;瀹嬩綋&quot; w:hint=&quot;default&quot;/&gt;&lt;w:sz w:val=&quot;21&quot;/&gt;&lt;/w:rathb&gt;&lt;Pr&gt;&lt;m:t&gt;Collaborating,&lt;/m:t&gt;&lt;/m:r&gt;&lt;m:r&gt;b&gt;&lt;&lt;m:rPr&gt;&lt;m:sty m:val=&quot;p&quot;/&gt;&lt;m:scr m:val=&quot;roman&quot;/&gt;&lt;/m:rPr&gt;&lt;w:rPr&gt;&lt;w:rFonts w:ascii=&quot;Cambria Math&quot; w:h-ansi=&quot;Cambria Math&quot; w:fareast=&quot;瀹嬩綋&quot; w:hint=&quot;default&quot;/&gt;&lt;w:sz w:val=&quot;21&quot;/&gt;&lt;/w:rPr&gt;&lt;m:t&gt; &lt;/m:t&gt;&lt;/m:r&gt;&lt;m:r&gt;&lt;m:rPr&gt;&lt;b&gt;&lt;m:scr m:val=&quot;roman&quot;/&gt;&lt;/m:rPr&gt;&lt;w:rPr&gt;&lt;w:rFob&gt;&lt;nts w:ascii=&quot;Cambria Math&quot; w:h-ansi=&quot;Cambria Math&quot; w:fareast=&quot;瀹嬩綋&quot; w:hint=&quot;default&quot;/&gt;&lt;w:sz w:val=&quot;21&quot;/&gt;&lt;/w:rPr&gt;&lt;m:t&gt;Compromising,&lt;/m:t&gt;&lt;/m:r&gt;&lt;m:r&gt;&lt;m:rPr&gt;&lt;m:sty m:val=&quot;p&quot;/&gt;&lt;m:scr m:val=&quot;roman&quot;/&gt;&lt;/m:rPr&gt;&lt;w:rPrb&gt;&lt;&gt;&lt;w:rFonts w:ascii=&quot;Cambria Math&quot; w:h-ansi=&quot;Cb&gt;&lt;ambria Math&quot; w:fareast=&quot;瀹嬩綋&quot; w:hint=&quot;default&quot;/&gt;&lt;w:sz w:val=&quot;21&quot;/&gt;&lt;/w:rPr&gt;&lt;m:t&gt; &lt;/m:t&gt;&lt;/m:r&gt;&lt;m:r&gt;&lt;m:rPr&gt;&lt;m:scr m:val=&quot;roman&quot;/&gt;&lt;/m:rPr&gt;&lt;w:rPr&gt;&lt;w:rFonts w:ascii=&quot;Cambria Math&quot; w:h-ansi=&quot;Cambria Math&quot; w:fareab&gt;&lt;st=&quot;瀹嬩綋&quot; w:hint=&quot;default&quot;/&gt;&lt;w:sz w:val=&quot;21&quot;/&gt;=&quot;Cb&gt;&lt;&lt;/w:rPr&gt;&lt;m:t&gt;Avoiding,&lt;/m:t&gt;&lt;/m:r&gt;&lt;m:r&gt;&lt;m:rPr&gt;&lt;m:sty m:val=&quot;p&quot;/&gt;&lt;m:scr m:val=&quot;roman&quot;/&gt;&lt;/m:rPr&gt;&lt;w:rPr&gt;&lt;w:rFonts w:ascii=&quot;Cambria Math&quot; w:h-ansi=&quot;Cambria Math&quot; w:fareast=&quot;瀹嬩綋&quot; w:hint=&quot;default&quot;/&gt;&lt;w:sz reab&gt;&lt;w:val=&quot;21&quot;/&gt;&lt;/w:rPr&gt;&lt;m:t&gt; &lt;/m:t&gt;&lt;/m:r&gt;&lt;m:r&gt;&lt;m:rPr&gt;&lt;m:sb&gt;&lt;cr m:val=&quot;roman&quot;/&gt;&lt;/m:rPr&gt;&lt;w:rPr&gt;&lt;w:rFonts w:ascii=&quot;Cambria Math&quot; w:h-ansi=&quot;Cambria Math&quot; w:fareast=&quot;瀹嬩綋&quot; w:hint=&quot;default&quot;/&gt;&lt;w:sz w:val=&quot;21&quot;/&gt;&lt;/w:rPr&gt;&lt;m:t&gt;Accommodating}&lt;/m:t&gt;&lt;/m:r&gt;&lt;/m:oMath&gt;&lt;/m:b&gt;&lt;oMathPara&gt;&lt;/w:p&gt;&lt;/wx:sect&gt;&lt;/w:body&gt;&lt;/w:wordDocumentr&gt;&lt;">
            <v:path/>
            <v:fill on="f" focussize="0,0"/>
            <v:stroke on="f" joinstyle="miter"/>
            <v:imagedata r:id="rId27" o:title=""/>
            <o:lock v:ext="edit" aspectratio="f"/>
            <w10:wrap type="none"/>
            <w10:anchorlock/>
          </v:shape>
        </w:pict>
      </w:r>
      <w:r>
        <w:rPr>
          <w:rFonts w:hint="eastAsia" w:ascii="宋体" w:hAnsi="宋体" w:cs="宋体"/>
          <w:bCs/>
          <w:szCs w:val="21"/>
        </w:rPr>
        <w:t>对应TKI五策略。</w:t>
      </w:r>
    </w:p>
    <w:p w14:paraId="6C0C7BE0">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收益函数定义为：</w:t>
      </w:r>
    </w:p>
    <w:p w14:paraId="35F929CD">
      <w:pPr>
        <w:spacing w:after="60" w:line="360" w:lineRule="exact"/>
        <w:ind w:firstLine="420"/>
        <w:rPr>
          <w:rFonts w:hint="eastAsia" w:ascii="宋体" w:hAnsi="宋体" w:cs="宋体"/>
          <w:bCs/>
          <w:szCs w:val="21"/>
        </w:rPr>
      </w:pPr>
      <w:r>
        <w:rPr>
          <w:rFonts w:ascii="宋体" w:hAnsi="宋体"/>
        </w:rPr>
        <w:pict>
          <v:shape id="_x0000_i1045" o:spt="75" type="#_x0000_t75" style="height:15.5pt;width:339.0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Cambria Math&quot; w:h-ansi=&quot;Cambria Math&quot; w:fareast=&quot;瀹嬩綋&quot; w:hint=&quot;default&quot;/&gt;&lt;w:sz w:val=&quot;21&quot;/&gt;&lt;/w:rPr&gt;&lt;/m:ctrlPr&gt;&lt;/m:sSubPr&gt;&lt;m:e&gt;&lt;m:r&gt;&lt;m:rPr&gt;&lt;m:scr m:val=&quot;roman&quot;/&gt;&lt;/m:rPr&gt;&lt;w:rPr&gt;&lt;w:rFonts w:ascii=&quot;Cambria Math&quot; b&gt;&lt;b&gt;&lt;w:h-ansi=&quot;Cambria Math&quot; w:fareast=&quot;瀹嬩綋&quot; w:hint=&quot;default&quot;/&gt;&lt;w:sz w:val=&quot;21&quot;/&gt;&lt;/w:rPr&gt;&lt;m:t&gt;u&lt;/m:t&gt;&lt;/m:r&gt;&lt;m:ctrlPr&gt;&lt;w:rPr&gt;&lt;w:rFonts w:ascii=&quot;Cambria Math&quot; w:h-ansi=&quot;Cambria Math&quot; w:fareast=&quot;瀹嬩綋&quot; w:hint=&quot;default&quot;/&gt;&lt;w:sz w:val=&quot;21&quot;/&gt;&lt;/w:rPr&gt;&lt;/m:ctrlPrh&quot; b&gt;&lt;&gt;&lt;/h&quot; b&gt;&lt;m:e&gt;&lt;m:sub&gt;&lt;m:r&gt;&lt;m:rPr&gt;&lt;m:scr m:val=&quot;roman&quot;/&gt;&lt;/m:rPr&gt;&lt;w:rPr&gt;&lt;w:rFonts w:ascii=&quot;Cambria Math&quot; w:h-ansi=&quot;Cambria Math&quot; w:fareast=&quot;瀹嬩綋&quot; w:hint=&quot;default&quot;/&gt;&lt;w:sz w:val=&quot;21&quot;/&gt;&lt;/w:rPr&gt;&lt;m:t&gt;P&lt;/m:t&gt;&lt;/m:r&gt;&lt;m:ctrlPr&gt;&lt;w:rPr&gt;&lt;w:rFonts w:ascii=&quot;Cambria Mathb&gt;&lt;&quot; w:h-ansb&gt;&lt;i=&quot;Cambria Math&quot; w:fareast=&quot;瀹嬩綋&quot; w:hint=&quot;default&quot;/&gt;&lt;w:sz w:val=&quot;21&quot;/&gt;&lt;/w:rPr&gt;&lt;/m:ctrlPr&gt;&lt;/m:sub&gt;&lt;/m:sSub&gt;&lt;m:r&gt;&lt;m:rPr&gt;&lt;m:scr m:val=&quot;roman&quot;/&gt;&lt;/m:rPr&gt;&lt;w:rPr&gt;&lt;w:rFonts w:ascii=&quot;Cambria Math&quot; w:h-ansi=&quot;Cambria Math&quot; w:fareast=&quot;瀹嬩綋&quot; w:hint=&quot;deathb&gt;&lt;fault&quot;/&gt;&lt;w:sansb&gt;&lt;z w:val=&quot;21&quot;/&gt;&lt;/w:rPr&gt;&lt;m:t&gt;(&lt;/m:t&gt;&lt;/m:r&gt;&lt;m:sSub&gt;&lt;m:sSubPr&gt;&lt;m:ctrlPr&gt;&lt;w:rPr&gt;&lt;w:rFonts w:ascii=&quot;Cambria Math&quot; w:h-ansi=&quot;Cambria Math&quot; w:fareast=&quot;瀹嬩綋&quot; w:hint=&quot;default&quot;/&gt;&lt;w:sz w:val=&quot;21&quot;/&gt;&lt;/w:rPr&gt;&lt;/m:ctrlPr&gt;&lt;/m:sSubPr&gt;&lt;m:e&gt;&lt;m:r&gt;&lt;m:rPr&gt;&lt;m:b&gt;&lt;scr m:val=&quot;roman&quot;/b&gt;&lt;&gt;&lt;/m:rPr&gt;&lt;w:rPr&gt;&lt;w:rFonts w:ascii=&quot;Cambria Math&quot; w:h-ansi=&quot;Cambria Math&quot; w:fareast=&quot;瀹嬩綋&quot; w:hint=&quot;default&quot;/&gt;&lt;w:sz w:val=&quot;21&quot;/&gt;&lt;/w:rPr&gt;&lt;m:t&gt;s&lt;/m:t&gt;&lt;/m:r&gt;&lt;m:ctrlPr&gt;&lt;w:rPr&gt;&lt;w:rFonts w:ascii=&quot;Cambria Math&quot; w:h-ansi=&quot;Cambria Math&quot; w:fareb&gt;&lt;ast=&quot;瀹嬩綋&quot; w:hint=&quot;n&quot;/b&gt;&lt;default&quot;/&gt;&lt;w:sz w:val=&quot;21&quot;/&gt;&lt;/w:rPr&gt;&lt;/m:ctrlPr&gt;&lt;/m:e&gt;&lt;m:sub&gt;&lt;m:r&gt;&lt;m:rPr&gt;&lt;m:scr m:val=&quot;roman&quot;/&gt;&lt;/m:rPr&gt;&lt;w:rPr&gt;&lt;w:rFonts w:ascii=&quot;Cambria Math&quot; w:h-ansi=&quot;Cambria Math&quot; w:fareast=&quot;瀹嬩綋&quot; w:hint=&quot;default&quot;/&gt;&lt;w:sz w:val=&quot;21&quot;/&gt;&lt;/w:rPrareb&gt;&lt;&gt;&lt;m:t&gt;P&lt;/m:t&gt;&lt;/m:r&gt;&lt;m:ctrlPb&gt;&lt;r&gt;&lt;w:rPr&gt;&lt;w:rFonts w:ascii=&quot;Cambria Math&quot; w:h-ansi=&quot;Cambria Math&quot; w:fareast=&quot;瀹嬩綋&quot; w:hint=&quot;default&quot;/&gt;&lt;w:sz w:val=&quot;21&quot;/&gt;&lt;/w:rPr&gt;&lt;/m:ctrlPr&gt;&lt;/m:sub&gt;&lt;/m:sSub&gt;&lt;m:r&gt;&lt;m:rPr&gt;&lt;m:scr m:val=&quot;roman&quot;/&gt;&lt;/m:rPr&gt;&lt;w:rPr&gt;&lt;w:rFonts w:ascii=&quot;b&gt;&lt;Cambria Math&quot; w:h-ansi=&quot;Cambrib&gt;&lt;a Math&quot; w:fareast=&quot;瀹嬩綋&quot; w:hint=&quot;default&quot;/&gt;&lt;w:sz w:val=&quot;21&quot;/&gt;&lt;/w:rPr&gt;&lt;m:t&gt;,&lt;/m:t&gt;&lt;/m:r&gt;&lt;m:sSub&gt;&lt;m:sSubPr&gt;&lt;m:ctrlPr&gt;&lt;w:rPr&gt;&lt;w:rFonts w:ascii=&quot;Cambria Math&quot; w:h-ansi=&quot;Cambria Math&quot; w:fareast=&quot;瀹嬩綋&quot; w:hint=&quot;default&quot;/&gt;&lt;w:si=&quot;b&gt;&lt;z w:val=&quot;21&quot;/&gt;&lt;/w:rPr&gt;&lt;/m:ctrlPr&gt;brib&gt;&lt;&lt;/m:sSubPr&gt;&lt;m:e&gt;&lt;m:r&gt;&lt;m:rPr&gt;&lt;m:scr m:val=&quot;roman&quot;/&gt;&lt;/m:rPr&gt;&lt;w:rPr&gt;&lt;w:rFonts w:ascii=&quot;Cambria Math&quot; w:h-ansi=&quot;Cambria Math&quot; w:fareast=&quot;瀹嬩綋&quot; w:hint=&quot;default&quot;/&gt;&lt;w:sz w:val=&quot;21&quot;/&gt;&lt;/w:rPr&gt;&lt;m:t&gt;s&lt;/m:t&gt;&lt;/m:r&gt;&lt;m:ctrlPr&gt;&lt;w:b&gt;&lt;rPr&gt;&lt;w:rFonts w:ascii=&quot;Cambria Math&quot; w:b&gt;&lt;h-ansi=&quot;Cambria Math&quot; w:fareast=&quot;瀹嬩綋&quot; w:hint=&quot;default&quot;/&gt;&lt;w:sz w:val=&quot;21&quot;/&gt;&lt;/w:rPr&gt;&lt;/m:ctrlPr&gt;&lt;/m:e&gt;&lt;m:sub&gt;&lt;m:r&gt;&lt;m:rPr&gt;&lt;m:scr m:val=&quot;roman&quot;/&gt;&lt;/m:rPr&gt;&lt;w:rPr&gt;&lt;w:rFonts w:ascii=&quot;Cambria Math&quot; w:h-ansi=&quot;Cambria Mathb&gt;&lt;&quot; w:fareast=&quot;瀹嬩綋&quot; w:hint=&quot;default&quot;/&gt;&lt;w: w:b&gt;&lt;sz w:val=&quot;21&quot;/&gt;&lt;/w:rPr&gt;&lt;m:t&gt;D&lt;/m:t&gt;&lt;/m:r&gt;&lt;m:ctrlPr&gt;&lt;w:rPr&gt;&lt;w:rFonts w:ascii=&quot;Cambria Math&quot; w:h-ansi=&quot;Cambria Math&quot; w:fareast=&quot;瀹嬩綋&quot; w:hint=&quot;default&quot;/&gt;&lt;w:sz w:val=&quot;21&quot;/&gt;&lt;/w:rPr&gt;&lt;/m:ctrlPr&gt;&lt;/m:sub&gt;&lt;/m:sSub&gt;&lt;athb&gt;&lt;m:r&gt;&lt;m:rPr&gt;&lt;m:scr m:val=&quot;roman&quot;/&gt;&lt;/m:rPr&gt;&lt;w:rPr&gt;b&gt;&lt;&lt;w:rFonts w:ascii=&quot;Cambria Math&quot; w:h-ansi=&quot;Cambria Math&quot; w:fareast=&quot;瀹嬩綋&quot; w:hint=&quot;default&quot;/&gt;&lt;w:sz w:val=&quot;21&quot;/&gt;&lt;/w:rPr&gt;&lt;m:t&gt;)=0.5鈰匴inRate+0.25鈰匒rgQuality+0.25鈰匛videnceStrength&lt;/m:t&gt;&lt;/m:r&gt;&lt;/m:oMath&gt;b&gt;&lt;athb&gt;&lt;&lt;/m:oMathPara&gt;&lt;/w:p&gt;&lt;/wx:sect&gt;&lt;/w:body&gt;&lt;/w:wordDocuw:rPr&gt;b&gt;&lt;ment">
            <v:path/>
            <v:fill on="f" focussize="0,0"/>
            <v:stroke on="f" joinstyle="miter"/>
            <v:imagedata r:id="rId28" o:title=""/>
            <o:lock v:ext="edit" aspectratio="f"/>
            <w10:wrap type="none"/>
            <w10:anchorlock/>
          </v:shape>
        </w:pict>
      </w:r>
      <w:r>
        <w:rPr>
          <w:rFonts w:hint="eastAsia" w:ascii="宋体" w:hAnsi="宋体" w:cs="宋体"/>
          <w:bCs/>
          <w:szCs w:val="21"/>
        </w:rPr>
        <w:t>(3)</w:t>
      </w:r>
    </w:p>
    <w:p w14:paraId="32C566D4">
      <w:pPr>
        <w:spacing w:after="60" w:line="360" w:lineRule="exact"/>
        <w:ind w:firstLine="420"/>
        <w:rPr>
          <w:rFonts w:hint="eastAsia" w:ascii="宋体" w:hAnsi="宋体" w:cs="宋体"/>
          <w:bCs/>
          <w:szCs w:val="21"/>
        </w:rPr>
      </w:pPr>
      <w:r>
        <w:rPr>
          <w:rFonts w:hint="eastAsia" w:ascii="宋体" w:hAnsi="宋体" w:cs="宋体"/>
          <w:bCs/>
          <w:szCs w:val="21"/>
        </w:rPr>
        <w:t>其中</w:t>
      </w:r>
      <w:r>
        <w:rPr>
          <w:rFonts w:ascii="宋体" w:hAnsi="宋体" w:cs="宋体"/>
          <w:bCs/>
          <w:szCs w:val="21"/>
        </w:rPr>
        <w:pict>
          <v:shape id="_x0000_i1046" o:spt="75" type="#_x0000_t75" style="height:12.15pt;width:41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WinRate&lt;/m:t&gt;&lt;/m:r&gt;&lt;/m:oMath&gt;&lt;/m:oMathPara&gt;&lt;/w:p&gt;&lt;/wx:sect&gt;&lt;/w:body&gt;&lt;/w:wordDocument&lt;m:r&gt;&lt;">
            <v:path/>
            <v:fill on="f" focussize="0,0"/>
            <v:stroke on="f" joinstyle="miter"/>
            <v:imagedata r:id="rId29" o:title=""/>
            <o:lock v:ext="edit" aspectratio="f"/>
            <w10:wrap type="none"/>
            <w10:anchorlock/>
          </v:shape>
        </w:pict>
      </w:r>
      <w:r>
        <w:rPr>
          <w:rFonts w:hint="eastAsia" w:ascii="宋体" w:hAnsi="宋体" w:cs="宋体"/>
          <w:bCs/>
          <w:szCs w:val="21"/>
        </w:rPr>
        <w:t>为原告胜率，</w:t>
      </w:r>
      <w:r>
        <w:rPr>
          <w:rFonts w:hAnsi="Cambria Math"/>
        </w:rPr>
        <w:pict>
          <v:shape id="_x0000_i1047" o:spt="75" type="#_x0000_t75" style="height:18.4pt;width:53.6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ArgQuality&lt;/m:t&gt;&lt;/m:r&gt;&lt;/m:oMath&gt;&lt;/m:oMathPara&gt;&lt;/w:p&gt;&lt;/wx:sect&gt;&lt;/w:body&gt;&lt;/w:wordDocumentr&gt;&lt;m:r">
            <v:path/>
            <v:fill on="f" focussize="0,0"/>
            <v:stroke on="f" joinstyle="miter"/>
            <v:imagedata r:id="rId30" o:title=""/>
            <o:lock v:ext="edit" aspectratio="f"/>
            <w10:wrap type="none"/>
            <w10:anchorlock/>
          </v:shape>
        </w:pict>
      </w:r>
      <w:r>
        <w:rPr>
          <w:rFonts w:hint="eastAsia" w:ascii="宋体" w:hAnsi="宋体" w:cs="宋体"/>
          <w:bCs/>
          <w:szCs w:val="21"/>
        </w:rPr>
        <w:t>为原告论证质量，</w:t>
      </w:r>
      <w:r>
        <w:rPr>
          <w:rFonts w:hAnsi="Cambria Math"/>
        </w:rPr>
        <w:pict>
          <v:shape id="_x0000_i1048" o:spt="75" type="#_x0000_t75" style="height:15.5pt;width:85.4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EvidenceStrength&lt;/m:t&gt;&lt;/m:r&gt;&lt;/m:oMath&gt;&lt;/m:oMathPara&gt;&lt;/w:p&gt;&lt;/wx:sect&gt;&lt;/w:body&gt;&lt;/w:wordDocumm:rm:rent">
            <v:path/>
            <v:fill on="f" focussize="0,0"/>
            <v:stroke on="f" joinstyle="miter"/>
            <v:imagedata r:id="rId31" o:title=""/>
            <o:lock v:ext="edit" aspectratio="f"/>
            <w10:wrap type="none"/>
            <w10:anchorlock/>
          </v:shape>
        </w:pict>
      </w:r>
      <w:r>
        <w:rPr>
          <w:rFonts w:hint="eastAsia" w:ascii="宋体" w:hAnsi="宋体" w:cs="宋体"/>
          <w:bCs/>
          <w:szCs w:val="21"/>
        </w:rPr>
        <w:t>为原告证据强度。为避免"LLM评分循环自证"的方法论缺陷，本系统采用LLM评分与规则指标双路校验机制：</w:t>
      </w:r>
    </w:p>
    <w:p w14:paraId="5A06A62F">
      <w:pPr>
        <w:numPr>
          <w:ilvl w:val="0"/>
          <w:numId w:val="6"/>
        </w:numPr>
        <w:spacing w:after="60" w:line="360" w:lineRule="exact"/>
        <w:ind w:firstLine="420"/>
        <w:rPr>
          <w:rFonts w:hint="eastAsia" w:ascii="宋体" w:hAnsi="宋体" w:cs="宋体"/>
          <w:bCs/>
          <w:szCs w:val="21"/>
        </w:rPr>
      </w:pPr>
      <w:r>
        <w:rPr>
          <w:rFonts w:hint="eastAsia" w:ascii="宋体" w:hAnsi="宋体" w:cs="宋体"/>
          <w:bCs/>
          <w:szCs w:val="21"/>
        </w:rPr>
        <w:t>原告胜率以ground truth诉请支持率为基准——即基于原始裁判文书中法院对各项诉讼请求的实际支持/驳回记录计算，定义为</w:t>
      </w:r>
      <w:r>
        <w:rPr>
          <w:rFonts w:ascii="宋体" w:hAnsi="宋体"/>
        </w:rPr>
        <w:pict>
          <v:shape id="_x0000_i1049" o:spt="75" type="#_x0000_t75" style="height:15.5pt;width:49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Cambria Math&quot; w:h-ansi=&quot;Cambria Math&quot; w:fareast=&quot;瀹嬩綋&quot; w:hint=&quot;default&quot;/&gt;&lt;w:sz w:val=&quot;21&quot;/&gt;&lt;/w:rPr&gt;&lt;/m:ctrlPr&gt;&lt;/m:sSubPr&gt;&lt;m:e&gt;&lt;m:r&gt;&lt;m:rPr&gt;&lt;m:scr m:val=&quot;roman&quot;/&gt;&lt;/m:rPr&gt;&lt;w:rPr&gt;&lt;w:rFonts w:ascii=&quot;Cambria Math&quot; b&gt;&lt;b&gt;&lt;w:h-ansi=&quot;Cambria Math&quot; w:fareast=&quot;瀹嬩綋&quot; w:hint=&quot;default&quot;/&gt;&lt;w:sz w:val=&quot;21&quot;/&gt;&lt;/w:rPr&gt;&lt;m:t&gt;WinRate&lt;/m:t&gt;&lt;/m:r&gt;&lt;m:ctrlPr&gt;&lt;w:rPr&gt;&lt;w:rFonts w:ascii=&quot;Cambria Math&quot; w:h-ansi=&quot;Cambria Math&quot; w:fareast=&quot;瀹嬩綋&quot; w:hint=&quot;default&quot;/&gt;&lt;w:sz w:val=&quot;21&quot;/&gt;&lt;/w:rPr&gt;&lt;/m:h&quot; b&gt;&lt;ctrh&quot; b&gt;&lt;lPr&gt;&lt;/m:e&gt;&lt;m:sub&gt;&lt;m:r&gt;&lt;m:rPr&gt;&lt;m:scr m:val=&quot;roman&quot;/&gt;&lt;/m:rPr&gt;&lt;w:rPr&gt;&lt;w:rFonts w:ascii=&quot;Cambria Math&quot; w:h-ansi=&quot;Cambria Math&quot; w:fareast=&quot;瀹嬩綋&quot; w:hint=&quot;default&quot;/&gt;&lt;w:sz w:val=&quot;21&quot;/&gt;&lt;/w:rPr&gt;&lt;m:t&gt;gt&lt;/m:t&gt;&lt;/m:r&gt;&lt;m:ctrlPr&gt;&lt;w:rPr&gt;&lt;w:rFonts w:ascii=&quot;Cambrb&gt;&lt;ia Math&quot; b&gt;&lt;w:h-ansi=&quot;Cambria Math&quot; w:fareast=&quot;瀹嬩綋&quot; w:hint=&quot;default&quot;/&gt;&lt;w:sz w:val=&quot;21&quot;/&gt;&lt;/w:rPr&gt;&lt;/m:ctrlPr&gt;&lt;/m:sub&gt;&lt;/m:sSub&gt;&lt;/m:oMath&gt;&lt;/m:oMathPara&gt;&lt;/w:p&gt;&lt;/wx:sect&gt;&lt;/w:body&gt;&lt;/w:wordDocumentw:r&lt;m:">
            <v:path/>
            <v:fill on="f" focussize="0,0"/>
            <v:stroke on="f" joinstyle="miter"/>
            <v:imagedata r:id="rId32" o:title=""/>
            <o:lock v:ext="edit" aspectratio="f"/>
            <w10:wrap type="none"/>
            <w10:anchorlock/>
          </v:shape>
        </w:pict>
      </w:r>
      <w:r>
        <w:rPr>
          <w:rFonts w:hint="eastAsia" w:ascii="宋体" w:hAnsi="宋体" w:cs="宋体"/>
          <w:bCs/>
          <w:szCs w:val="21"/>
        </w:rPr>
        <w:t>，LLM评分</w:t>
      </w:r>
      <w:r>
        <w:rPr>
          <w:rFonts w:ascii="宋体" w:hAnsi="宋体"/>
        </w:rPr>
        <w:pict>
          <v:shape id="_x0000_i1050" o:spt="75" type="#_x0000_t75" style="height:15.5pt;width:52.7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Cambria Math&quot; w:h-ansi=&quot;Cambria Math&quot; w:fareast=&quot;瀹嬩綋&quot; w:hint=&quot;default&quot;/&gt;&lt;w:sz w:val=&quot;21&quot;/&gt;&lt;/w:rPr&gt;&lt;/m:ctrlPr&gt;&lt;/m:sSubPr&gt;&lt;m:e&gt;&lt;m:r&gt;&lt;m:rPr&gt;&lt;m:scr m:val=&quot;roman&quot;/&gt;&lt;/m:rPr&gt;&lt;w:rPr&gt;&lt;w:rFonts w:ascii=&quot;Cambria Math&quot; b&gt;&lt;b&gt;&lt;w:h-ansi=&quot;Cambria Math&quot; w:fareast=&quot;瀹嬩綋&quot; w:hint=&quot;default&quot;/&gt;&lt;w:sz w:val=&quot;21&quot;/&gt;&lt;/w:rPr&gt;&lt;m:t&gt;WinRate&lt;/m:t&gt;&lt;/m:r&gt;&lt;m:ctrlPr&gt;&lt;w:rPr&gt;&lt;w:rFonts w:ascii=&quot;Cambria Math&quot; w:h-ansi=&quot;Cambria Math&quot; w:fareast=&quot;瀹嬩綋&quot; w:hint=&quot;default&quot;/&gt;&lt;w:sz w:val=&quot;21&quot;/&gt;&lt;/w:rPr&gt;&lt;/m:h&quot; b&gt;&lt;ctrh&quot; b&gt;&lt;lPr&gt;&lt;/m:e&gt;&lt;m:sub&gt;&lt;m:r&gt;&lt;m:rPr&gt;&lt;m:scr m:val=&quot;roman&quot;/&gt;&lt;/m:rPr&gt;&lt;w:rPr&gt;&lt;w:rFonts w:ascii=&quot;Cambria Math&quot; w:h-ansi=&quot;Cambria Math&quot; w:fareast=&quot;瀹嬩綋&quot; w:hint=&quot;default&quot;/&gt;&lt;w:sz w:val=&quot;21&quot;/&gt;&lt;/w:rPr&gt;&lt;m:t&gt;llm&lt;/m:t&gt;&lt;/m:r&gt;&lt;m:ctrlPr&gt;&lt;w:rPr&gt;&lt;w:rFonts w:ascii=&quot;Cambb&gt;&lt;ria Math&quot;b&gt;&lt; w:h-ansi=&quot;Cambria Math&quot; w:fareast=&quot;瀹嬩綋&quot; w:hint=&quot;default&quot;/&gt;&lt;w:sz w:val=&quot;21&quot;/&gt;&lt;/w:rPr&gt;&lt;/m:ctrlPr&gt;&lt;/m:sub&gt;&lt;/m:sSub&gt;&lt;/m:oMath&gt;&lt;/m:oMathPara&gt;&lt;/w:p&gt;&lt;/wx:sect&gt;&lt;/w:body&gt;&lt;/w:wordDocument:rPm:t">
            <v:path/>
            <v:fill on="f" focussize="0,0"/>
            <v:stroke on="f" joinstyle="miter"/>
            <v:imagedata r:id="rId33" o:title=""/>
            <o:lock v:ext="edit" aspectratio="f"/>
            <w10:wrap type="none"/>
            <w10:anchorlock/>
          </v:shape>
        </w:pict>
      </w:r>
      <w:r>
        <w:rPr>
          <w:rFonts w:hint="eastAsia" w:ascii="宋体" w:hAnsi="宋体" w:cs="宋体"/>
          <w:bCs/>
          <w:szCs w:val="21"/>
        </w:rPr>
        <w:t>仅作为辅助参考，最终取加权融合</w:t>
      </w:r>
      <w:r>
        <w:rPr>
          <w:rFonts w:ascii="宋体" w:hAnsi="宋体"/>
        </w:rPr>
        <w:pict>
          <v:shape id="_x0000_i1051" o:spt="75" type="#_x0000_t75" style="height:15.5pt;width:224.3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WinRate=伪鈰?/m:t&gt;&lt;/m:r&gt;&lt;m:sSub&gt;&lt;m:sSubPr&gt;&lt;m:ctrlPr&gt;&lt;w:rPr&gt;&lt;w:rFonts w:ascii=&quot;Cambria Matr&gt;&lt;m:r&gt;&lt;m:rh&quot; w:h-ansi=&quot;Cambria Math&quot; w:fareast=&quot;瀹嬩綋&quot; w:hint=&quot;default&quot;/&gt;&lt;w:sz w:val=&quot;21&quot;/&gt;&lt;/w:rPr&gt;&lt;/m:ctrlPr&gt;&lt;/m:sSubPr&gt;&lt;m:e&gt;&lt;m:r&gt;&lt;m:rPr&gt;&lt;m:scr m:val=&quot;roman&quot;/&gt;&lt;/m:rPr&gt;&lt;w:rPr&gt;&lt;w:rFonts w:ascii=&quot;Cambria Math&quot; w:h-ansi=&quot;Cambria Math&quot; w:fareast=&quot;瀹嬩綋&quot; w:hint=&quot;r&gt;&lt;m:rdefaur&gt;&lt;m:rlt&quot;/&gt;&lt;w:sz w:val=&quot;21&quot;/&gt;&lt;/w:rPr&gt;&lt;m:t&gt;WinRate&lt;/m:t&gt;&lt;/m:r&gt;&lt;m:ctrlPr&gt;&lt;w:rPr&gt;&lt;w:rFonts w:ascii=&quot;Cambria Math&quot; w:h-ansi=&quot;Cambria Math&quot; w:fareast=&quot;瀹嬩綋&quot; w:hint=&quot;default&quot;/&gt;&lt;w:sz w:val=&quot;21&quot;/&gt;&lt;/w:rPr&gt;&lt;/m:ctrlPr&gt;&lt;/m:e&gt;&lt;m:sub&gt;&lt;m:r&gt;&lt;m:rPr&gt;&lt;m:scr m:val=&quot;rom:rman&quot;/&gt;&lt;/m:rm:rPr&gt;&lt;w:rPr&gt;&lt;w:rFonts w:ascii=&quot;Cambria Math&quot; w:h-ansi=&quot;Cambria Math&quot; w:fareast=&quot;瀹嬩綋&quot; w:hint=&quot;default&quot;/&gt;&lt;w:sz w:val=&quot;21&quot;/&gt;&lt;/w:rPr&gt;&lt;m:t&gt;gt&lt;/m:t&gt;&lt;/m:r&gt;&lt;m:ctrlPr&gt;&lt;w:rPr&gt;&lt;w:rFonts w:ascii=&quot;Cambria Math&quot; w:h-ansi=&quot;Cambria Math&quot; w:fareast=&quot;瀹嬩綋&quot;&quot;rom:r w:hint=&quot;defaum:rm:rlt&quot;/&gt;&lt;w:sz w:val=&quot;21&quot;/&gt;&lt;/w:rPr&gt;&lt;/m:ctrlPr&gt;&lt;/m:sub&gt;&lt;/m:sSub&gt;&lt;m:r&gt;&lt;m:rPr&gt;&lt;m:scr m:val=&quot;roman&quot;/&gt;&lt;/m:rPr&gt;&lt;w:rPr&gt;&lt;w:rFonts w:ascii=&quot;Cambria Math&quot; w:h-ansi=&quot;Cambria Math&quot; w:fareast=&quot;瀹嬩綋&quot; w:hint=&quot;default&quot;/&gt;&lt;w:sz w:val=&quot;21&quot;/&gt;&lt;/w:rPr&gt;&lt;m:t&gt;+(m:r1鈭捨?鈰?/m:t&gt;&lt;/m:aum:rm:rr&gt;&lt;m:sSub&gt;&lt;m:sSubPr&gt;&lt;m:ctrlPr&gt;&lt;w:rPr&gt;&lt;w:rFonts w:ascii=&quot;Cambria Math&quot; w:h-ansi=&quot;Cambria Math&quot; w:fareast=&quot;瀹嬩綋&quot; w:hint=&quot;default&quot;/&gt;&lt;w:sz w:val=&quot;21&quot;/&gt;&lt;/w:rPr&gt;&lt;/m:ctrlPr&gt;&lt;/m:sSubPr&gt;&lt;m:e&gt;&lt;m:r&gt;&lt;m:rPr&gt;&lt;m:scr m:val=&quot;roman&quot;/&gt;&lt;/m:rPr&gt;&lt;w:&gt;+(m:rrPr&gt;&lt;w:rFonts w:ascii=&quot;Camm:rbria Math&quot; w:h-ansi=&quot;Cambria Math&quot; w:fareast=&quot;瀹嬩綋&quot; w:hint=&quot;default&quot;/&gt;&lt;w:sz w:val=&quot;21&quot;/&gt;&lt;/w:rPr&gt;&lt;m:t&gt;WinRate&lt;/m:t&gt;&lt;/m:r&gt;&lt;m:ctrlPr&gt;&lt;w:rPr&gt;&lt;w:rFonts w:ascii=&quot;Cambria Math&quot; w:h-ansi=&quot;Cambria Math&quot; w:fareast=&quot;瀹嬩綋&quot; w:hint=&quot;def&gt;+(m:rault&quot;/&gt;&lt;w:sz w:val=&quot;21&quot;/&gt;&lt;/w:Camm:rrPr&gt;&lt;/m:ctrlPr&gt;&lt;/m:e&gt;&lt;m:sub&gt;&lt;m:r&gt;&lt;m:rPr&gt;&lt;m:scr m:val=&quot;roman&quot;/&gt;&lt;/m:rPr&gt;&lt;w:rPr&gt;&lt;w:rFonts w:ascii=&quot;Cambria Math&quot; w:h-ansi=&quot;Cambria Math&quot; w:fareast=&quot;瀹嬩綋&quot; w:hint=&quot;default&quot;/&gt;&lt;w:sz w:val=&quot;21&quot;/&gt;&lt;/w:rPr&gt;&lt;m:t&gt;llm&lt;/m:t&gt;&lt;/m:r&gt;&lt;m:m:rctrlPr&gt;&lt;w:rPr&gt;&lt;w:rFonts w:ascii=&quot;Cam:rmbria Math&quot; w:h-ansi=&quot;Cambria Math&quot; w:fareast=&quot;瀹嬩綋&quot; w:hint=&quot;default&quot;/&gt;&lt;w:sz w:val=&quot;21&quot;/&gt;&lt;/w:rPr&gt;&lt;/m:ctrlPr&gt;&lt;/m:sub&gt;&lt;/m:sSub&gt;&lt;/m:oMath&gt;&lt;/m:oMathPara&gt;&lt;/w:p&gt;&lt;/wx:sect&gt;&lt;/w:body&gt;&lt;/w:wordDocument:rPm:t">
            <v:path/>
            <v:fill on="f" focussize="0,0"/>
            <v:stroke on="f" joinstyle="miter"/>
            <v:imagedata r:id="rId34" o:title=""/>
            <o:lock v:ext="edit" aspectratio="f"/>
            <w10:wrap type="none"/>
            <w10:anchorlock/>
          </v:shape>
        </w:pict>
      </w:r>
      <w:r>
        <w:rPr>
          <w:rFonts w:hint="eastAsia" w:ascii="宋体" w:hAnsi="宋体" w:cs="宋体"/>
          <w:bCs/>
          <w:szCs w:val="21"/>
        </w:rPr>
        <w:t>；</w:t>
      </w:r>
    </w:p>
    <w:p w14:paraId="4C224ABD">
      <w:pPr>
        <w:numPr>
          <w:ilvl w:val="0"/>
          <w:numId w:val="6"/>
        </w:numPr>
        <w:spacing w:after="60" w:line="360" w:lineRule="exact"/>
        <w:ind w:firstLine="420"/>
        <w:rPr>
          <w:rFonts w:hint="eastAsia" w:ascii="宋体" w:hAnsi="宋体" w:cs="宋体"/>
          <w:bCs/>
          <w:szCs w:val="21"/>
        </w:rPr>
      </w:pPr>
      <w:r>
        <w:rPr>
          <w:rFonts w:hint="eastAsia" w:ascii="宋体" w:hAnsi="宋体" w:cs="宋体"/>
          <w:bCs/>
          <w:szCs w:val="21"/>
        </w:rPr>
        <w:t>论证质量（</w:t>
      </w:r>
      <w:r>
        <w:rPr>
          <w:rFonts w:hAnsi="Cambria Math"/>
        </w:rPr>
        <w:pict>
          <v:shape id="_x0000_i1052" o:spt="75" type="#_x0000_t75" style="height:18.4pt;width:53.6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ArgQuality&lt;/m:t&gt;&lt;/m:r&gt;&lt;/m:oMath&gt;&lt;/m:oMathPara&gt;&lt;/w:p&gt;&lt;/wx:sect&gt;&lt;/w:body&gt;&lt;/w:wordDocumentr&gt;&lt;m:r">
            <v:path/>
            <v:fill on="f" focussize="0,0"/>
            <v:stroke on="f" joinstyle="miter"/>
            <v:imagedata r:id="rId30" o:title=""/>
            <o:lock v:ext="edit" aspectratio="f"/>
            <w10:wrap type="none"/>
            <w10:anchorlock/>
          </v:shape>
        </w:pict>
      </w:r>
      <w:r>
        <w:rPr>
          <w:rFonts w:hint="eastAsia" w:ascii="宋体" w:hAnsi="宋体" w:cs="宋体"/>
          <w:bCs/>
          <w:szCs w:val="21"/>
        </w:rPr>
        <w:t>）通过规则指标校验，包括法条引用准确率（引用法条是否存在于法条数据库）、推理链完整性（是否覆盖构成要件的所有要素）；</w:t>
      </w:r>
    </w:p>
    <w:p w14:paraId="5A9A238D">
      <w:pPr>
        <w:numPr>
          <w:ilvl w:val="0"/>
          <w:numId w:val="6"/>
        </w:numPr>
        <w:spacing w:after="60" w:line="360" w:lineRule="exact"/>
        <w:ind w:firstLine="420"/>
        <w:rPr>
          <w:rFonts w:hint="eastAsia" w:ascii="宋体" w:hAnsi="宋体" w:cs="宋体"/>
          <w:bCs/>
          <w:szCs w:val="21"/>
        </w:rPr>
      </w:pPr>
      <w:r>
        <w:rPr>
          <w:rFonts w:hint="eastAsia" w:ascii="宋体" w:hAnsi="宋体" w:cs="宋体"/>
          <w:bCs/>
          <w:szCs w:val="21"/>
        </w:rPr>
        <w:t>证据强度（</w:t>
      </w:r>
      <w:r>
        <w:rPr>
          <w:rFonts w:hAnsi="Cambria Math"/>
        </w:rPr>
        <w:pict>
          <v:shape id="_x0000_i1053" o:spt="75" type="#_x0000_t75" style="height:15.5pt;width:85.4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EvidenceStrength&lt;/m:t&gt;&lt;/m:r&gt;&lt;/m:oMath&gt;&lt;/m:oMathPara&gt;&lt;/w:p&gt;&lt;/wx:sect&gt;&lt;/w:body&gt;&lt;/w:wordDocumm:rm:rent">
            <v:path/>
            <v:fill on="f" focussize="0,0"/>
            <v:stroke on="f" joinstyle="miter"/>
            <v:imagedata r:id="rId31" o:title=""/>
            <o:lock v:ext="edit" aspectratio="f"/>
            <w10:wrap type="none"/>
            <w10:anchorlock/>
          </v:shape>
        </w:pict>
      </w:r>
      <w:r>
        <w:rPr>
          <w:rFonts w:hint="eastAsia" w:ascii="宋体" w:hAnsi="宋体" w:cs="宋体"/>
          <w:bCs/>
          <w:szCs w:val="21"/>
        </w:rPr>
        <w:t>）以证据清单中各项证据与事实陈述的文本覆盖率（BM25得分）作为规则基准。当LLM评分与规则指标偏差超过阈值时触发人工复核。权重(0.5, 0.25, 0.25)参考诉讼实务中"胜负结果"对当事人效用的主导地位设定，后续将通过灵敏度分析验证权重选择的鲁棒性。先验收益基于Agent Mediation经验数据中的成功率、满意度、共识度和非诉转化率加权构建。</w:t>
      </w:r>
    </w:p>
    <w:p w14:paraId="6652D1D4">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纯策略纳什均衡</w:t>
      </w:r>
      <w:r>
        <w:rPr>
          <w:rFonts w:ascii="宋体" w:hAnsi="宋体" w:cs="宋体"/>
          <w:bCs/>
          <w:szCs w:val="21"/>
        </w:rPr>
        <w:pict>
          <v:shape id="_x0000_i1054" o:spt="75" type="#_x0000_t75" style="height:12.55pt;width:33.0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瀹嬩綋&quot; w:hint=&quot;default&quot;/&gt;&lt;w:sz w:val=&quot;21&quot;/&gt;&lt;/w:rPr&gt;&lt;m:t&gt;(&lt;/m:t&gt;&lt;/m:r&gt;&lt;m:sSubSup&gt;&lt;m:sSubSupPr&gt;&lt;m:ctrlPr&gt;&lt;w:rPr&gt;&lt;w:rFonts w:ascii=&quot;Cambria Math&quot; w:hm:rm:r-ansi=&quot;Cambria Math&quot; w:fareast=&quot;瀹嬩綋&quot; w:hint=&quot;default&quot;/&gt;&lt;w:sz w:val=&quot;21&quot;/&gt;&lt;/w:rPr&gt;&lt;/m:ctrlPr&gt;&lt;/m:sSubSupPr&gt;&lt;m:e&gt;&lt;m:r&gt;&lt;m:rPr&gt;&lt;m:scr m:val=&quot;roman&quot;/&gt;&lt;/m:rPr&gt;&lt;w:rPr&gt;&lt;w:rFonts w:ascii=&quot;Cambria Math&quot; w:h-ansi=&quot;Cambria Math&quot; w:fareast=&quot;瀹嬩綋&quot; w:hint=&quot;defauw:hm:rlt&quot;w:hm:r/&gt;&lt;w:sz w:val=&quot;21&quot;/&gt;&lt;/w:rPr&gt;&lt;m:t&gt;s&lt;/m:t&gt;&lt;/m:r&gt;&lt;m:ctrlPr&gt;&lt;w:rPr&gt;&lt;w:rFonts w:ascii=&quot;Cambria Math&quot; w:h-ansi=&quot;Cambria Math&quot; w:fareast=&quot;瀹嬩綋&quot; w:hint=&quot;default&quot;/&gt;&lt;w:sz w:val=&quot;21&quot;/&gt;&lt;/w:rPr&gt;&lt;/m:ctrlPr&gt;&lt;/m:e&gt;&lt;m:sub&gt;&lt;m:r&gt;&lt;m:rPr&gt;&lt;m:scr m:val=&quot;roman&quot;/&gt;&lt;/m:rm:rPr&gt;&lt;w:rPrm:r&gt;&lt;w:rFonts w:ascii=&quot;Cambria Math&quot; w:h-ansi=&quot;Cambria Math&quot; w:fareast=&quot;瀹嬩綋&quot; w:hint=&quot;default&quot;/&gt;&lt;w:sz w:val=&quot;21&quot;/&gt;&lt;/w:rPr&gt;&lt;m:t&gt;P&lt;/m:t&gt;&lt;/m:r&gt;&lt;m:ctrlPr&gt;&lt;w:rPr&gt;&lt;w:rFonts w:ascii=&quot;Cambria Math&quot; w:h-ansi=&quot;Cambria Math&quot; w:fareast=&quot;瀹嬩綋&quot; w:hint=&quot;defm:rm:rault&quot;/&gt;&lt;w:szrPrm:r w:val=&quot;21&quot;/&gt;&lt;/w:rPr&gt;&lt;/m:ctrlPr&gt;&lt;/m:sub&gt;&lt;m:sup&gt;&lt;m:r&gt;&lt;m:rPr&gt;&lt;m:scr m:val=&quot;roman&quot;/&gt;&lt;/m:rPr&gt;&lt;w:rPr&gt;&lt;w:rFonts w:ascii=&quot;Cambria Math&quot; w:h-ansi=&quot;Cambria Math&quot; w:fareast=&quot;瀹嬩綋&quot; w:hint=&quot;default&quot;/&gt;&lt;w:sz w:val=&quot;21&quot;/&gt;&lt;/w:rPr&gt;&lt;m:t&gt;鈭?/m:t&gt;&lt;/m:r&gt;&lt;mrm:r:ctrlPr&gt;&lt;w:rPr&gt;&lt;wPrm:r:rFonts w:ascii=&quot;Cambria Math&quot; w:h-ansi=&quot;Cambria Math&quot; w:fareast=&quot;瀹嬩綋&quot; w:hint=&quot;default&quot;/&gt;&lt;w:sz w:val=&quot;21&quot;/&gt;&lt;/w:rPr&gt;&lt;/m:ctrlPr&gt;&lt;/m:sup&gt;&lt;/m:sSubSup&gt;&lt;m:r&gt;&lt;m:rPr&gt;&lt;m:scr m:val=&quot;roman&quot;/&gt;&lt;/m:rPr&gt;&lt;w:rPr&gt;&lt;w:rFonts w:ascii=&quot;Cambria Math&quot; w:m:rh-ansi=&quot;Cambria Math&quot; m:rw:fareast=&quot;瀹嬩綋&quot; w:hint=&quot;default&quot;/&gt;&lt;w:sz w:val=&quot;21&quot;/&gt;&lt;/w:rPr&gt;&lt;m:t&gt;,&lt;/m:t&gt;&lt;/m:r&gt;&lt;m:sSubSup&gt;&lt;m:sSubSupPr&gt;&lt;m:ctrlPr&gt;&lt;w:rPr&gt;&lt;w:rFonts w:ascii=&quot;Cambria Math&quot; w:h-ansi=&quot;Cambria Math&quot; w:fareast=&quot;瀹嬩綋&quot; w:hint=&quot;default&quot;/&gt;&lt;w:sz w:val=&quot;2 w:m:r1&quot;/&gt;&lt;/w:rPr&gt;&lt;/m:ctrlPr&gt;&lt;/h&quot; m:rm:sSubSupPr&gt;&lt;m:e&gt;&lt;m:r&gt;&lt;m:rPr&gt;&lt;m:scr m:val=&quot;roman&quot;/&gt;&lt;/m:rPr&gt;&lt;w:rPr&gt;&lt;w:rFonts w:ascii=&quot;Cambria Math&quot; w:h-ansi=&quot;Cambria Math&quot; w:fareast=&quot;瀹嬩綋&quot; w:hint=&quot;default&quot;/&gt;&lt;w:sz w:val=&quot;21&quot;/&gt;&lt;/w:rPr&gt;&lt;m:t&gt;s&lt;/m:t&gt;&lt;/m:r&gt;&lt;m:ctrlPr&gt;&lt;w:rPr&gt;&lt;w:m:rrFonts w:ascii=&quot;Cambria Math&quot; wm:r:h-ansi=&quot;Cambria Math&quot; w:fareast=&quot;瀹嬩綋&quot; w:hint=&quot;default&quot;/&gt;&lt;w:sz w:val=&quot;21&quot;/&gt;&lt;/w:rPr&gt;&lt;/m:ctrlPr&gt;&lt;/m:e&gt;&lt;m:sub&gt;&lt;m:r&gt;&lt;m:rPr&gt;&lt;m:scr m:val=&quot;roman&quot;/&gt;&lt;/m:rPr&gt;&lt;w:rPr&gt;&lt;w:rFonts w:ascii=&quot;Cambria Math&quot; w:h-ansi=&quot;Cambria Math&quot; w:farm:reast=&quot;瀹嬩綋&quot; w:hint=&quot;default&quot;/&gt;&lt;w&quot; wm:r:sz w:val=&quot;21&quot;/&gt;&lt;/w:rPr&gt;&lt;m:t&gt;D&lt;/m:t&gt;&lt;/m:r&gt;&lt;m:ctrlPr&gt;&lt;w:rPr&gt;&lt;w:rFonts w:ascii=&quot;Cambria Math&quot; w:h-ansi=&quot;Cambria Math&quot; w:fareast=&quot;瀹嬩綋&quot; w:hint=&quot;default&quot;/&gt;&lt;w:sz w:val=&quot;21&quot;/&gt;&lt;/w:rPr&gt;&lt;/m:ctrlPr&gt;&lt;/m:sub&gt;&lt;m:sup&gt;&lt;m:r&gt;&lt;m:rPfarm:rr&gt;&lt;m:scr m:val=&quot;roman&quot;/&gt;&lt;/m:rPr&gt;&lt;w:rPr&gt;&lt;m:rw:rFonts w:ascii=&quot;Cambria Math&quot; w:h-ansi=&quot;Cambria Math&quot; w:fareast=&quot;瀹嬩綋&quot; w:hint=&quot;default&quot;/&gt;&lt;w:sz w:val=&quot;21&quot;/&gt;&lt;/w:rPr&gt;&lt;m:t&gt;鈭?/m:t&gt;&lt;/m:r&gt;&lt;m:ctrlPr&gt;&lt;w:rPr&gt;&lt;w:rFonts w:ascii=&quot;Cambria Math&quot; w:h-ansi=&quot;Cambria Math&quot; rm:rw:fareast=&quot;瀹嬩綋&quot; w:hint=&quot;default&quot;/&gt;&lt;w:szrPr&gt;&lt;m:r w:val=&quot;21&quot;/&gt;&lt;/w:rPr&gt;&lt;/m:ctrlPr&gt;&lt;/m:sup&gt;&lt;/m:sSubSup&gt;&lt;m:r&gt;&lt;m:rPr&gt;&lt;m:scr m:val=&quot;roman&quot;/&gt;&lt;/m:rPr&gt;&lt;w:rPr&gt;&lt;w:rFonts w:ascii=&quot;Cambria Math&quot; w:h-ansi=&quot;Cambria Math&quot; w:fareast=&quot;瀹嬩綋&quot; w:hint=&quot;default&quot;/&gt;&lt;w:sz w:va&quot; rm:rl=&quot;21&quot;/&gt;&lt;/w:rPr&gt;&lt;m:t&gt;)&lt;/m:t&gt;&lt;/m:r&gt;&lt;/m:oMath&gt;&lt;/m:oMm:rathPara&gt;&lt;/w:p&gt;&lt;/wx:sect&gt;&lt;/w:body&gt;&lt;/w:wordDocument">
            <v:path/>
            <v:fill on="f" focussize="0,0"/>
            <v:stroke on="f" joinstyle="miter"/>
            <v:imagedata r:id="rId35" o:title=""/>
            <o:lock v:ext="edit" aspectratio="f"/>
            <w10:wrap type="none"/>
            <w10:anchorlock/>
          </v:shape>
        </w:pict>
      </w:r>
      <w:r>
        <w:rPr>
          <w:rFonts w:hint="eastAsia" w:ascii="宋体" w:hAnsi="宋体" w:cs="宋体"/>
          <w:bCs/>
          <w:szCs w:val="21"/>
        </w:rPr>
        <w:t>满足双方均无单方面偏离激励。系统同时通过支撑枚举法求解混合策略均衡，在5×5博弈规模下计算开销可忽略。收益矩阵如图5所示。</w:t>
      </w:r>
    </w:p>
    <w:p w14:paraId="1248AAA7">
      <w:pPr>
        <w:wordWrap w:val="0"/>
        <w:spacing w:line="360" w:lineRule="auto"/>
        <w:ind w:right="-57"/>
        <w:outlineLvl w:val="1"/>
        <w:rPr>
          <w:rFonts w:hint="eastAsia" w:ascii="宋体" w:hAnsi="宋体" w:cs="宋体"/>
          <w:bCs/>
          <w:szCs w:val="21"/>
        </w:rPr>
      </w:pPr>
      <w:r>
        <w:rPr>
          <w:rFonts w:ascii="宋体" w:hAnsi="宋体" w:cs="宋体"/>
          <w:bCs/>
          <w:szCs w:val="21"/>
        </w:rPr>
        <w:pict>
          <v:shape id="_x0000_i1055" o:spt="75" alt="图4_收益矩阵热力图" type="#_x0000_t75" style="height:341.15pt;width:437pt;" filled="f" o:preferrelative="t" stroked="f" coordsize="21600,21600">
            <v:path/>
            <v:fill on="f" focussize="0,0"/>
            <v:stroke on="f" joinstyle="miter"/>
            <v:imagedata r:id="rId36" cropright="-499f" cropbottom="8853f" o:title="图4_收益矩阵热力图"/>
            <o:lock v:ext="edit" aspectratio="t"/>
            <w10:wrap type="none"/>
            <w10:anchorlock/>
          </v:shape>
        </w:pict>
      </w:r>
    </w:p>
    <w:p w14:paraId="08C78D15">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图5 5×5 TKI策略收益矩阵热力图（原告视角）</w:t>
      </w:r>
    </w:p>
    <w:p w14:paraId="6A7C0BE2">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颜色从蓝（低收益）到红（高收益），★标记纯策略纳什均衡点(Collaborating, Collaborating)。该矩阵同时服务于SPNE博弈树终端收益和演化适应度计算。</w:t>
      </w:r>
    </w:p>
    <w:p w14:paraId="33E0D237">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策略进化通过三种方法实现：LLM反思式进化（智能体基于历史对局结果反思并调整策略）、最佳响应进化（选择对对手当前策略的数学最优响应）和虚拟博弈进化（基于对手历史策略频率的经验最优响应）。博弈锦标赛在每轮运行完整CD→DD→CI管道后更新收益矩阵，双方策略独立进化，直至收敛（近W=3轮均处于均衡状态）。</w:t>
      </w:r>
    </w:p>
    <w:p w14:paraId="52ED5E26">
      <w:pPr>
        <w:wordWrap w:val="0"/>
        <w:spacing w:line="360" w:lineRule="exact"/>
        <w:ind w:right="-57"/>
        <w:outlineLvl w:val="1"/>
        <w:rPr>
          <w:rFonts w:hint="eastAsia" w:ascii="宋体" w:hAnsi="宋体" w:cs="宋体"/>
          <w:bCs/>
          <w:szCs w:val="21"/>
        </w:rPr>
      </w:pPr>
      <w:r>
        <w:rPr>
          <w:rFonts w:hint="eastAsia" w:ascii="宋体" w:hAnsi="宋体" w:cs="宋体"/>
          <w:bCs/>
          <w:szCs w:val="21"/>
        </w:rPr>
        <w:t>3.3 演化稳定性验证工具</w:t>
      </w:r>
    </w:p>
    <w:p w14:paraId="7741AD4B">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本节提供对核心实验结论的群体层面稳定性检验工具。若步骤二中SPNE给出了不同于NE的策略预测，步骤三需进一步追问：该序贯均衡在群体层面是否稳定？</w:t>
      </w:r>
    </w:p>
    <w:p w14:paraId="2DA2201E">
      <w:pPr>
        <w:spacing w:after="60" w:line="360" w:lineRule="exact"/>
        <w:ind w:left="420" w:leftChars="200"/>
        <w:rPr>
          <w:rFonts w:hint="eastAsia" w:ascii="宋体" w:hAnsi="宋体" w:cs="宋体"/>
          <w:bCs/>
          <w:szCs w:val="21"/>
        </w:rPr>
      </w:pPr>
      <w:r>
        <w:rPr>
          <w:rFonts w:hint="eastAsia" w:ascii="宋体" w:hAnsi="宋体" w:cs="宋体"/>
          <w:bCs/>
          <w:szCs w:val="21"/>
        </w:rPr>
        <w:t>具体而言，将大量案件中当事人的策略选择建模为演化博弈系统。设种群中采用策略</w:t>
      </w:r>
      <w:r>
        <w:rPr>
          <w:rFonts w:hAnsi="Cambria Math"/>
        </w:rPr>
        <w:pict>
          <v:shape id="_x0000_i1056" o:spt="75" type="#_x0000_t75" style="height:15.5pt;width:7.5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Cambria Math&quot; w:h-ansi=&quot;Cambria Math&quot; w:fareast=&quot;瀹嬩綋&quot; w:hint=&quot;default&quot;/&gt;&lt;w:sz w:val=&quot;21&quot;/&gt;&lt;/w:rPr&gt;&lt;/m:ctrlPr&gt;&lt;/m:sSubPr&gt;&lt;m:e&gt;&lt;m:r&gt;&lt;m:rPr&gt;&lt;m:scr m:val=&quot;roman&quot;/&gt;&lt;/m:rPr&gt;&lt;w:rPr&gt;&lt;w:rFonts w:ascii=&quot;Cambria Math&quot; b&gt;&lt;b&gt;&lt;w:h-ansi=&quot;Cambria Math&quot; w:fareast=&quot;瀹嬩綋&quot; w:hint=&quot;default&quot;/&gt;&lt;w:sz w:val=&quot;21&quot;/&gt;&lt;/w:rPr&gt;&lt;m:t&gt;s&lt;/m:t&gt;&lt;/m:r&gt;&lt;m:ctrlPr&gt;&lt;w:rPr&gt;&lt;w:rFonts w:ascii=&quot;Cambria Math&quot; w:h-ansi=&quot;Cambria Math&quot; w:fareast=&quot;瀹嬩綋&quot; w:hint=&quot;default&quot;/&gt;&lt;w:sz w:val=&quot;21&quot;/&gt;&lt;/w:rPr&gt;&lt;/m:ctrlPrh&quot; b&gt;&lt;&gt;&lt;/h&quot; b&gt;&lt;m:e&gt;&lt;m:sub&gt;&lt;m:r&gt;&lt;m:rPr&gt;&lt;m:scr m:val=&quot;roman&quot;/&gt;&lt;/m:rPr&gt;&lt;w:rPr&gt;&lt;w:rFonts w:ascii=&quot;Cambria Math&quot; w:h-ansi=&quot;Cambria Math&quot; w:fareast=&quot;瀹嬩綋&quot; w:hint=&quot;default&quot;/&gt;&lt;w:sz w:val=&quot;21&quot;/&gt;&lt;/w:rPr&gt;&lt;m:t&gt;i&lt;/m:t&gt;&lt;/m:r&gt;&lt;m:ctrlPr&gt;&lt;w:rPr&gt;&lt;w:rFonts w:ascii=&quot;Cambria Mathb&gt;&lt;&quot; w:h-ansb&gt;&lt;i=&quot;Cambria Math&quot; w:fareast=&quot;瀹嬩綋&quot; w:hint=&quot;default&quot;/&gt;&lt;w:sz w:val=&quot;21&quot;/&gt;&lt;/w:rPr&gt;&lt;/m:ctrlPr&gt;&lt;/m:sub&gt;&lt;/m:sSub&gt;&lt;/m:oMath&gt;&lt;/m:oMathPara&gt;&lt;/w:p&gt;&lt;/wx:sect&gt;&lt;/w:body&gt;&lt;/w:wordDocument/w:&gt;&lt;m">
            <v:path/>
            <v:fill on="f" focussize="0,0"/>
            <v:stroke on="f" joinstyle="miter"/>
            <v:imagedata r:id="rId37" o:title=""/>
            <o:lock v:ext="edit" aspectratio="f"/>
            <w10:wrap type="none"/>
            <w10:anchorlock/>
          </v:shape>
        </w:pict>
      </w:r>
      <w:r>
        <w:rPr>
          <w:rFonts w:hint="eastAsia" w:ascii="宋体" w:hAnsi="宋体" w:cs="宋体"/>
          <w:bCs/>
          <w:szCs w:val="21"/>
        </w:rPr>
        <w:t>的比例为</w:t>
      </w:r>
      <w:r>
        <w:rPr>
          <w:rFonts w:ascii="宋体" w:hAnsi="宋体" w:cs="宋体"/>
          <w:bCs/>
          <w:szCs w:val="21"/>
        </w:rPr>
        <w:pict>
          <v:shape id="_x0000_i1057" o:spt="75" type="#_x0000_t75" style="height:15.5pt;width:8.3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Cambria Math&quot; w:h-ansi=&quot;Cambria Math&quot; w:fareast=&quot;瀹嬩綋&quot; w:hint=&quot;default&quot;/&gt;&lt;w:sz w:val=&quot;21&quot;/&gt;&lt;/w:rPr&gt;&lt;/m:ctrlPr&gt;&lt;/m:sSubPr&gt;&lt;m:e&gt;&lt;m:r&gt;&lt;m:rPr&gt;&lt;m:scr m:val=&quot;roman&quot;/&gt;&lt;/m:rPr&gt;&lt;w:rPr&gt;&lt;w:rFonts w:ascii=&quot;Cambria Math&quot; b&gt;&lt;b&gt;&lt;w:h-ansi=&quot;Cambria Math&quot; w:fareast=&quot;瀹嬩綋&quot; w:hint=&quot;default&quot;/&gt;&lt;w:sz w:val=&quot;21&quot;/&gt;&lt;/w:rPr&gt;&lt;m:t&gt;x&lt;/m:t&gt;&lt;/m:r&gt;&lt;m:ctrlPr&gt;&lt;w:rPr&gt;&lt;w:rFonts w:ascii=&quot;Cambria Math&quot; w:h-ansi=&quot;Cambria Math&quot; w:fareast=&quot;瀹嬩綋&quot; w:hint=&quot;default&quot;/&gt;&lt;w:sz w:val=&quot;21&quot;/&gt;&lt;/w:rPr&gt;&lt;/m:ctrlPrh&quot; b&gt;&lt;&gt;&lt;/h&quot; b&gt;&lt;m:e&gt;&lt;m:sub&gt;&lt;m:r&gt;&lt;m:rPr&gt;&lt;m:scr m:val=&quot;roman&quot;/&gt;&lt;/m:rPr&gt;&lt;w:rPr&gt;&lt;w:rFonts w:ascii=&quot;Cambria Math&quot; w:h-ansi=&quot;Cambria Math&quot; w:fareast=&quot;瀹嬩綋&quot; w:hint=&quot;default&quot;/&gt;&lt;w:sz w:val=&quot;21&quot;/&gt;&lt;/w:rPr&gt;&lt;m:t&gt;i&lt;/m:t&gt;&lt;/m:r&gt;&lt;m:ctrlPr&gt;&lt;w:rPr&gt;&lt;w:rFonts w:ascii=&quot;Cambria Mathb&gt;&lt;&quot; w:h-ansb&gt;&lt;i=&quot;Cambria Math&quot; w:fareast=&quot;瀹嬩綋&quot; w:hint=&quot;default&quot;/&gt;&lt;w:sz w:val=&quot;21&quot;/&gt;&lt;/w:rPr&gt;&lt;/m:ctrlPr&gt;&lt;/m:sub&gt;&lt;/m:sSub&gt;&lt;/m:oMath&gt;&lt;/m:oMathPara&gt;&lt;/w:p&gt;&lt;/wx:sect&gt;&lt;/w:body&gt;&lt;/w:wordDocument/w:&gt;&lt;m">
            <v:path/>
            <v:fill on="f" focussize="0,0"/>
            <v:stroke on="f" joinstyle="miter"/>
            <v:imagedata r:id="rId38" o:title=""/>
            <o:lock v:ext="edit" aspectratio="f"/>
            <w10:wrap type="none"/>
            <w10:anchorlock/>
          </v:shape>
        </w:pict>
      </w:r>
      <w:r>
        <w:rPr>
          <w:rFonts w:hint="eastAsia" w:ascii="宋体" w:hAnsi="宋体" w:cs="宋体"/>
          <w:bCs/>
          <w:szCs w:val="21"/>
        </w:rPr>
        <w:t>，策略的期望适应度为：</w:t>
      </w:r>
      <w:r>
        <w:rPr>
          <w:rFonts w:ascii="宋体" w:hAnsi="宋体" w:cs="宋体"/>
          <w:bCs/>
          <w:szCs w:val="21"/>
        </w:rPr>
        <w:pict>
          <v:shape id="_x0000_i1058" o:spt="75" type="#_x0000_t75" style="height:29.7pt;width:88.3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Cambria Math&quot; w:h-ansi=&quot;Cambria Math&quot; w:fareast=&quot;瀹嬩綋&quot; w:hint=&quot;default&quot;/&gt;&lt;w:sz w:val=&quot;21&quot;/&gt;&lt;/w:rPr&gt;&lt;/m:ctrlPr&gt;&lt;/m:sSubPr&gt;&lt;m:e&gt;&lt;m:r&gt;&lt;m:rPr&gt;&lt;m:scr m:val=&quot;roman&quot;/&gt;&lt;/m:rPr&gt;&lt;w:rPr&gt;&lt;w:rFonts w:ascii=&quot;Cambria Math&quot; b&gt;&lt;b&gt;&lt;w:h-ansi=&quot;Cambria Math&quot; w:fareast=&quot;瀹嬩綋&quot; w:hint=&quot;default&quot;/&gt;&lt;w:sz w:val=&quot;21&quot;/&gt;&lt;/w:rPr&gt;&lt;m:t&gt;f&lt;/m:t&gt;&lt;/m:r&gt;&lt;m:ctrlPr&gt;&lt;w:rPr&gt;&lt;w:rFonts w:ascii=&quot;Cambria Math&quot; w:h-ansi=&quot;Cambria Math&quot; w:fareast=&quot;瀹嬩綋&quot; w:hint=&quot;default&quot;/&gt;&lt;w:sz w:val=&quot;21&quot;/&gt;&lt;/w:rPr&gt;&lt;/m:ctrlPrh&quot; b&gt;&lt;&gt;&lt;/h&quot; b&gt;&lt;m:e&gt;&lt;m:sub&gt;&lt;m:r&gt;&lt;m:rPr&gt;&lt;m:scr m:val=&quot;roman&quot;/&gt;&lt;/m:rPr&gt;&lt;w:rPr&gt;&lt;w:rFonts w:ascii=&quot;Cambria Math&quot; w:h-ansi=&quot;Cambria Math&quot; w:fareast=&quot;瀹嬩綋&quot; w:hint=&quot;default&quot;/&gt;&lt;w:sz w:val=&quot;21&quot;/&gt;&lt;/w:rPr&gt;&lt;m:t&gt;i&lt;/m:t&gt;&lt;/m:r&gt;&lt;m:ctrlPr&gt;&lt;w:rPr&gt;&lt;w:rFonts w:ascii=&quot;Cambria Mathb&gt;&lt;&quot; w:h-ansb&gt;&lt;i=&quot;Cambria Math&quot; w:fareast=&quot;瀹嬩綋&quot; w:hint=&quot;default&quot;/&gt;&lt;w:sz w:val=&quot;21&quot;/&gt;&lt;/w:rPr&gt;&lt;/m:ctrlPr&gt;&lt;/m:sub&gt;&lt;/m:sSub&gt;&lt;m:r&gt;&lt;m:rPr&gt;&lt;m:scr m:val=&quot;roman&quot;/&gt;&lt;/m:rPr&gt;&lt;w:rPr&gt;&lt;w:rFonts w:ascii=&quot;Cambria Math&quot; w:h-ansi=&quot;Cambria Math&quot; w:fareast=&quot;瀹嬩綋&quot; w:hint=&quot;deathb&gt;&lt;fault&quot;/&gt;&lt;w:sansb&gt;&lt;z w:val=&quot;21&quot;/&gt;&lt;/w:rPr&gt;&lt;m:t&gt;=&lt;/m:t&gt;&lt;/m:r&gt;&lt;m:nary&gt;&lt;m:naryPr&gt;&lt;m:chr m:val=&quot;鈭?/&gt;&lt;m:limLoc m:val=&quot;undOvr&quot;/&gt;&lt;m:supHide m:val=&quot;1&quot;/&gt;&lt;m:ctrlPr&gt;&lt;w:rPr&gt;&lt;w:rFonts w:ascii=&quot;Cambria Math&quot; w:h-ansi=&quot;Cambria Math&quot; w:fareast=&quot;瀹嬩綋&quot; w:hint=&quot;default&quot;/&gt;&lt;hb&gt;&lt;w:i/&gt;&lt;w:sz w:val=nsb&gt;&lt;&quot;21&quot;/&gt;&lt;/w:rPr&gt;&lt;/m:ctrlPr&gt;&lt;/m:naryPr&gt;&lt;m:sub&gt;&lt;m:r&gt;&lt;m:rPr&gt;&lt;m:scr m:val=&quot;roman&quot;/&gt;&lt;/m:rPr&gt;&lt;w:rPr&gt;&lt;w:rFonts w:ascii=&quot;Cambria Math&quot; w:h-ansi=&quot;Cambria Math&quot; w:fareast=&quot;瀹嬩綋&quot; w:hint=&quot;default&quot;/&gt;&lt;w:sz w:val=&quot;21&quot;/&gt;&lt;/w:rPr&gt;&lt;m:t&gt;j&lt;/m:t&gt;&lt;/m:r&gt;&lt;m:b&gt;&lt;ctrlPr&gt;&lt;w:rPr&gt;&lt;w:rFontb&gt;&lt;s w:ascii=&quot;Cambria Math&quot; w:h-ansi=&quot;Cambria Math&quot; w:fareast=&quot;瀹嬩綋&quot; w:hint=&quot;default&quot;/&gt;&lt;w:sz w:val=&quot;21&quot;/&gt;&lt;/w:rPr&gt;&lt;/m:ctrlPr&gt;&lt;/m:sub&gt;&lt;m:sup&gt;&lt;m:ctrlPr&gt;&lt;w:rPr&gt;&lt;w:rFonts w:ascii=&quot;Cambria Math&quot; w:h-ansi=&quot;Cambria Math&quot; w:fareast=&quot;瀹嬩綋&quot;&lt;m:b&gt;&lt; w:hint=&quot;default&quot;/&gt;&lt;w:sz ontb&gt;&lt;w:val=&quot;21&quot;/&gt;&lt;/w:rPr&gt;&lt;/m:ctrlPr&gt;&lt;/m:sup&gt;&lt;m:e&gt;&lt;m:sSub&gt;&lt;m:sSubPr&gt;&lt;m:ctrlPr&gt;&lt;w:rPr&gt;&lt;w:rFonts w:ascii=&quot;Cambria Math&quot; w:h-ansi=&quot;Cambria Math&quot; w:fareast=&quot;瀹嬩綋&quot; w:hint=&quot;default&quot;/&gt;&lt;w:sz w:val=&quot;21&quot;/&gt;&lt;/w:rPr&gt;&lt;/m:ctrlPr&gt;&lt;/m:sSubPr&gt;&lt;m:b&gt;&lt;e&gt;&lt;m:r&gt;&lt;m:rPr&gt;&lt;m:scr m:val=&quot;romb&gt;&lt;an&quot;/&gt;&lt;/m:rPr&gt;&lt;w:rPr&gt;&lt;w:rFonts w:ascii=&quot;Cambria Math&quot; w:h-ansi=&quot;Cambria Math&quot; w:fareast=&quot;瀹嬩綋&quot; w:hint=&quot;default&quot;/&gt;&lt;w:sz w:val=&quot;21&quot;/&gt;&lt;/w:rPr&gt;&lt;m:t&gt;x&lt;/m:t&gt;&lt;/m:r&gt;&lt;m:ctrlPr&gt;&lt;w:rPr&gt;&lt;w:rFonts w:ascii=&quot;Cambria Math&quot; w:h-ansi=&quot;Camb&gt;&lt;bria Math&quot; w:fareast=&quot;瀹嬩綋&quot; w:hiromb&gt;&lt;nt=&quot;default&quot;/&gt;&lt;w:sz w:val=&quot;21&quot;/&gt;&lt;/w:rPr&gt;&lt;/m:ctrlPr&gt;&lt;/m:e&gt;&lt;m:sub&gt;&lt;m:r&gt;&lt;m:rPr&gt;&lt;m:scr m:val=&quot;roman&quot;/&gt;&lt;/m:rPr&gt;&lt;w:rPr&gt;&lt;w:rFonts w:ascii=&quot;Cambria Math&quot; w:h-ansi=&quot;Cambria Math&quot; w:fareast=&quot;瀹嬩綋&quot; w:hint=&quot;default&quot;/&gt;&lt;w:sz w:Camb&gt;&lt;val=&quot;21&quot;/&gt;&lt;/w:rPr&gt;&lt;m:t&gt;j&lt;/m:t&gt;&lt;/m:r&gt;&lt;m:cb&gt;&lt;trlPr&gt;&lt;w:rPr&gt;&lt;w:rFonts w:ascii=&quot;Cambria Math&quot; w:h-ansi=&quot;Cambria Math&quot; w:fareast=&quot;瀹嬩綋&quot; w:hint=&quot;default&quot;/&gt;&lt;w:sz w:val=&quot;21&quot;/&gt;&lt;/w:rPr&gt;&lt;/m:ctrlPr&gt;&lt;/m:sub&gt;&lt;/m:sSub&gt;&lt;m:ctrlPr&gt;&lt;w:rPr&gt;&lt;w:rFonts w:ascii=&quot;Cambria Math&quot; wb&gt;&lt;:h-ansi=&quot;Cambria Math&quot; w:fareast=&quot;瀹嬩綋&quot; wm:cb&gt;&lt;:hint=&quot;default&quot;/&gt;&lt;w:sz w:val=&quot;21&quot;/&gt;&lt;/w:rPr&gt;&lt;/m:ctrlPr&gt;&lt;/m:e&gt;&lt;/m:nary&gt;&lt;m:r&gt;&lt;m:rPr&gt;&lt;m:scr m:val=&quot;roman&quot;/&gt;&lt;/m:rPr&gt;&lt;w:rPr&gt;&lt;w:rFonts w:ascii=&quot;Cambria Math&quot; w:h-ansi=&quot;Cambria Math&quot; w:fareast=&quot;瀹嬩綋&quot; w:hint=&quot;defa&quot; wb&gt;&lt;ult&quot;/&gt;&lt;w:sz w:val=&quot;21&quot;/&gt;&lt;/w:rPr&gt;&lt;m:t&gt;鈰卽(&lt;/m:t&gt;&lt;:cb&gt;&lt;/m:r&gt;&lt;m:sSub&gt;&lt;m:sSubPr&gt;&lt;m:ctrlPr&gt;&lt;w:rPr&gt;&lt;w:rFonts w:ascii=&quot;Cambria Math&quot; w:h-ansi=&quot;Cambria Math&quot; w:fareast=&quot;瀹嬩綋&quot; w:hint=&quot;default&quot;/&gt;&lt;w:sz w:val=&quot;21&quot;/&gt;&lt;/w:rPr&gt;&lt;/m:ctrlPr&gt;&lt;/m:sSubPr&gt;&lt;m:e&gt;&lt;m:r&gt;&lt;m:rPr&gt;&lt;m wb&gt;&lt;:scr m:val=&quot;roman&quot;/&gt;&lt;/m:rPr&gt;&lt;w:rPr&gt;&lt;w:rFonts w:ascii=&quot;b&gt;&lt;Cambria Math&quot; w:h-ansi=&quot;Cambria Math&quot; w:fareast=&quot;瀹嬩綋&quot; w:hint=&quot;default&quot;/&gt;&lt;w:sz w:val=&quot;21&quot;/&gt;&lt;/w:rPr&gt;&lt;m:t&gt;s&lt;/m:t&gt;&lt;/m:r&gt;&lt;m:ctrlPr&gt;&lt;w:rPr&gt;&lt;w:rFonts w:ascii=&quot;Cambria Math&quot; w:h-ansi=&quot;Cambria Math&quot; w:farb&gt;&lt;east=&quot;瀹嬩綋&quot; w:hint=&quot;default&quot;/&gt;&lt;w:sz w:val=&quot;21&quot;/&gt;&lt;/w:rPri=&quot;b&gt;&lt;&gt;&lt;/m:ctrlPr&gt;&lt;/m:e&gt;&lt;m:sub&gt;&lt;m:r&gt;&lt;m:rPr&gt;&lt;m:scr m:val=&quot;roman&quot;/&gt;&lt;/m:rPr&gt;&lt;w:rPr&gt;&lt;w:rFonts w:ascii=&quot;Cambria Math&quot; w:h-ansi=&quot;Cambria Math&quot; w:fareast=&quot;瀹嬩綋&quot; w:hint=&quot;default&quot;/&gt;&lt;w:sz w:val=&quot;21&quot;/&gt;&lt;/w:rPfarb&gt;&lt;r&gt;&lt;m:t&gt;i&lt;/m:t&gt;&lt;/m:r&gt;&lt;m:ctrlPr&gt;&lt;w:rPr&gt;&lt;w:rFonts w:ascii=&quot;Cambriab&gt;&lt; Math&quot; w:h-ansi=&quot;Cambria Math&quot; w:fareast=&quot;瀹嬩綋&quot; w:hint=&quot;default&quot;/&gt;&lt;w:sz w:val=&quot;21&quot;/&gt;&lt;/w:rPr&gt;&lt;/m:ctrlPr&gt;&lt;/m:sub&gt;&lt;/m:sSub&gt;&lt;m:r&gt;&lt;m:rPr&gt;&lt;m:scr m:val=&quot;roman&quot;/&gt;&lt;/m:rPr&gt;&lt;w:rPr&gt;&lt;w:rFonts w:ascii=b&gt;&lt;&quot;Cambria Math&quot; w:h-ansi=&quot;Cambria Math&quot; w:fareast=&quot;瀹嬩綋&quot; w:hint=&quot;riab&gt;&lt;default&quot;/&gt;&lt;w:sz w:val=&quot;21&quot;/&gt;&lt;/w:rPr&gt;&lt;m:t&gt;,&lt;/m:t&gt;&lt;/m:r&gt;&lt;m:sSub&gt;&lt;m:sSubPr&gt;&lt;m:ctrlPr&gt;&lt;w:rPr&gt;&lt;w:rFonts w:ascii=&quot;Cambria Math&quot; w:h-ansi=&quot;Cambria Math&quot; w:fareast=&quot;瀹嬩綋&quot; w:hint=&quot;default&quot;/&gt;ii=b&gt;&lt;&lt;w:sz w:val=&quot;21&quot;/&gt;&lt;/w:rPr&gt;&lt;/m:ctrlPr&gt;&lt;/m:sSubPr&gt;&lt;m:e&gt;&lt;m:r&gt;&lt;m:rPr&gt;&lt;m:scr b&gt;&lt;m:val=&quot;roman&quot;/&gt;&lt;/m:rPr&gt;&lt;w:rPr&gt;&lt;w:rFonts w:ascii=&quot;Cambria Math&quot; w:h-ansi=&quot;Cambria Math&quot; w:fareast=&quot;瀹嬩綋&quot; w:hint=&quot;default&quot;/&gt;&lt;w:sz w:val=&quot;21&quot;/&gt;&lt;/w:rPr&gt;&lt;m:t&gt;s&lt;/m:t&gt;&lt;/m:r&gt;&lt;m:ctrlPr&gt;&lt;wb&gt;&lt;:rPr&gt;&lt;w:rFonts w:ascii=&quot;Cambria Math&quot; w:h-ansi=&quot;Cambria Math&quot; w:fareast=&quot;瀹 b&gt;&lt;嬩綋&quot; w:hint=&quot;default&quot;/&gt;&lt;w:sz w:val=&quot;21&quot;/&gt;&lt;/w:rPr&gt;&lt;/m:ctrlPr&gt;&lt;/m:e&gt;&lt;m:sub&gt;&lt;m:r&gt;&lt;m:rPr&gt;&lt;m:scr m:val=&quot;roman&quot;/&gt;&lt;/m:rPr&gt;&lt;w:rPr&gt;&lt;w:rFonts w:ascii=&quot;Cambria Math&quot; w:h-ansi=&quot;Cambria Mab&gt;&lt;th&quot; w:fareast=&quot;瀹嬩綋&quot; w:hint=&quot;default&quot;/&gt;&lt;w:sz w:val=&quot;21&quot;/&gt;&lt;/w:rPr&gt;&lt;m:t&gt;j&lt;/m:t&gt;瀹 b&gt;&lt;&lt;/m:r&gt;&lt;m:ctrlPr&gt;&lt;w:rPr&gt;&lt;w:rFonts w:ascii=&quot;Cambria Math&quot; w:h-ansi=&quot;Cambria Math&quot; w:fareast=&quot;瀹嬩綋&quot; w:hint=&quot;default&quot;/&gt;&lt;w:sz w:val=&quot;21&quot;/&gt;&lt;/w:rPr&gt;&lt;/m:ctrlPr&gt;&lt;/m:sub&gt;&lt;/m:sSuba Mab&gt;&lt;&gt;&lt;m:r&gt;&lt;m:rPr&gt;&lt;m:scr m:val=&quot;roman&quot;/&gt;&lt;/m:rPr&gt;&lt;w:rPr&gt;&lt;w:rFonts w:ascii=&quot;Cambria Math&quot; w:b&gt;&lt;h-ansi=&quot;Cambria Math&quot; w:fareast=&quot;瀹嬩綋&quot; w:hint=&quot;default&quot;/&gt;&lt;w:sz w:val=&quot;21&quot;/&gt;&lt;/w:rPr&gt;&lt;m:t&gt;)&lt;/m:t&gt;&lt;/m:r&gt;&lt;/m:oMath&gt;&lt;/m:oMathPara&gt;&lt;/w:p&gt;&lt;/wx:sect&gt;&lt;/w:body&gt;&lt;/w:wordDocumenb&gt;&lt;tub&gt;">
            <v:path/>
            <v:fill on="f" focussize="0,0"/>
            <v:stroke on="f" joinstyle="miter"/>
            <v:imagedata r:id="rId39" o:title=""/>
            <o:lock v:ext="edit" aspectratio="f"/>
            <w10:wrap type="none"/>
            <w10:anchorlock/>
          </v:shape>
        </w:pict>
      </w:r>
      <w:r>
        <w:rPr>
          <w:rFonts w:hint="eastAsia" w:ascii="宋体" w:hAnsi="宋体" w:cs="宋体"/>
          <w:bCs/>
          <w:szCs w:val="21"/>
        </w:rPr>
        <w:t xml:space="preserve"> (4)</w:t>
      </w:r>
    </w:p>
    <w:p w14:paraId="3FB6DAC4">
      <w:pPr>
        <w:spacing w:after="60" w:line="360" w:lineRule="exact"/>
        <w:ind w:left="420" w:leftChars="200"/>
        <w:rPr>
          <w:rFonts w:hint="eastAsia" w:ascii="宋体" w:hAnsi="宋体" w:cs="宋体"/>
          <w:bCs/>
          <w:szCs w:val="21"/>
        </w:rPr>
      </w:pPr>
      <w:r>
        <w:rPr>
          <w:rFonts w:hint="eastAsia" w:ascii="宋体" w:hAnsi="宋体" w:cs="宋体"/>
          <w:bCs/>
          <w:szCs w:val="21"/>
        </w:rPr>
        <w:t>种群平均适应度为 </w:t>
      </w:r>
      <w:r>
        <w:rPr>
          <w:rFonts w:ascii="宋体" w:hAnsi="宋体" w:cs="宋体"/>
          <w:bCs/>
          <w:szCs w:val="21"/>
        </w:rPr>
        <w:pict>
          <v:shape id="_x0000_i1059" o:spt="75" type="#_x0000_t75" style="height:28.05pt;width:53.6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acc&gt;&lt;m:accPr&gt;&lt;m:chr m:val=&quot;虅&quot;/&gt;&lt;m:ctrlPr&gt;&lt;w:rPr&gt;&lt;w:rFonts w:ascii=&quot;Cambria Math&quot; w:h-ansi=&quot;Cambria Math&quot; w:fareast=&quot;瀹嬩綋&quot; w:hint=&quot;default&quot;/&gt;&lt;w:sz w:val=&quot;21&quot;/&gt;&lt;/w:rPr&gt;&lt;/m:ctrlPr&gt;&lt;/m:accPr&gt;&lt;m:e&gt;&lt;m:r&gt;&lt;m:rPr&gt;&lt;m:scr m:val=&quot;roman&quot;/&gt;&lt;/m:rPr&gt;&lt;w:rPr&gt;&lt;w:rFonts w:asciic&gt;&lt;mc&gt;&lt;m=&quot;Cambria Math&quot; w:h-ansi=&quot;Cambria Math&quot; w:fareast=&quot;瀹嬩綋&quot; w:hint=&quot;default&quot;/&gt;&lt;w:sz w:val=&quot;21&quot;/&gt;&lt;/w:rPr&gt;&lt;m:t&gt;f&lt;/m:t&gt;&lt;/m:r&gt;&lt;m:ctrlPr&gt;&lt;w:rPr&gt;&lt;w:rFonts w:ascii=&quot;Cambria Math&quot; w:h-ansi=&quot;Cambria Math&quot; w:fareast=&quot;瀹嬩綋&quot; w:hint=&quot;default&quot;/&gt;&lt;w:sz w:val=&quot;21&quot;/&gt;&lt;iic&gt;&lt;m/w:riic&gt;&lt;mPr&gt;&lt;/m:ctrlPr&gt;&lt;/m:e&gt;&lt;/m:acc&gt;&lt;m:r&gt;&lt;m:rPr&gt;&lt;m:scr m:val=&quot;roman&quot;/&gt;&lt;/m:rPr&gt;&lt;w:rPr&gt;&lt;w:rFonts w:ascii=&quot;Cambria Math&quot; w:h-ansi=&quot;Cambria Math&quot; w:fareast=&quot;瀹嬩綋&quot; w:hint=&quot;default&quot;/&gt;&lt;w:sz w:val=&quot;21&quot;/&gt;&lt;/w:rPr&gt;&lt;m:t&gt;=&lt;/m:t&gt;&lt;/m:r&gt;&lt;m:nary&gt;&lt;m:naryPr&gt;&lt;m:chr m:val&gt;&lt;m=&quot;鈭?/&gt;&lt;mic&gt;&lt;m:limLoc m:val=&quot;undOvr&quot;/&gt;&lt;m:supHide m:val=&quot;1&quot;/&gt;&lt;m:ctrlPr&gt;&lt;w:rPr&gt;&lt;w:rFonts w:ascii=&quot;Cambria Math&quot; w:h-ansi=&quot;Cambria Math&quot; w:fareast=&quot;瀹嬩綋&quot; w:hint=&quot;default&quot;/&gt;&lt;w:i/&gt;&lt;w:sz w:val=&quot;21&quot;/&gt;&lt;/w:rPr&gt;&lt;/m:ctrlPr&gt;&lt;/m:naryPr&gt;&lt;m:sub&gt;&lt;m:r&gt;&lt;m:rPr&gt;&lt;m:scr m:val&gt;&lt;ml=&quot;roman&quot;/&gt;&lt;/m&gt;&lt;m:rPr&gt;&lt;w:rPr&gt;&lt;w:rFonts w:ascii=&quot;Cambria Math&quot; w:h-ansi=&quot;Cambria Math&quot; w:fareast=&quot;瀹嬩綋&quot; w:hint=&quot;default&quot;/&gt;&lt;w:sz w:val=&quot;21&quot;/&gt;&lt;/w:rPr&gt;&lt;m:t&gt;i&lt;/m:t&gt;&lt;/m:r&gt;&lt;m:ctrlPr&gt;&lt;w:rPr&gt;&lt;w:rFonts w:ascii=&quot;Cambria Math&quot; w:h-ansi=&quot;Cambria Math&quot; w:fareast=&quot;瀹?l&gt;&lt;m浣? w:hint=&quot;defa&lt;/m&gt;&lt;mult&quot;/&gt;&lt;w:sz w:val=&quot;21&quot;/&gt;&lt;/w:rPr&gt;&lt;/m:ctrlPr&gt;&lt;/m:sub&gt;&lt;m:sup&gt;&lt;m:ctrlPr&gt;&lt;w:rPr&gt;&lt;w:rFonts w:ascii=&quot;Cambria Math&quot; w:h-ansi=&quot;Cambria Math&quot; w:fareast=&quot;瀹嬩綋&quot; w:hint=&quot;default&quot;/&gt;&lt;w:sz w:val=&quot;21&quot;/&gt;&lt;/w:rPr&gt;&lt;/m:ctrlPr&gt;&lt;/m:sup&gt;&lt;m:e&gt;&lt;m:sSub&gt;&lt;m:sS?l&gt;&lt;mubPr&gt;&lt;m:ctrlPr&gt;&lt;w:rPr&gt;&lt;&gt;&lt;mw:rFonts w:ascii=&quot;Cambria Math&quot; w:h-ansi=&quot;Cambria Math&quot; w:fareast=&quot;瀹嬩綋&quot; w:hint=&quot;default&quot;/&gt;&lt;w:sz w:val=&quot;21&quot;/&gt;&lt;/w:rPr&gt;&lt;/m:ctrlPr&gt;&lt;/m:sSubPr&gt;&lt;m:e&gt;&lt;m:r&gt;&lt;m:rPr&gt;&lt;m:scr m:val=&quot;roman&quot;/&gt;&lt;/m:rPr&gt;&lt;w:rPr&gt;&lt;w:rFonts w:ascii=&quot;Cambria Math&quot; w&gt;&lt;m:h-ansi=&quot;Cambria Math&quot; w:f&gt;&lt;mareast=&quot;瀹嬩綋&quot; w:hint=&quot;default&quot;/&gt;&lt;w:sz w:val=&quot;21&quot;/&gt;&lt;/w:rPr&gt;&lt;m:t&gt;x&lt;/m:t&gt;&lt;/m:r&gt;&lt;m:ctrlPr&gt;&lt;w:rPr&gt;&lt;w:rFonts w:ascii=&quot;Cambria Math&quot; w:h-ansi=&quot;Cambria Math&quot; w:fareast=&quot;瀹嬩綋&quot; w:hint=&quot;default&quot;/&gt;&lt;w:sz w:val=&quot;21&quot;/&gt;&lt;/w:rPr&gt;&lt;/m:ctrlPr&gt;&quot; w&gt;&lt;m&lt;/m:e&gt;&lt;m:sub&gt;&lt;m:r&gt;&lt;m:rPr&gt;&lt;m:sw:f&gt;&lt;mcr m:val=&quot;roman&quot;/&gt;&lt;/m:rPr&gt;&lt;w:rPr&gt;&lt;w:rFonts w:ascii=&quot;Cambria Math&quot; w:h-ansi=&quot;Cambria Math&quot; w:fareast=&quot;瀹嬩綋&quot; w:hint=&quot;default&quot;/&gt;&lt;w:sz w:val=&quot;21&quot;/&gt;&lt;/w:rPr&gt;&lt;m:t&gt;i&lt;/m:t&gt;&lt;/m:r&gt;&lt;m:ctrlPr&gt;&lt;w:rPr&gt;&lt;w:rFonts w:ascii=&quot;Cambria Math&quot;&gt;&lt;m w:h-ansi=&quot;Cambria Math&quot; w:fareast=&gt;&lt;m&quot;瀹嬩綋&quot; w:hint=&quot;default&quot;/&gt;&lt;w:sz w:val=&quot;21&quot;/&gt;&lt;/w:rPr&gt;&lt;/m:ctrlPr&gt;&lt;/m:sub&gt;&lt;/m:sSub&gt;&lt;m:ctrlPr&gt;&lt;w:rPr&gt;&lt;w:rFonts w:ascii=&quot;Cambria Math&quot; w:h-ansi=&quot;Cambria Math&quot; w:fareast=&quot;瀹嬩綋&quot; w:hint=&quot;default&quot;/&gt;&lt;w:sz w:val=&quot;21&quot;/&gt;&lt;/w:rPrth&quot;&gt;&lt;m&gt;&lt;/m:ctrlPr&gt;&lt;/m:e&gt;&lt;/m:nary&gt;&lt;m:sSub&gt;&lt;m:st=&gt;&lt;msSubPr&gt;&lt;m:ctrlPr&gt;&lt;w:rPr&gt;&lt;w:rFonts w:ascii=&quot;Cambria Math&quot; w:h-ansi=&quot;Cambria Math&quot; w:fareast=&quot;瀹嬩綋&quot; w:hint=&quot;default&quot;/&gt;&lt;w:sz w:val=&quot;21&quot;/&gt;&lt;/w:rPr&gt;&lt;/m:ctrlPr&gt;&lt;/m:sSubPr&gt;&lt;m:e&gt;&lt;m:r&gt;&lt;m:rPr&gt;&lt;m:scr m:val=&quot;roman&quot;/&gt;&lt;/m:rP&gt;&lt;mr&gt;&lt;w:rPr&gt;&lt;w:rFonts w:ascii=&quot;Cambria Math&quot; w:&gt;&lt;mh-ansi=&quot;Cambria Math&quot; w:fareast=&quot;瀹嬩綋&quot; w:hint=&quot;default&quot;/&gt;&lt;w:sz w:val=&quot;21&quot;/&gt;&lt;/w:rPr&gt;&lt;m:t&gt;f&lt;/m:t&gt;&lt;/m:r&gt;&lt;m:ctrlPr&gt;&lt;w:rPr&gt;&lt;w:rFonts w:ascii=&quot;Cambria Math&quot; w:h-ansi=&quot;Cambria Math&quot; w:fareast=&quot;瀹嬩綋&quot; w:hint=&quot;defa:rP&gt;&lt;mult&quot;/&gt;&lt;w:sz w:val=&quot;21&quot;/&gt;&lt;/w:rPr&gt;&lt;/m:ctrlPr&gt;&lt;/m: w:&gt;&lt;me&gt;&lt;m:sub&gt;&lt;m:r&gt;&lt;m:rPr&gt;&lt;m:scr m:val=&quot;roman&quot;/&gt;&lt;/m:rPr&gt;&lt;w:rPr&gt;&lt;w:rFonts w:ascii=&quot;Cambria Math&quot; w:h-ansi=&quot;Cambria Math&quot; w:fareast=&quot;瀹嬩綋&quot; w:hint=&quot;default&quot;/&gt;&lt;w:sz w:val=&quot;21&quot;/&gt;&lt;/w:rPr&gt;&lt;m:t&gt;i&lt;/m:t&gt;&lt;/m:r&gt;&lt;m:ctr&gt;&lt;mlPr&gt;&lt;w:rPr&gt;&lt;w:rFonts w:ascii=&quot;Cambria Math&quot; w:h-ansi=&gt;&lt;m&quot;Cambria Math&quot; w:fareast=&quot;瀹嬩綋&quot; w:hint=&quot;default&quot;/&gt;&lt;w:sz w:val=&quot;21&quot;/&gt;&lt;/w:rPr&gt;&lt;/m:ctrlPr&gt;&lt;/m:sub&gt;&lt;/m:sSub&gt;&lt;/m:oMath&gt;&lt;/m:oMathPara&gt;&lt;/w:p&gt;&lt;/wx:sect&gt;&lt;/w:body&gt;&lt;/w:wordDocument/w:&gt;&lt;m">
            <v:path/>
            <v:fill on="f" focussize="0,0"/>
            <v:stroke on="f" joinstyle="miter"/>
            <v:imagedata r:id="rId40" o:title=""/>
            <o:lock v:ext="edit" aspectratio="f"/>
            <w10:wrap type="none"/>
            <w10:anchorlock/>
          </v:shape>
        </w:pict>
      </w:r>
    </w:p>
    <w:p w14:paraId="64F3700F">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策略比例的演化遵循复制者动态方程：</w:t>
      </w:r>
      <w:r>
        <w:pict>
          <v:shape id="_x0000_i1060" o:spt="75" type="#_x0000_t75" style="height:15.5pt;width:65.7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e&gt;&lt;m:acc&gt;&lt;m:accPr&gt;&lt;m:chr m:val=&quot;虈&quot;/&gt;&lt;/m:accPr&gt;&lt;m:e&gt;&lt;m:r&gt;&lt;m:rPr&gt;&lt;m:scr m:val=&quot;roman&quot;/&gt;&lt;/m:rPr&gt;&lt;w:rPr&gt;&lt;w:rFonts w:ascii=&quot;Cambria Math&quot; w:h-ansi=&quot;Cambria Math&quot; w:fareast=&quot;Cambria Math&quot; w:cs=&quot;Cambria Math&quot; w:hint=&quot;default&quot;/&gt;&lt;/w:rPr&gt;&lt;m:t&gt;x&lt;/m:t&gt;&lt;&lt;&lt;/m:r&gt;&lt;/m:e&gt;&lt;/m:acc&gt;&lt;/m:e&gt;&lt;m:sub&gt;&lt;m:r&gt;&lt;m:rPr&gt;&lt;m:scr m:val=&quot;roman&quot;/&gt;&lt;/m:rPr&gt;&lt;w:rPr&gt;&lt;w:rFonts w:ascii=&quot;Cambria Math&quot; w:h-ansi=&quot;Cambria Math&quot; w:fareast=&quot;Cambria Math&quot; w:cs=&quot;Cambria Math&quot; w:hint=&quot;default&quot;/&gt;&lt;/w:rPr&gt;&lt;m:t&gt;i&lt;/m:t&gt;&lt;/m:r&gt;&lt;/m:sub&gt;&lt;/m:sSub&gt;&lt;m:r&gt;&lt;m:rPr&gt;&lt;m:scr m:val=&quot;roman&quot;/&gt;&lt;/m:rPr&gt;&lt;w:rPr&gt;&lt;w:rFonts w:ascii=&quot;Cambria Math&quot; w:h-ansi=&quot;Cambria Math&quot; w:fareast=&quot;Cambria Math&quot; w:cs=&quot;Cambria Math&quot; w:hint=&quot;default&quot;/&gt;&lt;/w:rPr&gt;&lt;m:t&gt;=&lt;/m:t&gt;&lt;/m:r&gt;&lt;m:sSub&gt;&lt;m:sSubPr/&gt;&lt;m:e&gt;&lt;m:r&gt;&lt;m:rPr&gt;&lt;m:scr m:val=&quot;roman&quot;/&gt;&lt;/m:rPr&gt;&lt;w:rPr&gt;&lt;w:rFonts w:ascii=&quot;Cambria Math&quot; w:h-ansi=&quot;Cambria Math&quot; w:fareast=&quot;Cambria Math&quot; w:cs=&quot;Cambria Math&quot; w:hint=&quot;default&quot;/&gt;&lt;/w:rPr&gt;&lt;m:t&gt;x&lt;/m:t&gt;&lt;/m:r&gt;&lt;/m:e&gt;&lt;m:sub&gt;&lt;m:r&gt;&lt;m:rPr&gt;&lt;m:scr m:val=&quot;roman&quot;/&gt;&lt;/m:rPr&gt;&lt;w:rPr&gt;&lt;w:rFonts w:ascii=&quot;Cambria Math&quot; w:h-ansi=&quot;Cambria Math&quot; w:fareast=&quot;Cambria Math&quot; w:cs=&quot;Cambria Math&quot; w:hint=&quot;default&quot;/&gt;&lt;/w:rPr&gt;&lt;m:t&gt;i&lt;/m:t&gt;&lt;/m:r&gt;&lt;/m:sub&gt;&lt;/m:sSub&gt;&lt;m:d&gt;&lt;m:dPr/&gt;&lt;m:e&gt;&lt;m:sSub&gt;&lt;m:sSubPr/&gt;&lt;m:e&gt;&lt;m:r&gt;&lt;m:rPr&gt;&lt;m:scr m:val=&quot;roman&quot;/&gt;&lt;/m:rPr&gt;&lt;w:rPr&gt;&lt;w:rFonts w:ascii=&quot;Cambria Math&quot; w:h-ansi=&quot;Cambria Math&quot; w:fareast=&quot;Cambria Math&quot; w:cs=&quot;Cambria Math&quot; w:hint=&quot;default&quot;/&gt;&lt;/w:rPr&gt;&lt;m:t&gt;f&lt;/m:t&gt;&lt;/m:r&gt;&lt;/m:e&gt;&lt;m:sub&gt;&lt;m:r&gt;&lt;m:rPr&gt;&lt;m:scr m:val=&quot;roman&quot;/&gt;&lt;/m:rPr&gt;&lt;w:rPr&gt;&lt;w:rFonts w:ascii=&quot;Cambria Math&quot; w:h-ansi=&quot;Cambria Math&quot; w:fareast=&quot;Cambria Math&quot; w:cs=&quot;Cambria Math&quot; w:hint=&quot;default&quot;/&gt;&lt;/w:rPr&gt;&lt;m:t&gt;i&lt;/m:t&gt;&lt;/m:r&gt;&lt;/m:sub&gt;&lt;/m:sSub&gt;&lt;m:r&gt;&lt;m:rPr&gt;&lt;m:scr m:val=&quot;roman&quot;/&gt;&lt;/m:rPr&gt;&lt;w:rPr&gt;&lt;w:rFonts w:ascii=&quot;Cambria Math&quot; w:h-ansi=&quot;Cambria Math&quot; w:fareast=&quot;Cambria Math&quot; w:cs=&quot;Cambria Math&quot; w:hint=&quot;default&quot;/&gt;&lt;/w:rPr&gt;&lt;m:t&gt;鈭b?r&lt;/m:t&gt;&lt;/m:r&gt;&lt;m:acc&gt;&lt;m:accPr&gt;&lt;m:chr m:val=&quot;虅&quot;/&gt;&lt;/m:accPr&gt;&lt;m:e&gt;&lt;m:r&gt;&lt;m:rPr&gt;&lt;m:scr m:val=&quot;roman&quot;/&gt;&lt;/m:rPr&gt;&lt;w:rPr&gt;&lt;w:rFonts w:ascii=&quot;Cambria Math&quot; w:h-ansi=&quot;Cambria Math&quot; w:fareast=&quot;Cambria Math&quot; w:cs=&quot;Cambria Math&quot; w:hint=&quot;default&quot;/&gt;&lt;/w:rPr&gt;&lt;m:t&gt;f&lt;/m:t&gt;&lt;/bm:rr&gt;&lt;/m:e&gt;&lt;/m:acc&gt;&lt;/m:e&gt;&lt;/m:d&gt;&lt;/m:oMath&gt;&lt;/m:oMathPara&gt;&lt;/w:p&gt;&lt;/wx:sect&gt;&lt;/w:body&gt;&lt;/w:wordDocument">
            <v:path/>
            <v:fill on="f" focussize="0,0"/>
            <v:stroke on="f" joinstyle="miter"/>
            <v:imagedata r:id="rId41" o:title=""/>
            <o:lock v:ext="edit" aspectratio="f"/>
            <w10:wrap type="none"/>
            <w10:anchorlock/>
          </v:shape>
        </w:pict>
      </w:r>
      <w:r>
        <w:rPr>
          <w:rFonts w:hint="eastAsia" w:ascii="宋体" w:hAnsi="宋体" w:cs="宋体"/>
          <w:bCs/>
          <w:szCs w:val="21"/>
        </w:rPr>
        <w:t>(5)</w:t>
      </w:r>
    </w:p>
    <w:p w14:paraId="6A1EEE00">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策略</w:t>
      </w:r>
      <w:r>
        <w:rPr>
          <w:rFonts w:ascii="宋体" w:hAnsi="宋体" w:cs="宋体"/>
          <w:bCs/>
          <w:szCs w:val="21"/>
        </w:rPr>
        <w:pict>
          <v:shape id="_x0000_i1061" o:spt="75" type="#_x0000_t75" style="height:15.5pt;width:12.5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p&gt;&lt;m:sSupPr&gt;&lt;m:ctrlPr&gt;&lt;w:rPr&gt;&lt;w:rFonts w:ascii=&quot;DejaVu Math TeX Gyre&quot; w:h-ansi=&quot;DejaVu Math TeX Gyre&quot; w:fareast=&quot;瀹嬩綋&quot; w:hint=&quot;default&quot;/&gt;&lt;w:sz w:val=&quot;21&quot;/&gt;&lt;/w:rPr&gt;&lt;/m:ctrlPr&gt;&lt;/m:sSupPr&gt;&lt;m:e&gt;&lt;m:r&gt;&lt;m:rPr&gt;&lt;m:scr m:val=&quot;roman&quot;/&gt;&lt;/m:rPr&gt;&lt;w:rPr&gt;&lt;w:rFonts w:asciip&gt;&lt;p&gt;&lt;=&quot;DejaVu Math TeX Gyre&quot; w:h-ansi=&quot;DejaVu Math TeX Gyre&quot; w:fareast=&quot;瀹嬩綋&quot; w:hint=&quot;default&quot;/&gt;&lt;w:sz w:val=&quot;21&quot;/&gt;&lt;/w:rPr&gt;&lt;m:t&gt;s&lt;/m:t&gt;&lt;/m:r&gt;&lt;m:ctrlPr&gt;&lt;w:rPr&gt;&lt;w:rFonts w:ascii=&quot;DejaVu Math TeX Gyre&quot; w:h-ansi=&quot;DejaVu Math TeX Gyre&quot; w:fareast=&quot;瀹嬩綋&quot; w:hintciip&gt;&lt;=&quot;dciip&gt;&lt;efault&quot;/&gt;&lt;w:sz w:val=&quot;21&quot;/&gt;&lt;/w:rPr&gt;&lt;/m:ctrlPr&gt;&lt;/m:e&gt;&lt;m:sup&gt;&lt;m:r&gt;&lt;m:rPr&gt;&lt;m:scr m:val=&quot;roman&quot;/&gt;&lt;/m:rPr&gt;&lt;w:rPr&gt;&lt;w:rFonts w:ascii=&quot;DejaVu Math TeX Gyre&quot; w:h-ansi=&quot;DejaVu Math TeX Gyre&quot; w:fareast=&quot;瀹嬩綋&quot; w:hint=&quot;default&quot;/&gt;&lt;w:sz w:val=&quot;21&quot;/&gt;&lt;/w:rPr&gt;&lt;mp&gt;&lt;:t&gt;鈭?/miip&gt;&lt;:t&gt;&lt;/m:r&gt;&lt;m:ctrlPr&gt;&lt;w:rPr&gt;&lt;w:rFonts w:ascii=&quot;DejaVu Math TeX Gyre&quot; w:h-ansi=&quot;DejaVu Math TeX Gyre&quot; w:fareast=&quot;瀹嬩綋&quot; w:hint=&quot;default&quot;/&gt;&lt;w:sz w:val=&quot;21&quot;/&gt;&lt;/w:rPr&gt;&lt;/m:ctrlPr&gt;&lt;/m:sup&gt;&lt;/m:sSup&gt;&lt;/m:oMath&gt;&lt;/m:oMathPara&gt;&lt;/w:p&gt;&lt;/wx:sect&gt;&lt;/w:body&gt;&lt;/wmp&gt;&lt;:wordDocumentp&gt;&lt;">
            <v:path/>
            <v:fill on="f" focussize="0,0"/>
            <v:stroke on="f" joinstyle="miter"/>
            <v:imagedata r:id="rId42" o:title=""/>
            <o:lock v:ext="edit" aspectratio="f"/>
            <w10:wrap type="none"/>
            <w10:anchorlock/>
          </v:shape>
        </w:pict>
      </w:r>
      <w:r>
        <w:rPr>
          <w:rFonts w:hint="eastAsia" w:ascii="宋体" w:hAnsi="宋体" w:cs="宋体"/>
          <w:bCs/>
          <w:szCs w:val="21"/>
        </w:rPr>
        <w:t>是演化稳定策略（ESS）当且仅当对任意突变策略</w:t>
      </w:r>
      <w:r>
        <w:rPr>
          <w:rFonts w:ascii="宋体" w:hAnsi="宋体" w:cs="宋体"/>
          <w:bCs/>
          <w:szCs w:val="21"/>
        </w:rPr>
        <w:pict>
          <v:shape id="_x0000_i1062" o:spt="75" type="#_x0000_t75" style="height:15.5pt;width:9.6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DejaVu Math TeX Gyre&quot; w:h-ansi=&quot;DejaVu Math TeX Gyre&quot; w:fareast=&quot;瀹嬩綋&quot; w:hint=&quot;default&quot;/&gt;&lt;w:sz w:val=&quot;21&quot;/&gt;&lt;/w:rPr&gt;&lt;m:t&gt;s'&lt;/m:t&gt;&lt;/m:r&gt;&lt;/m:oMath&gt;&lt;/m:oMathPara&gt;&lt;/w:p&gt;&lt;/wx:sect&gt;&lt;/w:body&gt;&lt;/w:wordDocm:rm:rument">
            <v:path/>
            <v:fill on="f" focussize="0,0"/>
            <v:stroke on="f" joinstyle="miter"/>
            <v:imagedata r:id="rId43" o:title=""/>
            <o:lock v:ext="edit" aspectratio="f"/>
            <w10:wrap type="none"/>
            <w10:anchorlock/>
          </v:shape>
        </w:pict>
      </w:r>
      <w:r>
        <w:rPr>
          <w:rFonts w:hint="eastAsia" w:ascii="宋体" w:hAnsi="宋体" w:cs="宋体"/>
          <w:bCs/>
          <w:szCs w:val="21"/>
        </w:rPr>
        <w:t>：（i）</w:t>
      </w:r>
      <w:r>
        <w:rPr>
          <w:rFonts w:ascii="宋体" w:hAnsi="宋体" w:cs="宋体"/>
          <w:bCs/>
          <w:szCs w:val="21"/>
        </w:rPr>
        <w:pict>
          <v:shape id="_x0000_i1063" o:spt="75" type="#_x0000_t75" style="height:12.55pt;width:103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DejaVu Math TeX Gyre&quot; w:h-ansi=&quot;DejaVu Math TeX Gyre&quot; w:fareast=&quot;瀹嬩綋&quot; w:hint=&quot;default&quot;/&gt;&lt;w:sz w:val=&quot;21&quot;/&gt;&lt;/w:rPr&gt;&lt;m:t&gt;u(&lt;/m:t&gt;&lt;/m:r&gt;&lt;m:sSup&gt;&lt;m:sSupPr&gt;&lt;m:ctrlPr&gt;&lt;w:rPr&gt;&lt;w:rFonts w:ascii=&quot;DejaVum:rm:r Math TeX Gyre&quot; w:h-ansi=&quot;DejaVu Math TeX Gyre&quot; w:fareast=&quot;瀹嬩綋&quot; w:hint=&quot;default&quot;/&gt;&lt;w:sz w:val=&quot;21&quot;/&gt;&lt;/w:rPr&gt;&lt;/m:ctrlPr&gt;&lt;/m:sSupPr&gt;&lt;m:e&gt;&lt;m:r&gt;&lt;m:rPr&gt;&lt;m:scr m:val=&quot;roman&quot;/&gt;&lt;/m:rPr&gt;&lt;w:rPr&gt;&lt;w:rFonts w:ascii=&quot;DejaVu Math TeX Gyre&quot; w:h-ansi=&quot;DejaVu Math Tem:rX Gm:ryre&quot; w:fareast=&quot;瀹嬩綋&quot; w:hint=&quot;default&quot;/&gt;&lt;w:sz w:val=&quot;21&quot;/&gt;&lt;/w:rPr&gt;&lt;m:t&gt;s&lt;/m:t&gt;&lt;/m:r&gt;&lt;m:ctrlPr&gt;&lt;w:rPr&gt;&lt;w:rFonts w:ascii=&quot;DejaVu Math TeX Gyre&quot; w:h-ansi=&quot;DejaVu Math TeX Gyre&quot; w:fareast=&quot;瀹嬩綋&quot; w:hint=&quot;default&quot;/&gt;&lt;w:sz w:val=&quot;21&quot;/&gt;&lt;/w:rPr&gt;&lt;/m:ctrlPr Tem:r&gt;&lt;/m:eX Gm:r&gt;&lt;m:sup&gt;&lt;m:r&gt;&lt;m:rPr&gt;&lt;m:scr m:val=&quot;roman&quot;/&gt;&lt;/m:rPr&gt;&lt;w:rPr&gt;&lt;w:rFonts w:ascii=&quot;DejaVu Math TeX Gyre&quot; w:h-ansi=&quot;DejaVu Math TeX Gyre&quot; w:fareast=&quot;瀹嬩綋&quot; w:hint=&quot;default&quot;/&gt;&lt;w:sz w:val=&quot;21&quot;/&gt;&lt;/w:rPr&gt;&lt;m:t&gt;鈭?/m:t&gt;&lt;/m:r&gt;&lt;m:ctrlPr&gt;&lt;w:rPr&gt;&lt;w:rFonts w:asem:rcii=&quot;DejaVu Gm:r Math TeX Gyre&quot; w:h-ansi=&quot;DejaVu Math TeX Gyre&quot; w:fareast=&quot;瀹嬩綋&quot; w:hint=&quot;default&quot;/&gt;&lt;w:sz w:val=&quot;21&quot;/&gt;&lt;/w:rPr&gt;&lt;/m:ctrlPr&gt;&lt;/m:sup&gt;&lt;/m:sSup&gt;&lt;m:r&gt;&lt;m:rPr&gt;&lt;m:scr m:val=&quot;roman&quot;/&gt;&lt;/m:rPr&gt;&lt;w:rPr&gt;&lt;w:rFonts w:ascii=&quot;DejaVu Math TeX Gyre&quot; w:h-ansi=&quot;m:rDejaVu Math TeX m:rGyre&quot; w:fareast=&quot;瀹嬩綋&quot; w:hint=&quot;default&quot;/&gt;&lt;w:sz w:val=&quot;21&quot;/&gt;&lt;/w:rPr&gt;&lt;m:t&gt;,&lt;/m:t&gt;&lt;/m:r&gt;&lt;m:sSup&gt;&lt;m:sSupPr&gt;&lt;m:ctrlPr&gt;&lt;w:rPr&gt;&lt;w:rFonts w:ascii=&quot;DejaVu Math TeX Gyre&quot; w:h-ansi=&quot;DejaVu Math TeX Gyre&quot; w:fareast=&quot;瀹嬩綋&quot; w:hint=&quot;default&quot;/&gt;&lt;w:si=&quot;m:rz w:val=&quot;21&quot;/&gt;&lt;/w:reX m:rPr&gt;&lt;/m:ctrlPr&gt;&lt;/m:sSupPr&gt;&lt;m:e&gt;&lt;m:r&gt;&lt;m:rPr&gt;&lt;m:scr m:val=&quot;roman&quot;/&gt;&lt;/m:rPr&gt;&lt;w:rPr&gt;&lt;w:rFonts w:ascii=&quot;DejaVu Math TeX Gyre&quot; w:h-ansi=&quot;DejaVu Math TeX Gyre&quot; w:fareast=&quot;瀹嬩綋&quot; w:hint=&quot;default&quot;/&gt;&lt;w:sz w:val=&quot;21&quot;/&gt;&lt;/w:rPr&gt;&lt;m:t&gt;s&lt;/m:t&gt;&lt;/mm:r:r&gt;&lt;m:ctrlPr&gt;&lt;w:rPr&gt;&lt;w:rFm:ronts w:ascii=&quot;DejaVu Math TeX Gyre&quot; w:h-ansi=&quot;DejaVu Math TeX Gyre&quot; w:fareast=&quot;瀹嬩綋&quot; w:hint=&quot;default&quot;/&gt;&lt;w:sz w:val=&quot;21&quot;/&gt;&lt;/w:rPr&gt;&lt;/m:ctrlPr&gt;&lt;/m:e&gt;&lt;m:sup&gt;&lt;m:r&gt;&lt;m:rPr&gt;&lt;m:scr m:val=&quot;roman&quot;/&gt;&lt;/m:rPr&gt;&lt;w:rPr&gt;&lt;w:rFonts w:ascii=&quot;Dejam:rVu Math TeX Gyre&quot; w:h-ansi=&quot;m:rDejaVu Math TeX Gyre&quot; w:fareast=&quot;瀹嬩綋&quot; w:hint=&quot;default&quot;/&gt;&lt;w:sz w:val=&quot;21&quot;/&gt;&lt;/w:rPr&gt;&lt;m:t&gt;鈭?/m:t&gt;&lt;/m:r&gt;&lt;m:ctrlPr&gt;&lt;w:rPr&gt;&lt;w:rFonts w:ascii=&quot;DejaVu Math TeX Gyre&quot; w:h-ansi=&quot;DejaVu Math TeX Gyre&quot; w:fareast=&quot;瀹嬩綋&quot; w:hint=&quot;defDejam:rault&quot;/&gt;&lt;w:sz w:val=&quot;21&quot;/&gt;&lt;/w:rnsi=&quot;m:rPr&gt;&lt;/m:ctrlPr&gt;&lt;/m:sup&gt;&lt;/m:sSup&gt;&lt;m:r&gt;&lt;m:rPr&gt;&lt;m:scr m:val=&quot;roman&quot;/&gt;&lt;/m:rPr&gt;&lt;w:rPr&gt;&lt;w:rFonts w:ascii=&quot;DejaVu Math TeX Gyre&quot; w:h-ansi=&quot;DejaVu Math TeX Gyre&quot; w:fareast=&quot;瀹嬩綋&quot; w:hint=&quot;default&quot;/&gt;&lt;w:sz w:val=&quot;21&quot;/&gt;&lt;/w:rPr&gt;&lt;m:rm:t&gt;)鈮(s',&lt;/m:t&gt;&lt;/m:r&gt;&lt;m:sSup&gt;&lt;m:sS=&quot;m:rupPr&gt;&lt;m:ctrlPr&gt;&lt;w:rPr&gt;&lt;w:rFonts w:ascii=&quot;DejaVu Math TeX Gyre&quot; w:h-ansi=&quot;DejaVu Math TeX Gyre&quot; w:fareast=&quot;瀹嬩綋&quot; w:hint=&quot;default&quot;/&gt;&lt;w:sz w:val=&quot;21&quot;/&gt;&lt;/w:rPr&gt;&lt;/m:ctrlPr&gt;&lt;/m:sSupPr&gt;&lt;m:e&gt;&lt;m:r&gt;&lt;m:rPr&gt;&lt;m:scr m:val=&quot;r&gt;&lt;m:roman&quot;/&gt;&lt;/m:rPr&gt;&lt;w:rPr&gt;&lt;w:rFonts w:ascii=&quot;Dem:rjaVu Math TeX Gyre&quot; w:h-ansi=&quot;DejaVu Math TeX Gyre&quot; w:fareast=&quot;瀹嬩綋&quot; w:hint=&quot;default&quot;/&gt;&lt;w:sz w:val=&quot;21&quot;/&gt;&lt;/w:rPr&gt;&lt;m:t&gt;s&lt;/m:t&gt;&lt;/m:r&gt;&lt;m:ctrlPr&gt;&lt;w:rPr&gt;&lt;w:rFonts w:ascii=&quot;DejaVu Math TeX Gyre&quot; w:h-ansi=&quot;DejaVu Mm:rath TeX Gyre&quot; w:fareast=&quot;瀹嬩綋&quot; w:hint=&quot;defau&quot;Dem:rlt&quot;/&gt;&lt;w:sz w:val=&quot;21&quot;/&gt;&lt;/w:rPr&gt;&lt;/m:ctrlPr&gt;&lt;/m:e&gt;&lt;m:sup&gt;&lt;m:r&gt;&lt;m:rPr&gt;&lt;m:scr m:val=&quot;roman&quot;/&gt;&lt;/m:rPr&gt;&lt;w:rPr&gt;&lt;w:rFonts w:ascii=&quot;DejaVu Math TeX Gyre&quot; w:h-ansi=&quot;DejaVu Math TeX Gyre&quot; w:fareast=&quot;瀹嬩綋&quot; w:hint=u Mm:r&quot;default&quot;/&gt;&lt;w:sz w:val=&quot;21&quot;/&gt;&lt;/w:rPr&gt;&lt;m:t&gt;鈭?/m:t&gt;&lt;Dem:r/m:r&gt;&lt;m:ctrlPr&gt;&lt;w:rPr&gt;&lt;w:rFonts w:ascii=&quot;DejaVu Math TeX Gyre&quot; w:h-ansi=&quot;DejaVu Math TeX Gyre&quot; w:fareast=&quot;瀹嬩綋&quot; w:hint=&quot;default&quot;/&gt;&lt;w:sz w:val=&quot;21&quot;/&gt;&lt;/w:rPr&gt;&lt;/m:ctrlPr&gt;&lt;/m:sup&gt;&lt;/m:sSup&gt;&lt;m:r&gt;&lt;m:rPr&gt;&lt;Mm:rm:scr m:val=&quot;roman&quot;/&gt;&lt;/m:rPr&gt;&lt;w:rPr&gt;&lt;w:rFonts w:ascii=&quot;Dm:rejaVu Math TeX Gyre&quot; w:h-ansi=&quot;DejaVu Math TeX Gyre&quot; w:fareast=&quot;瀹嬩綋&quot; w:hint=&quot;default&quot;/&gt;&lt;w:sz w:val=&quot;21&quot;/&gt;&lt;/w:rPr&gt;&lt;m:t&gt;)&lt;/m:t&gt;&lt;/m:r&gt;&lt;/m:oMath&gt;&lt;/m:oMathPara&gt;&lt;/w:p&gt;&lt;/wx:sect&gt;&lt;/w:body&gt;&lt;/w:wordDocumm:rentm:s">
            <v:path/>
            <v:fill on="f" focussize="0,0"/>
            <v:stroke on="f" joinstyle="miter"/>
            <v:imagedata r:id="rId44" o:title=""/>
            <o:lock v:ext="edit" aspectratio="f"/>
            <w10:wrap type="none"/>
            <w10:anchorlock/>
          </v:shape>
        </w:pict>
      </w:r>
      <w:r>
        <w:rPr>
          <w:rFonts w:hint="eastAsia" w:ascii="宋体" w:hAnsi="宋体" w:cs="宋体"/>
          <w:bCs/>
          <w:szCs w:val="21"/>
        </w:rPr>
        <w:t>；（ii）若等号成立，则</w:t>
      </w:r>
      <w:r>
        <w:rPr>
          <w:rFonts w:hAnsi="DejaVu Math TeX Gyre"/>
        </w:rPr>
        <w:pict>
          <v:shape id="_x0000_i1064" o:spt="75" type="#_x0000_t75" style="height:15.5pt;width:97.1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DejaVu Math TeX Gyre&quot; w:h-ansi=&quot;DejaVu Math TeX Gyre&quot; w:fareast=&quot;瀹嬩綋&quot; w:hint=&quot;default&quot;/&gt;&lt;w:sz w:val=&quot;21&quot;/&gt;&lt;/w:rPr&gt;&lt;m:t&gt;u(&lt;/m:t&gt;&lt;/m:r&gt;&lt;m:sSup&gt;&lt;m:sSupPr&gt;&lt;m:ctrlPr&gt;&lt;w:rPr&gt;&lt;w:rFonts w:ascii=&quot;DejaVum:rm:r Math TeX Gyre&quot; w:h-ansi=&quot;DejaVu Math TeX Gyre&quot; w:fareast=&quot;瀹嬩綋&quot; w:hint=&quot;default&quot;/&gt;&lt;w:sz w:val=&quot;21&quot;/&gt;&lt;/w:rPr&gt;&lt;/m:ctrlPr&gt;&lt;/m:sSupPr&gt;&lt;m:e&gt;&lt;m:r&gt;&lt;m:rPr&gt;&lt;m:scr m:val=&quot;roman&quot;/&gt;&lt;/m:rPr&gt;&lt;w:rPr&gt;&lt;w:rFonts w:ascii=&quot;DejaVu Math TeX Gyre&quot; w:h-ansi=&quot;DejaVu Math Tem:rX Gm:ryre&quot; w:fareast=&quot;瀹嬩綋&quot; w:hint=&quot;default&quot;/&gt;&lt;w:sz w:val=&quot;21&quot;/&gt;&lt;/w:rPr&gt;&lt;m:t&gt;s&lt;/m:t&gt;&lt;/m:r&gt;&lt;m:ctrlPr&gt;&lt;w:rPr&gt;&lt;w:rFonts w:ascii=&quot;DejaVu Math TeX Gyre&quot; w:h-ansi=&quot;DejaVu Math TeX Gyre&quot; w:fareast=&quot;瀹嬩綋&quot; w:hint=&quot;default&quot;/&gt;&lt;w:sz w:val=&quot;21&quot;/&gt;&lt;/w:rPr&gt;&lt;/m:ctrlPr Tem:r&gt;&lt;/m:eX Gm:r&gt;&lt;m:sup&gt;&lt;m:r&gt;&lt;m:rPr&gt;&lt;m:scr m:val=&quot;roman&quot;/&gt;&lt;/m:rPr&gt;&lt;w:rPr&gt;&lt;w:rFonts w:ascii=&quot;DejaVu Math TeX Gyre&quot; w:h-ansi=&quot;DejaVu Math TeX Gyre&quot; w:fareast=&quot;瀹嬩綋&quot; w:hint=&quot;default&quot;/&gt;&lt;w:sz w:val=&quot;21&quot;/&gt;&lt;/w:rPr&gt;&lt;m:t&gt;鈭?/m:t&gt;&lt;/m:r&gt;&lt;m:ctrlPr&gt;&lt;w:rPr&gt;&lt;w:rFonts w:asem:rcii=&quot;DejaVu Gm:r Math TeX Gyre&quot; w:h-ansi=&quot;DejaVu Math TeX Gyre&quot; w:fareast=&quot;瀹嬩綋&quot; w:hint=&quot;default&quot;/&gt;&lt;w:sz w:val=&quot;21&quot;/&gt;&lt;/w:rPr&gt;&lt;/m:ctrlPr&gt;&lt;/m:sup&gt;&lt;/m:sSup&gt;&lt;m:r&gt;&lt;m:rPr&gt;&lt;m:scr m:val=&quot;roman&quot;/&gt;&lt;/m:rPr&gt;&lt;w:rPr&gt;&lt;w:rFonts w:ascii=&quot;DejaVu Math TeX Gyre&quot; w:h-ansi=&quot;m:rDejaVu Math TeX m:rGyre&quot; w:fareast=&quot;瀹嬩綋&quot; w:hint=&quot;default&quot;/&gt;&lt;w:sz w:val=&quot;21&quot;/&gt;&lt;/w:rPr&gt;&lt;m:t&gt;,s')&amp;gt;u(s',s')&lt;/m:t&gt;&lt;/m:r&gt;&lt;/m:oMath&gt;&lt;/m:oMathPara&gt;&lt;/w:p&gt;&lt;/wx:sect&gt;&lt;/w:body&gt;&lt;/w:wordDocumentman&lt;/m">
            <v:path/>
            <v:fill on="f" focussize="0,0"/>
            <v:stroke on="f" joinstyle="miter"/>
            <v:imagedata r:id="rId45" o:title=""/>
            <o:lock v:ext="edit" aspectratio="f"/>
            <w10:wrap type="none"/>
            <w10:anchorlock/>
          </v:shape>
        </w:pict>
      </w:r>
      <w:r>
        <w:rPr>
          <w:rFonts w:hint="eastAsia" w:ascii="宋体" w:hAnsi="宋体" w:cs="宋体"/>
          <w:bCs/>
          <w:szCs w:val="21"/>
        </w:rPr>
        <w:t>。ESS的存在性保证了均衡在群体环境中对微小扰动的鲁棒性。</w:t>
      </w:r>
    </w:p>
    <w:p w14:paraId="3F9D6E2F">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若步骤二的核心实验发现SPNE均衡点与步骤三的ESS不动点一致，则表明序贯均衡不仅在个体理性层面最优，而且在群体演化层面具有鲁棒性——这将为SPNE在法律AI中的应用提供从微观到宏观的双层理论支撑。需明确的是，本研究中的“演化动态”由复制者动态方程驱动，是基于经验收益矩阵的确定性数学模拟，而非LLM智能体在无约束交互中自发涌现的行为。</w:t>
      </w:r>
    </w:p>
    <w:p w14:paraId="1598E867">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上述三步框架形成方法论闭环：步骤一的收益矩阵同时服务于步骤二（构建博弈树终端收益）和步骤三（演化适应度矩阵），步骤二的SPNE均衡结论由步骤三在群体层面进行稳定性检验。</w:t>
      </w:r>
    </w:p>
    <w:p w14:paraId="26187D67">
      <w:pPr>
        <w:numPr>
          <w:ilvl w:val="0"/>
          <w:numId w:val="5"/>
        </w:numPr>
        <w:wordWrap w:val="0"/>
        <w:spacing w:line="360" w:lineRule="exact"/>
        <w:ind w:right="-57"/>
        <w:outlineLvl w:val="1"/>
        <w:rPr>
          <w:rFonts w:hint="eastAsia" w:ascii="宋体" w:hAnsi="宋体" w:cs="宋体"/>
          <w:bCs/>
          <w:szCs w:val="21"/>
        </w:rPr>
      </w:pPr>
      <w:r>
        <w:rPr>
          <w:rFonts w:hint="eastAsia" w:ascii="宋体" w:hAnsi="宋体" w:cs="宋体"/>
          <w:bCs/>
          <w:szCs w:val="21"/>
        </w:rPr>
        <w:t>实验方案</w:t>
      </w:r>
    </w:p>
    <w:p w14:paraId="148FA4EC">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本研究围绕核心科学问题设计两步实验，在100条测试案件（覆盖民间借贷、交通事故、劳动争议三类案由，选取依据为它们在事实争议与法律适用复杂性上具有梯度差异）上系统验证。</w:t>
      </w:r>
    </w:p>
    <w:p w14:paraId="65B6B6AB">
      <w:pPr>
        <w:wordWrap w:val="0"/>
        <w:spacing w:line="360" w:lineRule="exact"/>
        <w:ind w:right="-57"/>
        <w:outlineLvl w:val="1"/>
        <w:rPr>
          <w:rFonts w:hint="eastAsia" w:ascii="宋体" w:hAnsi="宋体" w:cs="宋体"/>
          <w:bCs/>
          <w:szCs w:val="21"/>
        </w:rPr>
      </w:pPr>
      <w:r>
        <w:rPr>
          <w:rFonts w:hint="eastAsia" w:ascii="宋体" w:hAnsi="宋体" w:cs="宋体"/>
          <w:bCs/>
          <w:szCs w:val="21"/>
        </w:rPr>
        <w:t>（1）步骤一实验：SPNE vs NE对照实验（核心实验）</w:t>
      </w:r>
    </w:p>
    <w:p w14:paraId="2D8A9C28">
      <w:pPr>
        <w:wordWrap w:val="0"/>
        <w:spacing w:line="360" w:lineRule="auto"/>
        <w:ind w:right="-57"/>
        <w:outlineLvl w:val="1"/>
        <w:rPr>
          <w:rFonts w:hint="eastAsia" w:ascii="宋体" w:hAnsi="宋体" w:cs="宋体"/>
          <w:bCs/>
          <w:szCs w:val="21"/>
        </w:rPr>
      </w:pPr>
      <w:r>
        <w:rPr>
          <w:rFonts w:ascii="宋体" w:hAnsi="宋体" w:cs="宋体"/>
          <w:bCs/>
          <w:szCs w:val="21"/>
        </w:rPr>
        <w:pict>
          <v:shape id="_x0000_i1065" o:spt="75" alt="图5_预期实验结果示意" type="#_x0000_t75" style="height:134.35pt;width:464.25pt;" filled="f" o:preferrelative="t" stroked="f" coordsize="21600,21600">
            <v:path/>
            <v:fill on="f" focussize="0,0"/>
            <v:stroke on="f" joinstyle="miter"/>
            <v:imagedata r:id="rId46" cropright="435f" cropbottom="5786f" o:title="图5_预期实验结果示意"/>
            <o:lock v:ext="edit" aspectratio="t"/>
            <w10:wrap type="none"/>
            <w10:anchorlock/>
          </v:shape>
        </w:pict>
      </w:r>
    </w:p>
    <w:p w14:paraId="399582CC">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图6 预期实验结果示意</w:t>
      </w:r>
    </w:p>
    <w:p w14:paraId="37C7A4E6">
      <w:pPr>
        <w:numPr>
          <w:ilvl w:val="0"/>
          <w:numId w:val="7"/>
        </w:num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SPNE与NE在不同案由类型上的策略对照——SPNE在序贯依赖较强的案由（如民间借贷）上预测精度显著优于NE；(b) 复制者动态下五种TKI策略的种群比例演化轨迹——合作型策略收敛为ESS，与SPNE均衡一致。</w:t>
      </w:r>
    </w:p>
    <w:p w14:paraId="010DEEC4">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对5×5 TKI策略组合（竞争型、合作型、妥协型、回避型、迁就型）运行CD→DD→CI全流程模拟，获得25个终端收益，构建经验收益矩阵。在此基础上：第一，将CD→DD过程建模为扩展式博弈树，通过反向归纳法（公式(1)(2)）求解SPNE；第二，在正规形式下求解NE；第三，运行博弈锦标赛——每轮运行完整管道后更新收益矩阵，双方策略通过LLM反思、最佳响应和虚拟博弈三种机制独立进化，直至收敛（近W=3轮均处于均衡状态），获取LLM智能体的实际收敛策略。按案由分组比较SPNE预测、NE预测与实际收敛策略的一致性。</w:t>
      </w:r>
    </w:p>
    <w:p w14:paraId="0E8D7533">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核心评测指标包括两项：</w:t>
      </w:r>
    </w:p>
    <w:p w14:paraId="63D5EE82">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策略理性度（Strategy Rationality, SR）定义为智能体策略选择与理论最优响应的一致率，</w:t>
      </w:r>
      <w:r>
        <w:rPr>
          <w:rFonts w:ascii="宋体" w:hAnsi="宋体" w:cs="宋体"/>
          <w:bCs/>
          <w:szCs w:val="21"/>
        </w:rPr>
        <w:pict>
          <v:shape id="_x0000_i1066" o:spt="75" type="#_x0000_t75" style="height:36pt;width:124.35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dit=&quot;forms&quot;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cr m:val=&quot;roman&quot;/&gt;&lt;/m:rPr&gt;&lt;w:rPr&gt;&lt;w:rFonts w:ascii=&quot;Cambria Math&quot; w:h-ansi=&quot;Cambria Math&quot; w:fareast=&quot;Cambria Math&quot; w:cs=&quot;Cambria Math&quot; w:hint=&quot;default&quot;/&gt;&lt;/w:rPr&gt;&lt;m:t&gt;SR=&lt;/m:t&gt;&lt;/m:r&gt;&lt;m:f&gt;&lt;m:fPr/&gt;&lt;m:num&gt;&lt;m:r&gt;&lt;m:rPr&gt;&lt;m:scr m:val=&quot;roman&quot;/&gt;&lt;/m:rPr&gt;&lt;w:rPr&gt;&lt;w:rFonts w:ascii=&quot;Cambria Math&quot; w:h-ansi=&quot;Cambria Math&quot; w:fareast=&quot;Cambria Math&quot; w:cs=&quot;Cambria Math&quot; w:hint=&quot;default&quot;/&gt;&lt;/w:rPr&gt;&lt;m:t&gt;1&lt;/m:t&gt;&lt;/m:r&gt;&lt;/m:num&gt;&lt;m:den&gt;&lt;m:r&gt;&lt;m:rPr&gt;&lt;m:scr m:val=&quot;roman&quot;/&gt;&lt;/m:rPr&gt;&lt;w:rPr&gt;&lt;w:rFonts w:ascii=&quot;Cambria Math&quot; w:h-ansi=&quot;Cambria Math&quot; w:fareast=&quot;Cambria Math&quot; w:cs=&quot;Cambria Math&quot; w:hint=&quot;default&quot;/&gt;&lt;/w:rPr&gt;&lt;m:t&gt;T&lt;/m:t&gt;&lt;/m:r&gt;&lt;/m:den&gt;&lt;/m:f&gt;&lt;m:nary&gt;&lt;m:naryPr&gt;&lt;m:chr m:val=&quot;鈭?/&gt;&lt;/m:naryPr&gt;&lt;m:sub&gt;&lt;m:r&gt;&lt;m:rPr&gt;&lt;m:scr m:val=&quot;roman&quot;/&gt;&lt;/m:rPr&gt;&lt;w:rPr&gt;&lt;w:rFonts w:ascii=&quot;Cambria Math&quot; =&quot;&quot;w:h-ansi=&quot;Cambria Math&quot; w:fareast=&quot;Cambria Math&quot; w:cs=&quot;Cambria Math&quot; w:hint=&quot;default&quot;/&gt;&lt;/w:rPr&gt;&lt;m:t&gt;t=1&lt;/m:t&gt;&lt;/m:r&gt;&lt;/m:sub&gt;&lt;m:sup&gt;&lt;m:r&gt;&lt;m:rPr&gt;&lt;m:scr m:val=&quot;roman&quot;/&gt;&lt;/m:rPr&gt;&lt;w:rPr&gt;&lt;w:rFonts w:ascii=&quot;Cambria Math&quot; w:h-ansi=&quot;Cambria Math&quot; w:fareast=&quot;Cambria Math&quot; w:cs=&quot;Cambria Math&quot; w:hint=&quot;default&quot;/&gt;&lt;/w:rPr&gt;&lt;m:t&gt;T&lt;/m:t&gt;&lt;/m:r&gt;&lt;/m:sup&gt;&lt;m:e&gt;&lt;m:r&gt;&lt;m:rPr&gt;&lt;m:scr m:val=&quot;roman&quot;/&gt;&lt;/m:rPr&gt;&lt;w:rPr&gt;&lt;w:rFonts w:ascii=&quot;Cambria Math&quot; w:h-ansi=&quot;Cambria Math&quot; w:fareast=&quot;Cambria Math&quot; w:cs=&quot;Cambria Math&quot; w:hint=&quot;default&quot;/&gt;&lt;/w:rPr&gt;&lt;m:t&gt;1&lt;/m:t&gt;&lt;/m:r&gt;&lt;/m:e&gt;&lt;/m:nary&gt;&lt;m:r&gt;&lt;m:rPr&gt;&lt;m:scr m:val=&quot;roman&quot;/&gt;&lt;/m:rPr&gt;&lt;w:rPr&gt;&lt;w:rFonts w:ascii=&quot;Cambria Math&quot; w:h-ansi=&quot;Cambria Math&quot; w:fareast=&quot;Cambria Math&quot; w:cs=&quot;Cambria Math&quot; w:hint=&quot;default&quot;/&gt;&lt;/w:rPr&gt;&lt;m:t&gt;[&lt;/m:t&gt;&lt;/m:r&gt;&lt;m:sSub&gt;&lt;m:sSubPr/&gt;&lt;m:e&gt;&lt;m:r&gt;&lt;m:rPr&gt;&lt;m:scr m:val=&quot;roman&quot;/&gt;&lt;/m:rPr&gt;&lt;w:rPr&gt;&lt;w:rFonts w:ascii=&quot;Cambria Math&quot; w:h-ansi=&quot;Cambria Math&quot; w:fareast=&quot;Cambria Math&quot; w:cs=&quot;Cambria Math&quot; w:hint=&quot;default&quot;/&gt;&lt;/w:rPr&gt;&lt;m:t&gt;a&lt;/m:t&gt;&lt;/m:r&gt;&lt;/m:e&gt;&lt;m:sub&gt;&lt;m:r&gt;&lt;m:rPr&gt;&lt;m:scr m:val=&quot;roman&quot;/&gt;&lt;/m:rPr&gt;&lt;w:rPr&gt;&lt;w:rFonts w:ascii=&quot;Cambria Math&quot; w:h-ansi=&quot;Cambria Math&quot; w:fareast=&quot;Cambria Math&quot; w:cs=&quot;Cambria Math&quot; w:hint=&quot;default&quot;/&gt;&lt;/w:rPr&gt;&lt;m:t&gt;t&lt;/m:t&gt;&lt;/m:r&gt;&lt;/m:sub&gt;&lt;/m:sSub&gt;&lt;m:r&gt;&lt;m:rPr&gt;&lt;m:scr m:val=&quot;roman&quot;/&gt;&lt;/m:rPr&gt;&lt;w:rPr&gt;&lt;w:rFonts w:ascii=&quot;Cambria Math&quot; w:h-ansi=&quot;Cambria Math&quot; w:fareast=&quot;Cambria Math&quot; w:cs=&quot;Cambria Math&quot; w:hint=&quot;default&quot;/&gt;&lt;/w:rPr&gt;&lt;m:t&gt;=BR(&lt;/m:t&gt;&lt;/m:r&gt;&lt;m:sSub&gt;&lt;m:sSubPr/&gt;&lt;m:e&gt;&lt;m:r&gt;&lt;m:rPr&gt;&lt;m:scr m:val=&quot;roman&quot;/&gt;&lt;/m:rPr&gt;&lt;w:rPr&gt;&lt;w:rFonts w:ascii=&quot;Cambria Math&quot; w:h-ansi=&quot;Cambria Math&quot; w:fareast=&quot;Cambria Math&quot; w:cs=&quot;Cambria Math&quot; w:hint=&quot;default&quot;/&gt;&lt;/w:rPr&gt;&lt;m:t&gt;a&lt;/m:t&gt;&lt;/m:r&gt;&lt;/m:e&gt;&lt;m:sub&gt;&lt;m:r&gt;&lt;m:rPr&gt;&lt;m:scr m:val=&quot;roman&quot;/&gt;&lt;/m:rPr&gt;&lt;w:rPr&gt;&lt;w:rFonts w:ascii=&quot;Cambria Math&quot; w:h-ansi=&quot;Cambria Math&quot; w:fareast=&quot;Cambria Math&quot; w:cs=&quot;Cambria Math&quot; w:hint=&quot;default&quot;/&gt;&lt;/w:rPr&gt;&lt;m:t&gt;鈭抰&lt;/m:t&gt;&lt;/m:r&gt;&lt;/m:sub&gt;&lt;/m:sSub&gt;&lt;m:r&gt;&lt;m:rPr&gt;&lt;m:scr m:val=&quot;roman&quot;/&gt;&lt;/m:rPr&gt;&lt;w:rPr&gt;&lt;w:rFonts w:ascii=&quot;Cambria Math&quot; w:h-ansi=&quot;Cambria Math&quot; w:fareast=&quot;Cambria Math&quot; w:cs=&quot;Cambria Math&quot; w:hint=&quot;default&quot;/&gt;&lt;/w:rPr&gt;&lt;m:t&gt;)]&lt;/m:t&gt;&lt;/m:r&gt;&lt;/m:oMath&gt;&lt;t&quot;/&quot;/m:oMathPara&gt;&lt;/w:p&gt;&lt;/wx:sect&gt;&lt;/w:body&gt;&lt;/w:wordDocument">
            <v:path/>
            <v:fill on="f" focussize="0,0"/>
            <v:stroke on="f" joinstyle="miter"/>
            <v:imagedata r:id="rId47" o:title=""/>
            <o:lock v:ext="edit" aspectratio="f"/>
            <w10:wrap type="none"/>
            <w10:anchorlock/>
          </v:shape>
        </w:pict>
      </w:r>
      <w:r>
        <w:rPr>
          <w:rFonts w:hint="eastAsia" w:ascii="宋体" w:hAnsi="宋体" w:cs="宋体"/>
          <w:bCs/>
          <w:szCs w:val="21"/>
        </w:rPr>
        <w:t>；</w:t>
      </w:r>
    </w:p>
    <w:p w14:paraId="56274F4F">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均衡趋近率（Equilibrium Convergence Rate, ECR）定义为策略序列在窗口W轮内处于均衡的比例</w:t>
      </w:r>
      <w:r>
        <w:rPr>
          <w:rFonts w:hint="eastAsia" w:ascii="宋体" w:hAnsi="宋体" w:cs="宋体"/>
          <w:bCs/>
          <w:szCs w:val="21"/>
          <w:lang w:eastAsia="zh-CN"/>
        </w:rPr>
        <w:t>：</w:t>
      </w:r>
      <w:bookmarkStart w:id="11" w:name="_GoBack"/>
      <w:r>
        <w:rPr>
          <w:rFonts w:hint="eastAsia" w:ascii="宋体" w:hAnsi="宋体" w:cs="宋体"/>
          <w:bCs/>
          <w:szCs w:val="21"/>
        </w:rPr>
        <w:t>ECR = \frac{1}{T - W + 1} \sum_{t=W}^{T} \mathbb{1}\bigl[\mathrm{window}(t,\, W) \subseteq \mathrm{EQ}\bigr], \quad W = 3</w:t>
      </w:r>
    </w:p>
    <w:bookmarkEnd w:id="11"/>
    <w:p w14:paraId="212BD36C">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w:t>
      </w:r>
    </w:p>
    <w:p w14:paraId="295A9E78">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两项指标均基于博弈论求解器的理论最优响应计算，为规则性确定指标，不依赖LLM评分，不存在自评循环。</w:t>
      </w:r>
    </w:p>
    <w:p w14:paraId="147E18F8">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需说明的情况是，博弈锦标赛的收敛结果并非外部ground truth，而是系统内生的行为数据。本实验的核心目的是检验序贯建模（SPNE）相对于静态建模（NE）是否提供更高的解释力和预测精度——即方法论层面的比较。后续研究将引入真实律师标注的策略偏好数据作为外部校验。</w:t>
      </w:r>
    </w:p>
    <w:p w14:paraId="44909E7C">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同时，基于AgentMediation经验数据的预备分析已提供初步线索，5×5策略空间在先验收益矩阵下存在唯一纯策略NE点（合作型, 合作型），竞争策略下基于ground truth诉请支持率的成功率仅11%、合作策略达99%（此处"成功率"以原始裁判文书标注为基准，非LLM自评），表明TKI策略对结果具有显著非线性影响。正式的SPNE求解与NE的系统性对照比较将在100条测试案件的端到端实验中完成。</w:t>
      </w:r>
    </w:p>
    <w:p w14:paraId="7B1CE451">
      <w:pPr>
        <w:wordWrap w:val="0"/>
        <w:spacing w:line="360" w:lineRule="exact"/>
        <w:ind w:right="-57"/>
        <w:outlineLvl w:val="1"/>
        <w:rPr>
          <w:rFonts w:hint="eastAsia" w:ascii="宋体" w:hAnsi="宋体" w:cs="宋体"/>
          <w:bCs/>
          <w:szCs w:val="21"/>
        </w:rPr>
      </w:pPr>
      <w:r>
        <w:rPr>
          <w:rFonts w:hint="eastAsia" w:ascii="宋体" w:hAnsi="宋体" w:cs="宋体"/>
          <w:bCs/>
          <w:szCs w:val="21"/>
        </w:rPr>
        <w:t>（2）步骤二实验：ESS稳定性验证（补充验证）</w:t>
      </w:r>
    </w:p>
    <w:p w14:paraId="1E6FFF7F">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用步骤一获得的经验收益矩阵作为演化适应度矩阵，基于复制者动态方程（公式(4)(5)）模拟策略种群演化（初始均匀分布，50代）。</w:t>
      </w:r>
    </w:p>
    <w:p w14:paraId="49A97F95">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核心验证包括三方面：（i）策略种群是否收敛到ESS不动点；（ii）该ESS不动点是否与步骤一中SPNE的均衡策略一致——若一致，则表明序贯均衡不仅在个体层面最优，而且在群体层面具有演化稳定性；（iii）收敛速度与案由类型的关系——检验不同法律领域的策略演化是否呈现差异化模式。同时计算群体策略多样性指标（Shannon熵）追踪演化过程中的策略分布变化趋势。</w:t>
      </w:r>
    </w:p>
    <w:p w14:paraId="069045CF">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此外，系统默认启用P-RAG渐进式检索增强以保障判决质量，后续可通过消融实验进一步量化其对法条召回率的边际贡献。</w:t>
      </w:r>
    </w:p>
    <w:p w14:paraId="67D2BF08">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对于收益评估中涉及的主观评测维度（如论证流畅度、说理充分性），采用3.2节所述的双路校验机制——LLM评分仅用于难以规则化的主观维度，关键因变量均设有基于ground truth或确定性规则的独立校验指标，偏差超阈值时触发人工复核。</w:t>
      </w:r>
    </w:p>
    <w:p w14:paraId="1AF795E3">
      <w:pPr>
        <w:numPr>
          <w:ilvl w:val="0"/>
          <w:numId w:val="5"/>
        </w:numPr>
        <w:wordWrap w:val="0"/>
        <w:spacing w:line="240" w:lineRule="auto"/>
        <w:ind w:right="-57"/>
        <w:outlineLvl w:val="1"/>
        <w:rPr>
          <w:rFonts w:hint="eastAsia" w:ascii="宋体" w:hAnsi="宋体" w:cs="宋体"/>
          <w:bCs/>
          <w:szCs w:val="21"/>
        </w:rPr>
      </w:pPr>
      <w:r>
        <w:rPr>
          <w:rFonts w:hint="eastAsia" w:ascii="宋体" w:hAnsi="宋体" w:cs="宋体"/>
          <w:bCs/>
          <w:szCs w:val="21"/>
        </w:rPr>
        <w:t>创新点总结</w:t>
      </w:r>
    </w:p>
    <w:p w14:paraId="273DE23C">
      <w:pPr>
        <w:wordWrap w:val="0"/>
        <w:spacing w:line="360" w:lineRule="auto"/>
        <w:ind w:right="-57"/>
        <w:outlineLvl w:val="1"/>
        <w:rPr>
          <w:rFonts w:hint="eastAsia" w:ascii="宋体" w:hAnsi="宋体" w:cs="宋体"/>
          <w:bCs/>
          <w:szCs w:val="21"/>
        </w:rPr>
      </w:pPr>
      <w:r>
        <w:rPr>
          <w:rFonts w:hint="eastAsia" w:ascii="宋体" w:hAnsi="宋体" w:cs="宋体"/>
          <w:bCs/>
          <w:szCs w:val="21"/>
        </w:rPr>
        <w:t>本研究的核心创新可归纳为以下两个方面，表1从六个维度展示了与现有代表性工作的系统性差异：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3"/>
      </w:tblGrid>
      <w:tr w14:paraId="5345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0C1CD731">
            <w:pPr>
              <w:wordWrap w:val="0"/>
              <w:spacing w:line="360" w:lineRule="auto"/>
              <w:ind w:right="-57"/>
              <w:outlineLvl w:val="1"/>
              <w:rPr>
                <w:rFonts w:hint="eastAsia" w:ascii="宋体" w:hAnsi="宋体" w:cs="宋体"/>
                <w:bCs/>
                <w:szCs w:val="21"/>
              </w:rPr>
            </w:pPr>
            <w:r>
              <w:rPr>
                <w:rFonts w:hint="eastAsia" w:ascii="宋体" w:hAnsi="宋体" w:cs="宋体"/>
                <w:bCs/>
                <w:szCs w:val="21"/>
              </w:rPr>
              <w:t>特性</w:t>
            </w:r>
          </w:p>
        </w:tc>
        <w:tc>
          <w:tcPr>
            <w:tcW w:w="2393" w:type="dxa"/>
          </w:tcPr>
          <w:p w14:paraId="4978198A">
            <w:pPr>
              <w:wordWrap w:val="0"/>
              <w:spacing w:line="360" w:lineRule="auto"/>
              <w:ind w:right="-57"/>
              <w:outlineLvl w:val="1"/>
              <w:rPr>
                <w:rFonts w:hint="eastAsia" w:ascii="宋体" w:hAnsi="宋体" w:cs="宋体"/>
                <w:bCs/>
                <w:szCs w:val="21"/>
              </w:rPr>
            </w:pPr>
            <w:r>
              <w:rPr>
                <w:rFonts w:hint="eastAsia" w:ascii="宋体" w:hAnsi="宋体" w:cs="宋体"/>
                <w:bCs/>
                <w:szCs w:val="21"/>
              </w:rPr>
              <w:t>Agent Mediation</w:t>
            </w:r>
          </w:p>
        </w:tc>
        <w:tc>
          <w:tcPr>
            <w:tcW w:w="2393" w:type="dxa"/>
          </w:tcPr>
          <w:p w14:paraId="1F789974">
            <w:pPr>
              <w:wordWrap w:val="0"/>
              <w:spacing w:line="360" w:lineRule="auto"/>
              <w:ind w:right="-57"/>
              <w:outlineLvl w:val="1"/>
              <w:rPr>
                <w:rFonts w:hint="eastAsia" w:ascii="宋体" w:hAnsi="宋体" w:cs="宋体"/>
                <w:bCs/>
                <w:szCs w:val="21"/>
              </w:rPr>
            </w:pPr>
            <w:r>
              <w:rPr>
                <w:rFonts w:hint="eastAsia" w:ascii="宋体" w:hAnsi="宋体" w:cs="宋体"/>
                <w:bCs/>
                <w:szCs w:val="21"/>
              </w:rPr>
              <w:t>J1-ENVS</w:t>
            </w:r>
          </w:p>
        </w:tc>
        <w:tc>
          <w:tcPr>
            <w:tcW w:w="2393" w:type="dxa"/>
          </w:tcPr>
          <w:p w14:paraId="70A3B434">
            <w:pPr>
              <w:wordWrap w:val="0"/>
              <w:spacing w:line="360" w:lineRule="auto"/>
              <w:ind w:right="-57"/>
              <w:outlineLvl w:val="1"/>
              <w:rPr>
                <w:rFonts w:hint="eastAsia" w:ascii="宋体" w:hAnsi="宋体" w:cs="宋体"/>
                <w:bCs/>
                <w:szCs w:val="21"/>
              </w:rPr>
            </w:pPr>
            <w:r>
              <w:rPr>
                <w:rFonts w:hint="eastAsia" w:ascii="宋体" w:hAnsi="宋体" w:cs="宋体"/>
                <w:bCs/>
                <w:szCs w:val="21"/>
              </w:rPr>
              <w:t>LegalFlow（本研究）</w:t>
            </w:r>
          </w:p>
        </w:tc>
      </w:tr>
      <w:tr w14:paraId="4A26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20631B16">
            <w:pPr>
              <w:wordWrap w:val="0"/>
              <w:spacing w:line="360" w:lineRule="auto"/>
              <w:ind w:right="-57"/>
              <w:outlineLvl w:val="1"/>
              <w:rPr>
                <w:rFonts w:hint="eastAsia" w:ascii="宋体" w:hAnsi="宋体" w:cs="宋体"/>
                <w:bCs/>
                <w:szCs w:val="21"/>
              </w:rPr>
            </w:pPr>
            <w:r>
              <w:rPr>
                <w:rFonts w:hint="eastAsia" w:ascii="宋体" w:hAnsi="宋体" w:cs="宋体"/>
                <w:bCs/>
                <w:szCs w:val="21"/>
              </w:rPr>
              <w:t>博弈模型</w:t>
            </w:r>
          </w:p>
        </w:tc>
        <w:tc>
          <w:tcPr>
            <w:tcW w:w="2393" w:type="dxa"/>
          </w:tcPr>
          <w:p w14:paraId="1512DA62">
            <w:pPr>
              <w:wordWrap w:val="0"/>
              <w:spacing w:line="360" w:lineRule="auto"/>
              <w:ind w:right="-57"/>
              <w:outlineLvl w:val="1"/>
              <w:rPr>
                <w:rFonts w:hint="eastAsia" w:ascii="宋体" w:hAnsi="宋体" w:cs="宋体"/>
                <w:bCs/>
                <w:szCs w:val="21"/>
              </w:rPr>
            </w:pPr>
            <w:r>
              <w:rPr>
                <w:rFonts w:hint="eastAsia" w:ascii="宋体" w:hAnsi="宋体" w:cs="宋体"/>
                <w:bCs/>
                <w:szCs w:val="21"/>
              </w:rPr>
              <w:t>正规形式（静态）</w:t>
            </w:r>
          </w:p>
        </w:tc>
        <w:tc>
          <w:tcPr>
            <w:tcW w:w="2393" w:type="dxa"/>
          </w:tcPr>
          <w:p w14:paraId="0F50AEB5">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254B05B6">
            <w:pPr>
              <w:wordWrap w:val="0"/>
              <w:spacing w:line="360" w:lineRule="auto"/>
              <w:ind w:right="-57"/>
              <w:outlineLvl w:val="1"/>
              <w:rPr>
                <w:rFonts w:hint="eastAsia" w:ascii="宋体" w:hAnsi="宋体" w:cs="宋体"/>
                <w:bCs/>
                <w:szCs w:val="21"/>
              </w:rPr>
            </w:pPr>
            <w:r>
              <w:rPr>
                <w:rFonts w:hint="eastAsia" w:ascii="宋体" w:hAnsi="宋体" w:cs="宋体"/>
                <w:bCs/>
                <w:szCs w:val="21"/>
              </w:rPr>
              <w:t>扩展式博弈（序贯）</w:t>
            </w:r>
          </w:p>
        </w:tc>
      </w:tr>
      <w:tr w14:paraId="7E7E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4EA6EA56">
            <w:pPr>
              <w:wordWrap w:val="0"/>
              <w:spacing w:line="360" w:lineRule="auto"/>
              <w:ind w:right="-57"/>
              <w:outlineLvl w:val="1"/>
              <w:rPr>
                <w:rFonts w:hint="eastAsia" w:ascii="宋体" w:hAnsi="宋体" w:cs="宋体"/>
                <w:bCs/>
                <w:szCs w:val="21"/>
              </w:rPr>
            </w:pPr>
            <w:r>
              <w:rPr>
                <w:rFonts w:hint="eastAsia" w:ascii="宋体" w:hAnsi="宋体" w:cs="宋体"/>
                <w:bCs/>
                <w:szCs w:val="21"/>
              </w:rPr>
              <w:t>均衡概念</w:t>
            </w:r>
          </w:p>
        </w:tc>
        <w:tc>
          <w:tcPr>
            <w:tcW w:w="2393" w:type="dxa"/>
          </w:tcPr>
          <w:p w14:paraId="7478C838">
            <w:pPr>
              <w:wordWrap w:val="0"/>
              <w:spacing w:line="360" w:lineRule="auto"/>
              <w:ind w:right="-57"/>
              <w:outlineLvl w:val="1"/>
              <w:rPr>
                <w:rFonts w:hint="eastAsia" w:ascii="宋体" w:hAnsi="宋体" w:cs="宋体"/>
                <w:bCs/>
                <w:szCs w:val="21"/>
              </w:rPr>
            </w:pPr>
            <w:r>
              <w:rPr>
                <w:rFonts w:hint="eastAsia" w:ascii="宋体" w:hAnsi="宋体" w:cs="宋体"/>
                <w:bCs/>
                <w:szCs w:val="21"/>
              </w:rPr>
              <w:t>NE（事后分析）</w:t>
            </w:r>
          </w:p>
        </w:tc>
        <w:tc>
          <w:tcPr>
            <w:tcW w:w="2393" w:type="dxa"/>
          </w:tcPr>
          <w:p w14:paraId="58A60A86">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74EE8C05">
            <w:pPr>
              <w:wordWrap w:val="0"/>
              <w:spacing w:line="360" w:lineRule="auto"/>
              <w:ind w:right="-57"/>
              <w:outlineLvl w:val="1"/>
              <w:rPr>
                <w:rFonts w:hint="eastAsia" w:ascii="宋体" w:hAnsi="宋体" w:cs="宋体"/>
                <w:bCs/>
                <w:szCs w:val="21"/>
              </w:rPr>
            </w:pPr>
            <w:r>
              <w:rPr>
                <w:rFonts w:hint="eastAsia" w:ascii="宋体" w:hAnsi="宋体" w:cs="宋体"/>
                <w:bCs/>
                <w:szCs w:val="21"/>
              </w:rPr>
              <w:t>SPNE + ESS验证</w:t>
            </w:r>
          </w:p>
        </w:tc>
      </w:tr>
      <w:tr w14:paraId="3555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9906502">
            <w:pPr>
              <w:wordWrap w:val="0"/>
              <w:spacing w:line="360" w:lineRule="auto"/>
              <w:ind w:right="-57"/>
              <w:outlineLvl w:val="1"/>
              <w:rPr>
                <w:rFonts w:hint="eastAsia" w:ascii="宋体" w:hAnsi="宋体" w:cs="宋体"/>
                <w:bCs/>
                <w:szCs w:val="21"/>
              </w:rPr>
            </w:pPr>
            <w:r>
              <w:rPr>
                <w:rFonts w:hint="eastAsia" w:ascii="宋体" w:hAnsi="宋体" w:cs="宋体"/>
                <w:bCs/>
                <w:szCs w:val="21"/>
              </w:rPr>
              <w:t>策略进化</w:t>
            </w:r>
          </w:p>
        </w:tc>
        <w:tc>
          <w:tcPr>
            <w:tcW w:w="2393" w:type="dxa"/>
          </w:tcPr>
          <w:p w14:paraId="137FE9DA">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2D3B07CB">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4CA6C80B">
            <w:pPr>
              <w:wordWrap w:val="0"/>
              <w:spacing w:line="360" w:lineRule="auto"/>
              <w:ind w:right="-57"/>
              <w:outlineLvl w:val="1"/>
              <w:rPr>
                <w:rFonts w:hint="eastAsia" w:ascii="宋体" w:hAnsi="宋体" w:cs="宋体"/>
                <w:bCs/>
                <w:szCs w:val="21"/>
              </w:rPr>
            </w:pPr>
            <w:r>
              <w:rPr>
                <w:rFonts w:hint="eastAsia" w:ascii="宋体" w:hAnsi="宋体" w:cs="宋体"/>
                <w:bCs/>
                <w:szCs w:val="21"/>
              </w:rPr>
              <w:t>锦标赛 + LLM反思</w:t>
            </w:r>
          </w:p>
        </w:tc>
      </w:tr>
      <w:tr w14:paraId="4847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1F5BE91D">
            <w:pPr>
              <w:wordWrap w:val="0"/>
              <w:spacing w:line="360" w:lineRule="auto"/>
              <w:ind w:right="-57"/>
              <w:outlineLvl w:val="1"/>
              <w:rPr>
                <w:rFonts w:hint="eastAsia" w:ascii="宋体" w:hAnsi="宋体" w:cs="宋体"/>
                <w:bCs/>
                <w:szCs w:val="21"/>
              </w:rPr>
            </w:pPr>
            <w:r>
              <w:rPr>
                <w:rFonts w:hint="eastAsia" w:ascii="宋体" w:hAnsi="宋体" w:cs="宋体"/>
                <w:bCs/>
                <w:szCs w:val="21"/>
              </w:rPr>
              <w:t>全流程诉讼</w:t>
            </w:r>
          </w:p>
        </w:tc>
        <w:tc>
          <w:tcPr>
            <w:tcW w:w="2393" w:type="dxa"/>
          </w:tcPr>
          <w:p w14:paraId="240AC76B">
            <w:pPr>
              <w:wordWrap w:val="0"/>
              <w:spacing w:line="360" w:lineRule="auto"/>
              <w:ind w:right="-57"/>
              <w:outlineLvl w:val="1"/>
              <w:rPr>
                <w:rFonts w:hint="eastAsia" w:ascii="宋体" w:hAnsi="宋体" w:cs="宋体"/>
                <w:bCs/>
                <w:szCs w:val="21"/>
              </w:rPr>
            </w:pPr>
            <w:r>
              <w:rPr>
                <w:rFonts w:hint="eastAsia" w:ascii="宋体" w:hAnsi="宋体" w:cs="宋体"/>
                <w:bCs/>
                <w:szCs w:val="21"/>
              </w:rPr>
              <w:t>调解</w:t>
            </w:r>
          </w:p>
        </w:tc>
        <w:tc>
          <w:tcPr>
            <w:tcW w:w="2393" w:type="dxa"/>
          </w:tcPr>
          <w:p w14:paraId="4C910B18">
            <w:pPr>
              <w:wordWrap w:val="0"/>
              <w:spacing w:line="360" w:lineRule="auto"/>
              <w:ind w:right="-57"/>
              <w:outlineLvl w:val="1"/>
              <w:rPr>
                <w:rFonts w:hint="eastAsia" w:ascii="宋体" w:hAnsi="宋体" w:cs="宋体"/>
                <w:bCs/>
                <w:szCs w:val="21"/>
              </w:rPr>
            </w:pPr>
            <w:r>
              <w:rPr>
                <w:rFonts w:hint="eastAsia" w:ascii="宋体" w:hAnsi="宋体" w:cs="宋体"/>
                <w:bCs/>
                <w:szCs w:val="21"/>
              </w:rPr>
              <w:t>独立环境</w:t>
            </w:r>
          </w:p>
        </w:tc>
        <w:tc>
          <w:tcPr>
            <w:tcW w:w="2393" w:type="dxa"/>
          </w:tcPr>
          <w:p w14:paraId="73636C89">
            <w:pPr>
              <w:wordWrap w:val="0"/>
              <w:spacing w:line="360" w:lineRule="auto"/>
              <w:ind w:right="-57"/>
              <w:outlineLvl w:val="1"/>
              <w:rPr>
                <w:rFonts w:hint="eastAsia" w:ascii="宋体" w:hAnsi="宋体" w:cs="宋体"/>
                <w:bCs/>
                <w:szCs w:val="21"/>
              </w:rPr>
            </w:pPr>
            <w:r>
              <w:rPr>
                <w:rFonts w:hint="eastAsia" w:ascii="宋体" w:hAnsi="宋体" w:cs="宋体"/>
                <w:bCs/>
                <w:szCs w:val="21"/>
              </w:rPr>
              <w:t>CD→DD→CI完整管道</w:t>
            </w:r>
          </w:p>
        </w:tc>
      </w:tr>
      <w:tr w14:paraId="03BD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0202928E">
            <w:pPr>
              <w:wordWrap w:val="0"/>
              <w:spacing w:line="360" w:lineRule="auto"/>
              <w:ind w:right="-57"/>
              <w:outlineLvl w:val="1"/>
              <w:rPr>
                <w:rFonts w:hint="eastAsia" w:ascii="宋体" w:hAnsi="宋体" w:cs="宋体"/>
                <w:bCs/>
                <w:szCs w:val="21"/>
              </w:rPr>
            </w:pPr>
            <w:r>
              <w:rPr>
                <w:rFonts w:hint="eastAsia" w:ascii="宋体" w:hAnsi="宋体" w:cs="宋体"/>
                <w:bCs/>
                <w:szCs w:val="21"/>
              </w:rPr>
              <w:t>检索增强</w:t>
            </w:r>
          </w:p>
        </w:tc>
        <w:tc>
          <w:tcPr>
            <w:tcW w:w="2393" w:type="dxa"/>
          </w:tcPr>
          <w:p w14:paraId="37BD0DAE">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6AC2999D">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468BFEDE">
            <w:pPr>
              <w:wordWrap w:val="0"/>
              <w:spacing w:line="360" w:lineRule="auto"/>
              <w:ind w:right="-57"/>
              <w:outlineLvl w:val="1"/>
              <w:rPr>
                <w:rFonts w:hint="eastAsia" w:ascii="宋体" w:hAnsi="宋体" w:cs="宋体"/>
                <w:bCs/>
                <w:szCs w:val="21"/>
              </w:rPr>
            </w:pPr>
            <w:r>
              <w:rPr>
                <w:rFonts w:hint="eastAsia" w:ascii="宋体" w:hAnsi="宋体" w:cs="宋体"/>
                <w:bCs/>
                <w:szCs w:val="21"/>
              </w:rPr>
              <w:t>P-RAG渐进式检索</w:t>
            </w:r>
          </w:p>
        </w:tc>
      </w:tr>
      <w:tr w14:paraId="365E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11609CA2">
            <w:pPr>
              <w:wordWrap w:val="0"/>
              <w:spacing w:line="360" w:lineRule="auto"/>
              <w:ind w:right="-57"/>
              <w:outlineLvl w:val="1"/>
              <w:rPr>
                <w:rFonts w:hint="eastAsia" w:ascii="宋体" w:hAnsi="宋体" w:cs="宋体"/>
                <w:bCs/>
                <w:szCs w:val="21"/>
              </w:rPr>
            </w:pPr>
            <w:r>
              <w:rPr>
                <w:rFonts w:hint="eastAsia" w:ascii="宋体" w:hAnsi="宋体" w:cs="宋体"/>
                <w:bCs/>
                <w:szCs w:val="21"/>
              </w:rPr>
              <w:t>博弈论评测</w:t>
            </w:r>
          </w:p>
        </w:tc>
        <w:tc>
          <w:tcPr>
            <w:tcW w:w="2393" w:type="dxa"/>
          </w:tcPr>
          <w:p w14:paraId="4265A14F">
            <w:pPr>
              <w:wordWrap w:val="0"/>
              <w:spacing w:line="360" w:lineRule="auto"/>
              <w:ind w:right="-57"/>
              <w:outlineLvl w:val="1"/>
              <w:rPr>
                <w:rFonts w:hint="eastAsia" w:ascii="宋体" w:hAnsi="宋体" w:cs="宋体"/>
                <w:bCs/>
                <w:szCs w:val="21"/>
              </w:rPr>
            </w:pPr>
            <w:r>
              <w:rPr>
                <w:rFonts w:hint="eastAsia" w:ascii="宋体" w:hAnsi="宋体" w:cs="宋体"/>
                <w:bCs/>
                <w:szCs w:val="21"/>
              </w:rPr>
              <w:t>4指标</w:t>
            </w:r>
          </w:p>
        </w:tc>
        <w:tc>
          <w:tcPr>
            <w:tcW w:w="2393" w:type="dxa"/>
          </w:tcPr>
          <w:p w14:paraId="4FEA1EDA">
            <w:pPr>
              <w:wordWrap w:val="0"/>
              <w:spacing w:line="360" w:lineRule="auto"/>
              <w:ind w:right="-57"/>
              <w:outlineLvl w:val="1"/>
              <w:rPr>
                <w:rFonts w:hint="eastAsia" w:ascii="宋体" w:hAnsi="宋体" w:cs="宋体"/>
                <w:bCs/>
                <w:szCs w:val="21"/>
              </w:rPr>
            </w:pPr>
            <w:r>
              <w:rPr>
                <w:rFonts w:hint="eastAsia" w:ascii="宋体" w:hAnsi="宋体" w:cs="宋体"/>
                <w:bCs/>
                <w:szCs w:val="21"/>
              </w:rPr>
              <w:t>PFS + JUD</w:t>
            </w:r>
          </w:p>
        </w:tc>
        <w:tc>
          <w:tcPr>
            <w:tcW w:w="2393" w:type="dxa"/>
          </w:tcPr>
          <w:p w14:paraId="63AE7227">
            <w:pPr>
              <w:wordWrap w:val="0"/>
              <w:spacing w:line="360" w:lineRule="auto"/>
              <w:ind w:right="-57"/>
              <w:outlineLvl w:val="1"/>
              <w:rPr>
                <w:rFonts w:hint="eastAsia" w:ascii="宋体" w:hAnsi="宋体" w:cs="宋体"/>
                <w:bCs/>
                <w:szCs w:val="21"/>
              </w:rPr>
            </w:pPr>
            <w:r>
              <w:rPr>
                <w:rFonts w:hint="eastAsia" w:ascii="宋体" w:hAnsi="宋体" w:cs="宋体"/>
                <w:bCs/>
                <w:szCs w:val="21"/>
              </w:rPr>
              <w:t>SR + ECR</w:t>
            </w:r>
          </w:p>
        </w:tc>
      </w:tr>
    </w:tbl>
    <w:p w14:paraId="53A4878D">
      <w:pPr>
        <w:wordWrap w:val="0"/>
        <w:spacing w:line="360" w:lineRule="auto"/>
        <w:ind w:right="-57" w:firstLine="420" w:firstLineChars="200"/>
        <w:jc w:val="center"/>
        <w:outlineLvl w:val="1"/>
        <w:rPr>
          <w:rFonts w:hint="eastAsia" w:ascii="宋体" w:hAnsi="宋体" w:cs="宋体"/>
          <w:bCs/>
          <w:szCs w:val="21"/>
        </w:rPr>
      </w:pPr>
      <w:r>
        <w:rPr>
          <w:rFonts w:hint="eastAsia" w:ascii="宋体" w:hAnsi="宋体" w:cs="宋体"/>
          <w:bCs/>
          <w:szCs w:val="21"/>
        </w:rPr>
        <w:t>表1与现有代表性工作的系统对比</w:t>
      </w:r>
    </w:p>
    <w:p w14:paraId="69F11E09">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创新点一（核心创新）：扩展式博弈视角下的多智能体诉讼策略预测方法。 据我们所知，本研究首次在LLM多智能体模拟法庭框架下将民事诉讼的起诉–答辩过程建模为扩展式博弈并求解SPNE，通过与传统NE的系统性对照实验揭示序贯建模的必要性和策略跨阶段传导机制。这一工作将Sun等人综述中指出的"博弈论嵌入LLM多智能体系统"（象限2×4交叉）应用到法律AI领域。进一步地，通过演化博弈理论中的复制者动态方程和ESS条件，在群体层面验证序贯均衡的演化稳定性，为SPNE的有效性提供了从个体到群体的双层实证支撑。</w:t>
      </w:r>
    </w:p>
    <w:p w14:paraId="621A3C19">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创新点二（方法论贡献）：面向法律AI的博弈论评测指标体系。 提出策略理性度（SR）和均衡趋近率（ECR）两项可计算的评测指标，为量化LLM智能体在法律博弈场景中的策略行为提供标准化工具。两项指标均基于博弈论求解器的理论最优响应计算，为规则性确定指标，不依赖LLM自评，有效规避了评分循环自证问题。</w:t>
      </w:r>
    </w:p>
    <w:p w14:paraId="23807C73">
      <w:pPr>
        <w:numPr>
          <w:ilvl w:val="0"/>
          <w:numId w:val="5"/>
        </w:numPr>
        <w:wordWrap w:val="0"/>
        <w:spacing w:after="120" w:afterLines="50" w:line="360" w:lineRule="exact"/>
        <w:ind w:right="283"/>
        <w:outlineLvl w:val="1"/>
        <w:rPr>
          <w:rFonts w:hint="eastAsia" w:ascii="宋体" w:hAnsi="宋体" w:cs="宋体"/>
          <w:bCs/>
          <w:szCs w:val="21"/>
        </w:rPr>
      </w:pPr>
      <w:r>
        <w:rPr>
          <w:rFonts w:hint="eastAsia" w:ascii="宋体" w:hAnsi="宋体" w:cs="宋体"/>
          <w:bCs/>
          <w:szCs w:val="21"/>
        </w:rPr>
        <w:t>研究进度安排</w:t>
      </w:r>
    </w:p>
    <w:tbl>
      <w:tblPr>
        <w:tblStyle w:val="13"/>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44"/>
        <w:gridCol w:w="1387"/>
        <w:gridCol w:w="5728"/>
        <w:gridCol w:w="1612"/>
      </w:tblGrid>
      <w:tr w14:paraId="572CC4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844" w:type="dxa"/>
            <w:tcBorders>
              <w:top w:val="single" w:color="auto" w:sz="12" w:space="0"/>
              <w:left w:val="nil"/>
              <w:bottom w:val="nil"/>
              <w:right w:val="nil"/>
            </w:tcBorders>
            <w:tcMar>
              <w:top w:w="-1" w:type="dxa"/>
              <w:left w:w="-1" w:type="dxa"/>
              <w:bottom w:w="-1" w:type="dxa"/>
              <w:right w:w="-1" w:type="dxa"/>
            </w:tcMar>
            <w:vAlign w:val="center"/>
          </w:tcPr>
          <w:p w14:paraId="13331ACD">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阶段</w:t>
            </w:r>
          </w:p>
        </w:tc>
        <w:tc>
          <w:tcPr>
            <w:tcW w:w="1387" w:type="dxa"/>
            <w:tcBorders>
              <w:top w:val="single" w:color="auto" w:sz="12" w:space="0"/>
              <w:left w:val="nil"/>
              <w:bottom w:val="nil"/>
              <w:right w:val="nil"/>
            </w:tcBorders>
            <w:tcMar>
              <w:top w:w="-1" w:type="dxa"/>
              <w:left w:w="-1" w:type="dxa"/>
              <w:bottom w:w="-1" w:type="dxa"/>
              <w:right w:w="-1" w:type="dxa"/>
            </w:tcMar>
            <w:vAlign w:val="center"/>
          </w:tcPr>
          <w:p w14:paraId="2A97E7D7">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时间</w:t>
            </w:r>
          </w:p>
        </w:tc>
        <w:tc>
          <w:tcPr>
            <w:tcW w:w="5728" w:type="dxa"/>
            <w:tcBorders>
              <w:top w:val="single" w:color="auto" w:sz="12" w:space="0"/>
              <w:left w:val="nil"/>
              <w:bottom w:val="nil"/>
              <w:right w:val="nil"/>
            </w:tcBorders>
            <w:tcMar>
              <w:top w:w="-1" w:type="dxa"/>
              <w:left w:w="-1" w:type="dxa"/>
              <w:bottom w:w="-1" w:type="dxa"/>
              <w:right w:w="-1" w:type="dxa"/>
            </w:tcMar>
            <w:vAlign w:val="center"/>
          </w:tcPr>
          <w:p w14:paraId="20A5F3E1">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工作内容</w:t>
            </w:r>
          </w:p>
        </w:tc>
        <w:tc>
          <w:tcPr>
            <w:tcW w:w="1612" w:type="dxa"/>
            <w:tcBorders>
              <w:top w:val="single" w:color="auto" w:sz="12" w:space="0"/>
              <w:left w:val="nil"/>
              <w:bottom w:val="nil"/>
              <w:right w:val="nil"/>
            </w:tcBorders>
            <w:tcMar>
              <w:top w:w="-1" w:type="dxa"/>
              <w:left w:w="-1" w:type="dxa"/>
              <w:bottom w:w="-1" w:type="dxa"/>
              <w:right w:w="-1" w:type="dxa"/>
            </w:tcMar>
            <w:vAlign w:val="center"/>
          </w:tcPr>
          <w:p w14:paraId="1989D13D">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预期成果</w:t>
            </w:r>
          </w:p>
        </w:tc>
      </w:tr>
      <w:tr w14:paraId="5DC0B3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single" w:color="auto" w:sz="4" w:space="0"/>
              <w:left w:val="nil"/>
              <w:bottom w:val="nil"/>
              <w:right w:val="nil"/>
            </w:tcBorders>
            <w:tcMar>
              <w:top w:w="-1" w:type="dxa"/>
              <w:left w:w="-1" w:type="dxa"/>
              <w:bottom w:w="-1" w:type="dxa"/>
              <w:right w:w="-1" w:type="dxa"/>
            </w:tcMar>
            <w:vAlign w:val="center"/>
          </w:tcPr>
          <w:p w14:paraId="6B6C53CA">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一</w:t>
            </w:r>
          </w:p>
        </w:tc>
        <w:tc>
          <w:tcPr>
            <w:tcW w:w="1387" w:type="dxa"/>
            <w:tcBorders>
              <w:top w:val="single" w:color="auto" w:sz="4" w:space="0"/>
              <w:left w:val="nil"/>
              <w:bottom w:val="nil"/>
              <w:right w:val="nil"/>
            </w:tcBorders>
            <w:tcMar>
              <w:top w:w="-1" w:type="dxa"/>
              <w:left w:w="-1" w:type="dxa"/>
              <w:bottom w:w="-1" w:type="dxa"/>
              <w:right w:w="-1" w:type="dxa"/>
            </w:tcMar>
            <w:vAlign w:val="center"/>
          </w:tcPr>
          <w:p w14:paraId="35D7629F">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第1-3月</w:t>
            </w:r>
          </w:p>
        </w:tc>
        <w:tc>
          <w:tcPr>
            <w:tcW w:w="5728" w:type="dxa"/>
            <w:tcBorders>
              <w:top w:val="single" w:color="auto" w:sz="4" w:space="0"/>
              <w:left w:val="nil"/>
              <w:bottom w:val="nil"/>
              <w:right w:val="nil"/>
            </w:tcBorders>
            <w:tcMar>
              <w:top w:w="-1" w:type="dxa"/>
              <w:left w:w="-1" w:type="dxa"/>
              <w:bottom w:w="-1" w:type="dxa"/>
              <w:right w:w="-1" w:type="dxa"/>
            </w:tcMar>
            <w:vAlign w:val="center"/>
          </w:tcPr>
          <w:p w14:paraId="22EF3984">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完善扩展式博弈引擎（SPNE反向归纳求解器优化、博弈树自动构建），开发复制者动态模拟器，数据集质量校验与人工抽检，端到端管道联调</w:t>
            </w:r>
          </w:p>
        </w:tc>
        <w:tc>
          <w:tcPr>
            <w:tcW w:w="1612" w:type="dxa"/>
            <w:tcBorders>
              <w:top w:val="single" w:color="auto" w:sz="4" w:space="0"/>
              <w:left w:val="nil"/>
              <w:bottom w:val="nil"/>
              <w:right w:val="nil"/>
            </w:tcBorders>
            <w:tcMar>
              <w:top w:w="-1" w:type="dxa"/>
              <w:left w:w="-1" w:type="dxa"/>
              <w:bottom w:w="-1" w:type="dxa"/>
              <w:right w:w="-1" w:type="dxa"/>
            </w:tcMar>
            <w:vAlign w:val="center"/>
          </w:tcPr>
          <w:p w14:paraId="4E7E48EE">
            <w:pPr>
              <w:wordWrap w:val="0"/>
              <w:snapToGrid w:val="0"/>
              <w:spacing w:line="240" w:lineRule="auto"/>
              <w:ind w:right="-57"/>
              <w:jc w:val="left"/>
              <w:outlineLvl w:val="1"/>
              <w:rPr>
                <w:rFonts w:hint="eastAsia" w:ascii="宋体" w:hAnsi="宋体" w:cs="宋体"/>
                <w:bCs/>
                <w:szCs w:val="21"/>
              </w:rPr>
            </w:pPr>
            <w:r>
              <w:rPr>
                <w:rFonts w:hint="eastAsia" w:ascii="宋体" w:hAnsi="宋体" w:cs="宋体"/>
                <w:bCs/>
                <w:szCs w:val="21"/>
              </w:rPr>
              <w:t>博弈引擎v2.0 + 数据集v1.1</w:t>
            </w:r>
          </w:p>
        </w:tc>
      </w:tr>
      <w:tr w14:paraId="662695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nil"/>
              <w:left w:val="nil"/>
              <w:bottom w:val="nil"/>
              <w:right w:val="nil"/>
            </w:tcBorders>
            <w:tcMar>
              <w:top w:w="-1" w:type="dxa"/>
              <w:left w:w="-1" w:type="dxa"/>
              <w:bottom w:w="-1" w:type="dxa"/>
              <w:right w:w="-1" w:type="dxa"/>
            </w:tcMar>
            <w:vAlign w:val="center"/>
          </w:tcPr>
          <w:p w14:paraId="44AD0B7D">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二</w:t>
            </w:r>
          </w:p>
        </w:tc>
        <w:tc>
          <w:tcPr>
            <w:tcW w:w="1387" w:type="dxa"/>
            <w:tcBorders>
              <w:top w:val="nil"/>
              <w:left w:val="nil"/>
              <w:bottom w:val="nil"/>
              <w:right w:val="nil"/>
            </w:tcBorders>
            <w:tcMar>
              <w:top w:w="-1" w:type="dxa"/>
              <w:left w:w="-1" w:type="dxa"/>
              <w:bottom w:w="-1" w:type="dxa"/>
              <w:right w:w="-1" w:type="dxa"/>
            </w:tcMar>
            <w:vAlign w:val="center"/>
          </w:tcPr>
          <w:p w14:paraId="3D9E900E">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第4-7月</w:t>
            </w:r>
          </w:p>
        </w:tc>
        <w:tc>
          <w:tcPr>
            <w:tcW w:w="5728" w:type="dxa"/>
            <w:tcBorders>
              <w:top w:val="nil"/>
              <w:left w:val="nil"/>
              <w:bottom w:val="nil"/>
              <w:right w:val="nil"/>
            </w:tcBorders>
            <w:tcMar>
              <w:top w:w="-1" w:type="dxa"/>
              <w:left w:w="-1" w:type="dxa"/>
              <w:bottom w:w="-1" w:type="dxa"/>
              <w:right w:w="-1" w:type="dxa"/>
            </w:tcMar>
            <w:vAlign w:val="center"/>
          </w:tcPr>
          <w:p w14:paraId="0709342B">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在1000条测试案件上运行核心对照实验（步骤一：收益矩阵构建 + SPNE vs NE对照 + 步骤完整实验数据二：ESS稳定性验证），完成博弈锦标赛全部轮次</w:t>
            </w:r>
          </w:p>
        </w:tc>
        <w:tc>
          <w:tcPr>
            <w:tcW w:w="1612" w:type="dxa"/>
            <w:tcBorders>
              <w:top w:val="nil"/>
              <w:left w:val="nil"/>
              <w:bottom w:val="nil"/>
              <w:right w:val="nil"/>
            </w:tcBorders>
            <w:tcMar>
              <w:top w:w="-1" w:type="dxa"/>
              <w:left w:w="-1" w:type="dxa"/>
              <w:bottom w:w="-1" w:type="dxa"/>
              <w:right w:w="-1" w:type="dxa"/>
            </w:tcMar>
            <w:vAlign w:val="center"/>
          </w:tcPr>
          <w:p w14:paraId="07230940">
            <w:pPr>
              <w:wordWrap w:val="0"/>
              <w:snapToGrid w:val="0"/>
              <w:spacing w:line="240" w:lineRule="auto"/>
              <w:jc w:val="left"/>
              <w:outlineLvl w:val="1"/>
              <w:rPr>
                <w:rFonts w:hint="eastAsia" w:ascii="宋体" w:hAnsi="宋体" w:cs="宋体"/>
                <w:bCs/>
                <w:szCs w:val="21"/>
              </w:rPr>
            </w:pPr>
            <w:r>
              <w:rPr>
                <w:rFonts w:hint="eastAsia" w:ascii="宋体" w:hAnsi="宋体" w:cs="宋体"/>
                <w:bCs/>
                <w:szCs w:val="21"/>
              </w:rPr>
              <w:t>完整实验数据</w:t>
            </w:r>
          </w:p>
        </w:tc>
      </w:tr>
      <w:tr w14:paraId="4E568F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nil"/>
              <w:left w:val="nil"/>
              <w:bottom w:val="nil"/>
              <w:right w:val="nil"/>
            </w:tcBorders>
            <w:tcMar>
              <w:top w:w="-1" w:type="dxa"/>
              <w:left w:w="-1" w:type="dxa"/>
              <w:bottom w:w="-1" w:type="dxa"/>
              <w:right w:w="-1" w:type="dxa"/>
            </w:tcMar>
            <w:vAlign w:val="center"/>
          </w:tcPr>
          <w:p w14:paraId="7141FA48">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三</w:t>
            </w:r>
          </w:p>
        </w:tc>
        <w:tc>
          <w:tcPr>
            <w:tcW w:w="1387" w:type="dxa"/>
            <w:tcBorders>
              <w:top w:val="nil"/>
              <w:left w:val="nil"/>
              <w:bottom w:val="nil"/>
              <w:right w:val="nil"/>
            </w:tcBorders>
            <w:tcMar>
              <w:top w:w="-1" w:type="dxa"/>
              <w:left w:w="-1" w:type="dxa"/>
              <w:bottom w:w="-1" w:type="dxa"/>
              <w:right w:w="-1" w:type="dxa"/>
            </w:tcMar>
            <w:vAlign w:val="center"/>
          </w:tcPr>
          <w:p w14:paraId="0B2B917F">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第8-10月</w:t>
            </w:r>
          </w:p>
        </w:tc>
        <w:tc>
          <w:tcPr>
            <w:tcW w:w="5728" w:type="dxa"/>
            <w:tcBorders>
              <w:top w:val="nil"/>
              <w:left w:val="nil"/>
              <w:bottom w:val="nil"/>
              <w:right w:val="nil"/>
            </w:tcBorders>
            <w:tcMar>
              <w:top w:w="-1" w:type="dxa"/>
              <w:left w:w="-1" w:type="dxa"/>
              <w:bottom w:w="-1" w:type="dxa"/>
              <w:right w:w="-1" w:type="dxa"/>
            </w:tcMar>
            <w:vAlign w:val="center"/>
          </w:tcPr>
          <w:p w14:paraId="217979FF">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实验数据分析（按案由分组的均衡比较、演化收敛性分析），理论凝练，论文撰写</w:t>
            </w:r>
          </w:p>
        </w:tc>
        <w:tc>
          <w:tcPr>
            <w:tcW w:w="1612" w:type="dxa"/>
            <w:tcBorders>
              <w:top w:val="nil"/>
              <w:left w:val="nil"/>
              <w:bottom w:val="nil"/>
              <w:right w:val="nil"/>
            </w:tcBorders>
            <w:tcMar>
              <w:top w:w="-1" w:type="dxa"/>
              <w:left w:w="-1" w:type="dxa"/>
              <w:bottom w:w="-1" w:type="dxa"/>
              <w:right w:w="-1" w:type="dxa"/>
            </w:tcMar>
            <w:vAlign w:val="center"/>
          </w:tcPr>
          <w:p w14:paraId="4C4A02B4">
            <w:pPr>
              <w:wordWrap w:val="0"/>
              <w:snapToGrid w:val="0"/>
              <w:spacing w:line="240" w:lineRule="auto"/>
              <w:jc w:val="left"/>
              <w:outlineLvl w:val="1"/>
              <w:rPr>
                <w:rFonts w:hint="eastAsia" w:ascii="宋体" w:hAnsi="宋体" w:cs="宋体"/>
                <w:bCs/>
                <w:szCs w:val="21"/>
              </w:rPr>
            </w:pPr>
            <w:r>
              <w:rPr>
                <w:rFonts w:hint="eastAsia" w:ascii="宋体" w:hAnsi="宋体" w:cs="宋体"/>
                <w:bCs/>
                <w:szCs w:val="21"/>
              </w:rPr>
              <w:t>论文初稿（挂 arxiv预印本）</w:t>
            </w:r>
          </w:p>
        </w:tc>
      </w:tr>
      <w:tr w14:paraId="09E2EB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nil"/>
              <w:left w:val="nil"/>
              <w:bottom w:val="single" w:color="auto" w:sz="12" w:space="0"/>
              <w:right w:val="nil"/>
            </w:tcBorders>
            <w:tcMar>
              <w:top w:w="-1" w:type="dxa"/>
              <w:left w:w="-1" w:type="dxa"/>
              <w:bottom w:w="-1" w:type="dxa"/>
              <w:right w:w="-1" w:type="dxa"/>
            </w:tcMar>
            <w:vAlign w:val="center"/>
          </w:tcPr>
          <w:p w14:paraId="69D69DB5">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四</w:t>
            </w:r>
          </w:p>
        </w:tc>
        <w:tc>
          <w:tcPr>
            <w:tcW w:w="1387" w:type="dxa"/>
            <w:tcBorders>
              <w:top w:val="nil"/>
              <w:left w:val="nil"/>
              <w:bottom w:val="single" w:color="auto" w:sz="12" w:space="0"/>
              <w:right w:val="nil"/>
            </w:tcBorders>
            <w:tcMar>
              <w:top w:w="-1" w:type="dxa"/>
              <w:left w:w="-1" w:type="dxa"/>
              <w:bottom w:w="-1" w:type="dxa"/>
              <w:right w:w="-1" w:type="dxa"/>
            </w:tcMar>
            <w:vAlign w:val="center"/>
          </w:tcPr>
          <w:p w14:paraId="696D0F7A">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第11-12月</w:t>
            </w:r>
          </w:p>
        </w:tc>
        <w:tc>
          <w:tcPr>
            <w:tcW w:w="5728" w:type="dxa"/>
            <w:tcBorders>
              <w:top w:val="nil"/>
              <w:left w:val="nil"/>
              <w:bottom w:val="single" w:color="auto" w:sz="12" w:space="0"/>
              <w:right w:val="nil"/>
            </w:tcBorders>
            <w:tcMar>
              <w:top w:w="-1" w:type="dxa"/>
              <w:left w:w="-1" w:type="dxa"/>
              <w:bottom w:w="-1" w:type="dxa"/>
              <w:right w:w="-1" w:type="dxa"/>
            </w:tcMar>
            <w:vAlign w:val="center"/>
          </w:tcPr>
          <w:p w14:paraId="17F7BCA6">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论文修改与投稿，系统开源准备，结题汇报</w:t>
            </w:r>
          </w:p>
        </w:tc>
        <w:tc>
          <w:tcPr>
            <w:tcW w:w="1612" w:type="dxa"/>
            <w:tcBorders>
              <w:top w:val="nil"/>
              <w:left w:val="nil"/>
              <w:bottom w:val="single" w:color="auto" w:sz="12" w:space="0"/>
              <w:right w:val="nil"/>
            </w:tcBorders>
            <w:tcMar>
              <w:top w:w="-1" w:type="dxa"/>
              <w:left w:w="-1" w:type="dxa"/>
              <w:bottom w:w="-1" w:type="dxa"/>
              <w:right w:w="-1" w:type="dxa"/>
            </w:tcMar>
            <w:vAlign w:val="center"/>
          </w:tcPr>
          <w:p w14:paraId="160CF36A">
            <w:pPr>
              <w:wordWrap w:val="0"/>
              <w:snapToGrid w:val="0"/>
              <w:spacing w:line="240" w:lineRule="auto"/>
              <w:jc w:val="left"/>
              <w:outlineLvl w:val="1"/>
              <w:rPr>
                <w:rFonts w:hint="eastAsia" w:ascii="宋体" w:hAnsi="宋体" w:cs="宋体"/>
                <w:bCs/>
                <w:szCs w:val="21"/>
              </w:rPr>
            </w:pPr>
            <w:r>
              <w:rPr>
                <w:rFonts w:hint="eastAsia" w:ascii="宋体" w:hAnsi="宋体" w:cs="宋体"/>
                <w:bCs/>
                <w:szCs w:val="21"/>
              </w:rPr>
              <w:t>投稿 + 结题报告</w:t>
            </w:r>
          </w:p>
        </w:tc>
      </w:tr>
    </w:tbl>
    <w:p w14:paraId="616F4842">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表2研究进度安排</w:t>
      </w:r>
    </w:p>
    <w:p w14:paraId="0533EFA3">
      <w:pPr>
        <w:numPr>
          <w:ilvl w:val="0"/>
          <w:numId w:val="5"/>
        </w:numPr>
        <w:wordWrap w:val="0"/>
        <w:spacing w:line="240" w:lineRule="auto"/>
        <w:ind w:right="-57"/>
        <w:outlineLvl w:val="1"/>
        <w:rPr>
          <w:rFonts w:hint="eastAsia" w:ascii="宋体" w:hAnsi="宋体" w:cs="宋体"/>
          <w:bCs/>
          <w:szCs w:val="21"/>
        </w:rPr>
      </w:pPr>
      <w:r>
        <w:rPr>
          <w:rFonts w:hint="eastAsia" w:ascii="宋体" w:hAnsi="宋体" w:cs="宋体"/>
          <w:bCs/>
          <w:szCs w:val="21"/>
        </w:rPr>
        <w:t>可行性分析</w:t>
      </w:r>
    </w:p>
    <w:p w14:paraId="347CE3A8">
      <w:pPr>
        <w:wordWrap w:val="0"/>
        <w:spacing w:line="360" w:lineRule="exact"/>
        <w:ind w:right="-57"/>
        <w:outlineLvl w:val="1"/>
        <w:rPr>
          <w:rFonts w:hint="eastAsia" w:ascii="宋体" w:hAnsi="宋体" w:cs="宋体"/>
          <w:bCs/>
          <w:szCs w:val="21"/>
        </w:rPr>
      </w:pPr>
      <w:r>
        <w:rPr>
          <w:rFonts w:hint="eastAsia" w:ascii="宋体" w:hAnsi="宋体" w:cs="宋体"/>
          <w:bCs/>
          <w:szCs w:val="21"/>
        </w:rPr>
        <w:t>7.1技术可行性</w:t>
      </w:r>
    </w:p>
    <w:p w14:paraId="36367AA6">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系统核心模块已全部开发完成（28个功能Python模块、65个FastAPI端点），四角色智能体和CD→DD→CI管道已实现端到端贯通，支持多模型运行时切换，法条检索索引已构建就绪。</w:t>
      </w:r>
    </w:p>
    <w:p w14:paraId="630C0B3E">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扩展式博弈的SPNE求解基于反向归纳法实现，在5×5策略空间下计算复杂度可控（博弈树共25个终端节点）。复制者动态方程的数值模拟为标准常微分方程求解，不涉及高性能计算需求。</w:t>
      </w:r>
    </w:p>
    <w:p w14:paraId="60183AAA">
      <w:pPr>
        <w:wordWrap w:val="0"/>
        <w:spacing w:line="360" w:lineRule="exact"/>
        <w:ind w:right="-57"/>
        <w:outlineLvl w:val="1"/>
        <w:rPr>
          <w:rFonts w:hint="eastAsia" w:ascii="宋体" w:hAnsi="宋体" w:cs="宋体"/>
          <w:bCs/>
          <w:szCs w:val="21"/>
        </w:rPr>
      </w:pPr>
      <w:r>
        <w:rPr>
          <w:rFonts w:hint="eastAsia" w:ascii="宋体" w:hAnsi="宋体" w:cs="宋体"/>
          <w:bCs/>
          <w:szCs w:val="21"/>
        </w:rPr>
        <w:t>7.2数据可行性</w:t>
      </w:r>
    </w:p>
    <w:p w14:paraId="1C8F703D">
      <w:pPr>
        <w:wordWrap w:val="0"/>
        <w:spacing w:line="360" w:lineRule="exact"/>
        <w:ind w:right="-57" w:firstLine="420" w:firstLineChars="200"/>
        <w:outlineLvl w:val="1"/>
        <w:rPr>
          <w:rFonts w:hint="eastAsia" w:ascii="宋体" w:hAnsi="宋体" w:cs="宋体"/>
          <w:bCs/>
          <w:szCs w:val="21"/>
        </w:rPr>
      </w:pPr>
      <w:r>
        <w:rPr>
          <w:rFonts w:hint="eastAsia" w:ascii="宋体" w:hAnsi="宋体" w:cs="宋体"/>
          <w:bCs/>
          <w:szCs w:val="21"/>
        </w:rPr>
        <w:t>LegalFlow-1K数据集已构建完成，源自ClaimGen-CN真实判决书，其中CD场景数据直接来源于真实判决书，DD/CI场景数据基于规则引擎生成多角色对抗结构化衍生字段，后续阶段将结合人工校验和法律专家标注进一步提升质量。</w:t>
      </w:r>
    </w:p>
    <w:p w14:paraId="45D19DE4">
      <w:pPr>
        <w:wordWrap w:val="0"/>
        <w:spacing w:line="360" w:lineRule="exact"/>
        <w:ind w:right="-57"/>
        <w:outlineLvl w:val="1"/>
        <w:rPr>
          <w:rFonts w:hint="eastAsia" w:ascii="宋体" w:hAnsi="宋体" w:cs="宋体"/>
          <w:bCs/>
          <w:szCs w:val="21"/>
        </w:rPr>
      </w:pPr>
      <w:r>
        <w:rPr>
          <w:rFonts w:hint="eastAsia" w:ascii="宋体" w:hAnsi="宋体" w:cs="宋体"/>
          <w:bCs/>
          <w:szCs w:val="21"/>
        </w:rPr>
        <w:t>7.3风险控制</w:t>
      </w:r>
    </w:p>
    <w:p w14:paraId="15A3037B">
      <w:pPr>
        <w:numPr>
          <w:ilvl w:val="0"/>
          <w:numId w:val="8"/>
        </w:numPr>
        <w:wordWrap w:val="0"/>
        <w:spacing w:line="360" w:lineRule="exact"/>
        <w:ind w:right="-57"/>
        <w:outlineLvl w:val="1"/>
        <w:rPr>
          <w:rFonts w:hint="eastAsia" w:ascii="宋体" w:hAnsi="宋体" w:cs="宋体"/>
          <w:bCs/>
          <w:szCs w:val="21"/>
        </w:rPr>
      </w:pPr>
      <w:r>
        <w:rPr>
          <w:rFonts w:hint="eastAsia" w:ascii="宋体" w:hAnsi="宋体" w:cs="宋体"/>
          <w:bCs/>
          <w:szCs w:val="21"/>
        </w:rPr>
        <w:t>LLM API采用多供应商切换策略（DeepSeek-V3为主、GPT-4o为辅），降低单一供应商服务中断风险；</w:t>
      </w:r>
    </w:p>
    <w:p w14:paraId="29C93C62">
      <w:pPr>
        <w:numPr>
          <w:ilvl w:val="0"/>
          <w:numId w:val="8"/>
        </w:numPr>
        <w:wordWrap w:val="0"/>
        <w:spacing w:line="360" w:lineRule="exact"/>
        <w:ind w:right="-57"/>
        <w:outlineLvl w:val="1"/>
        <w:rPr>
          <w:rFonts w:hint="eastAsia" w:ascii="宋体" w:hAnsi="宋体" w:cs="宋体"/>
          <w:bCs/>
          <w:szCs w:val="21"/>
        </w:rPr>
      </w:pPr>
      <w:r>
        <w:rPr>
          <w:rFonts w:hint="eastAsia" w:ascii="宋体" w:hAnsi="宋体" w:cs="宋体"/>
          <w:bCs/>
          <w:szCs w:val="21"/>
        </w:rPr>
        <w:t>先验收益矩阵基于AgentMediation经验数据构建，减少博弈锦标赛冷启动成本；</w:t>
      </w:r>
    </w:p>
    <w:p w14:paraId="281E4602">
      <w:pPr>
        <w:numPr>
          <w:ilvl w:val="0"/>
          <w:numId w:val="8"/>
        </w:numPr>
        <w:wordWrap w:val="0"/>
        <w:spacing w:line="360" w:lineRule="exact"/>
        <w:ind w:right="-57"/>
        <w:outlineLvl w:val="1"/>
        <w:rPr>
          <w:rFonts w:hint="eastAsia" w:ascii="宋体" w:hAnsi="宋体" w:cs="宋体"/>
          <w:bCs/>
          <w:szCs w:val="21"/>
        </w:rPr>
      </w:pPr>
      <w:r>
        <w:rPr>
          <w:rFonts w:hint="eastAsia" w:ascii="宋体" w:hAnsi="宋体" w:cs="宋体"/>
          <w:bCs/>
          <w:szCs w:val="21"/>
        </w:rPr>
        <w:t>收益评估采用双路校验机制——关键因变量（原告胜率、法条召回率、程序合规分）均设有基于ground truth或确定性规则的独立校验指标（诉请支持率按裁判文书原文计算、法条Recall按标准答案法条集计算、PFS按状态机必经步骤完成比例计算），LLM评分仅用于难以规则化的主观维度（论证流畅度、说理充分性），偏差超阈值触发人工复核。</w:t>
      </w:r>
    </w:p>
    <w:p w14:paraId="2C707C5E">
      <w:pPr>
        <w:wordWrap w:val="0"/>
        <w:spacing w:line="360" w:lineRule="exact"/>
        <w:ind w:right="-57"/>
        <w:outlineLvl w:val="1"/>
        <w:rPr>
          <w:rFonts w:hint="eastAsia" w:ascii="宋体" w:hAnsi="宋体" w:cs="宋体"/>
          <w:bCs/>
          <w:szCs w:val="21"/>
        </w:rPr>
      </w:pPr>
      <w:r>
        <w:rPr>
          <w:rFonts w:hint="eastAsia" w:ascii="宋体" w:hAnsi="宋体" w:cs="宋体"/>
          <w:bCs/>
          <w:szCs w:val="21"/>
        </w:rPr>
        <w:t>7.4局限性与伦理声明</w:t>
      </w:r>
    </w:p>
    <w:p w14:paraId="725FDA1E">
      <w:pPr>
        <w:wordWrap w:val="0"/>
        <w:spacing w:line="360" w:lineRule="exact"/>
        <w:ind w:left="105" w:right="-57"/>
        <w:outlineLvl w:val="1"/>
        <w:rPr>
          <w:rFonts w:hint="eastAsia" w:ascii="宋体" w:hAnsi="宋体" w:cs="宋体"/>
          <w:bCs/>
          <w:szCs w:val="21"/>
        </w:rPr>
      </w:pPr>
      <w:r>
        <w:rPr>
          <w:rFonts w:hint="eastAsia" w:ascii="宋体" w:hAnsi="宋体" w:cs="宋体"/>
          <w:bCs/>
          <w:szCs w:val="21"/>
        </w:rPr>
        <w:t>本研究存在以下局限性：</w:t>
      </w:r>
    </w:p>
    <w:p w14:paraId="623FA509">
      <w:pPr>
        <w:numPr>
          <w:ilvl w:val="0"/>
          <w:numId w:val="9"/>
        </w:numPr>
        <w:wordWrap w:val="0"/>
        <w:spacing w:line="360" w:lineRule="exact"/>
        <w:ind w:right="-57"/>
        <w:outlineLvl w:val="1"/>
        <w:rPr>
          <w:rFonts w:hint="eastAsia" w:ascii="宋体" w:hAnsi="宋体" w:cs="宋体"/>
          <w:bCs/>
          <w:szCs w:val="21"/>
        </w:rPr>
      </w:pPr>
      <w:r>
        <w:rPr>
          <w:rFonts w:hint="eastAsia" w:ascii="宋体" w:hAnsi="宋体" w:cs="宋体"/>
          <w:bCs/>
          <w:szCs w:val="21"/>
        </w:rPr>
        <w:t>博弈建模采用完美信息假设作为一阶近似，真实诉讼中当事人存在私有信息，后续可扩展至贝叶斯博弈框架；</w:t>
      </w:r>
    </w:p>
    <w:p w14:paraId="3EAB3917">
      <w:pPr>
        <w:numPr>
          <w:ilvl w:val="0"/>
          <w:numId w:val="9"/>
        </w:numPr>
        <w:wordWrap w:val="0"/>
        <w:spacing w:line="360" w:lineRule="exact"/>
        <w:ind w:right="-57"/>
        <w:outlineLvl w:val="1"/>
        <w:rPr>
          <w:rFonts w:eastAsia="楷体_GB2312"/>
          <w:sz w:val="24"/>
          <w:szCs w:val="24"/>
        </w:rPr>
      </w:pPr>
      <w:r>
        <w:rPr>
          <w:rFonts w:hint="eastAsia" w:ascii="宋体" w:hAnsi="宋体" w:cs="宋体"/>
          <w:bCs/>
          <w:szCs w:val="21"/>
        </w:rPr>
        <w:t>收益函数中的权重系数（公式(3)）基于经验设定，后续将通过灵敏度分析验证其鲁棒性，并根据实验情况进行相应权重调整。</w:t>
      </w:r>
    </w:p>
    <w:p w14:paraId="49B9F3A2">
      <w:pPr>
        <w:numPr>
          <w:ilvl w:val="0"/>
          <w:numId w:val="9"/>
        </w:numPr>
        <w:wordWrap w:val="0"/>
        <w:spacing w:line="360" w:lineRule="exact"/>
        <w:ind w:right="-57"/>
        <w:outlineLvl w:val="1"/>
        <w:rPr>
          <w:rFonts w:eastAsia="楷体_GB2312"/>
          <w:sz w:val="24"/>
          <w:szCs w:val="24"/>
        </w:rPr>
      </w:pPr>
      <w:r>
        <w:rPr>
          <w:rFonts w:hint="eastAsia" w:ascii="宋体" w:hAnsi="宋体" w:cs="宋体"/>
          <w:bCs/>
          <w:szCs w:val="21"/>
        </w:rPr>
        <w:t>伦理方面：ClaimGen-CN数据源自中国裁判文书网公开判决书，不涉及非公开个人信息；系统生成的判决仅用于学术研究和法学教育模拟，不构成法律意见，系统界面将明确标注"仅供研究参考"免责声明。</w:t>
      </w:r>
      <w:r>
        <w:rPr>
          <w:rFonts w:eastAsia="黑体"/>
          <w:b/>
          <w:sz w:val="28"/>
          <w:szCs w:val="28"/>
        </w:rPr>
        <w:br w:type="page"/>
      </w:r>
      <w:r>
        <w:rPr>
          <w:rFonts w:eastAsia="黑体"/>
          <w:b/>
          <w:sz w:val="28"/>
          <w:szCs w:val="28"/>
        </w:rPr>
        <w:t>（</w:t>
      </w:r>
      <w:r>
        <w:rPr>
          <w:rFonts w:hint="eastAsia" w:eastAsia="黑体"/>
          <w:b/>
          <w:sz w:val="28"/>
          <w:szCs w:val="28"/>
        </w:rPr>
        <w:t>四</w:t>
      </w:r>
      <w:r>
        <w:rPr>
          <w:rFonts w:eastAsia="黑体"/>
          <w:b/>
          <w:sz w:val="28"/>
          <w:szCs w:val="28"/>
        </w:rPr>
        <w:t>）</w:t>
      </w:r>
      <w:r>
        <w:rPr>
          <w:rFonts w:hint="eastAsia" w:eastAsia="黑体"/>
          <w:b/>
          <w:sz w:val="28"/>
          <w:szCs w:val="28"/>
        </w:rPr>
        <w:t>预期结果</w:t>
      </w:r>
    </w:p>
    <w:p w14:paraId="7DC4643E">
      <w:pPr>
        <w:numPr>
          <w:ilvl w:val="0"/>
          <w:numId w:val="10"/>
        </w:numPr>
        <w:spacing w:line="360" w:lineRule="exact"/>
        <w:ind w:right="71" w:rightChars="34"/>
        <w:rPr>
          <w:rFonts w:hint="eastAsia" w:ascii="宋体" w:hAnsi="宋体" w:cs="宋体"/>
          <w:bCs/>
          <w:szCs w:val="21"/>
        </w:rPr>
      </w:pPr>
      <w:r>
        <w:rPr>
          <w:rFonts w:hint="eastAsia" w:ascii="宋体" w:hAnsi="宋体" w:cs="宋体"/>
          <w:bCs/>
          <w:szCs w:val="21"/>
        </w:rPr>
        <w:t>理论成果</w:t>
      </w:r>
    </w:p>
    <w:p w14:paraId="724688EB">
      <w:pPr>
        <w:numPr>
          <w:ilvl w:val="0"/>
          <w:numId w:val="11"/>
        </w:numPr>
        <w:spacing w:line="360" w:lineRule="exact"/>
        <w:ind w:right="71" w:rightChars="34"/>
        <w:rPr>
          <w:rFonts w:hint="eastAsia" w:ascii="宋体" w:hAnsi="宋体" w:cs="宋体"/>
          <w:bCs/>
          <w:szCs w:val="21"/>
        </w:rPr>
      </w:pPr>
      <w:r>
        <w:rPr>
          <w:rFonts w:hint="eastAsia" w:ascii="宋体" w:hAnsi="宋体" w:cs="宋体"/>
          <w:bCs/>
          <w:szCs w:val="21"/>
        </w:rPr>
        <w:t>通过1000条真实民事案件的系统性对照实验，实证验证SPNE相比传统NE在LLM多智能体模拟法庭中的策略预测优势，量化序贯建模在民间借贷、交通事故、劳动争议等不同案由类型上的预测精度差异，揭示策略跨阶段传导的具体机制；</w:t>
      </w:r>
    </w:p>
    <w:p w14:paraId="16FF9CE1">
      <w:pPr>
        <w:numPr>
          <w:ilvl w:val="0"/>
          <w:numId w:val="11"/>
        </w:numPr>
        <w:spacing w:line="360" w:lineRule="exact"/>
        <w:ind w:right="71" w:rightChars="34"/>
        <w:rPr>
          <w:rFonts w:hint="eastAsia" w:ascii="宋体" w:hAnsi="宋体" w:cs="宋体"/>
          <w:bCs/>
          <w:szCs w:val="21"/>
        </w:rPr>
      </w:pPr>
      <w:r>
        <w:rPr>
          <w:rFonts w:hint="eastAsia" w:ascii="宋体" w:hAnsi="宋体" w:cs="宋体"/>
          <w:bCs/>
          <w:szCs w:val="21"/>
        </w:rPr>
        <w:t>通过复制者动态方程的数值模拟，验证SPNE均衡在群体层面的演化稳定性，回答"序贯均衡是否同时具备个体最优性和群体鲁棒性"这一理论问题，为扩展式博弈建模在法律AI领域的应用提供从微观到宏观的双层实证支撑。</w:t>
      </w:r>
    </w:p>
    <w:p w14:paraId="673220CE">
      <w:pPr>
        <w:numPr>
          <w:ilvl w:val="0"/>
          <w:numId w:val="10"/>
        </w:numPr>
        <w:spacing w:line="360" w:lineRule="exact"/>
        <w:ind w:right="71" w:rightChars="34"/>
        <w:rPr>
          <w:rFonts w:hint="eastAsia" w:ascii="宋体" w:hAnsi="宋体" w:cs="宋体"/>
          <w:bCs/>
          <w:szCs w:val="21"/>
        </w:rPr>
      </w:pPr>
      <w:r>
        <w:rPr>
          <w:rFonts w:hint="eastAsia" w:ascii="宋体" w:hAnsi="宋体" w:cs="宋体"/>
          <w:bCs/>
          <w:szCs w:val="21"/>
        </w:rPr>
        <w:t>系统成果</w:t>
      </w:r>
    </w:p>
    <w:p w14:paraId="09215A1A">
      <w:pPr>
        <w:spacing w:line="360" w:lineRule="exact"/>
        <w:ind w:right="71" w:rightChars="34" w:firstLine="420" w:firstLineChars="200"/>
        <w:rPr>
          <w:rFonts w:hint="eastAsia" w:ascii="宋体" w:hAnsi="宋体" w:cs="宋体"/>
          <w:bCs/>
          <w:szCs w:val="21"/>
        </w:rPr>
      </w:pPr>
      <w:r>
        <w:rPr>
          <w:rFonts w:hint="eastAsia" w:ascii="宋体" w:hAnsi="宋体" w:cs="宋体"/>
          <w:bCs/>
          <w:szCs w:val="21"/>
        </w:rPr>
        <w:t>开源LegalFlow多智能体协同模拟法庭系统，包含扩展式博弈引擎（SPNE反向归纳求解器）、演化博弈模拟器（复制者动态）、四角色智能体协同管道（CD→DD→CI）、P-RAG渐进式法条检索模块，共计28个功能模块和65个FastAPI端点。</w:t>
      </w:r>
    </w:p>
    <w:p w14:paraId="5F8A5410">
      <w:pPr>
        <w:spacing w:line="360" w:lineRule="exact"/>
        <w:ind w:right="71" w:rightChars="34" w:firstLine="420" w:firstLineChars="200"/>
        <w:rPr>
          <w:rFonts w:hint="eastAsia" w:ascii="宋体" w:hAnsi="宋体" w:cs="宋体"/>
          <w:bCs/>
          <w:szCs w:val="21"/>
        </w:rPr>
      </w:pPr>
      <w:r>
        <w:rPr>
          <w:rFonts w:hint="eastAsia" w:ascii="宋体" w:hAnsi="宋体" w:cs="宋体"/>
          <w:bCs/>
          <w:szCs w:val="21"/>
        </w:rPr>
        <w:t>该系统可直接应用于三个场景：（1）法学教育——为法学院学生提供可重复的模拟法庭对抗训练环境，支持不同诉讼策略的效果对比与复盘分析；（2）诉讼策略辅助——律师可在系统中预演不同起诉/答辩策略组合，评估各策略下的预期收益，辅助制定诉讼方案；（3）司法政策研究——通过演化博弈模拟大量案件的策略分布演化趋势，为调解制度优化、诉讼成本分析等司法政策研究提供计算实验平台。</w:t>
      </w:r>
    </w:p>
    <w:p w14:paraId="58C7C1A1">
      <w:pPr>
        <w:numPr>
          <w:ilvl w:val="0"/>
          <w:numId w:val="10"/>
        </w:numPr>
        <w:spacing w:line="360" w:lineRule="exact"/>
        <w:ind w:right="71" w:rightChars="34"/>
        <w:rPr>
          <w:rFonts w:hint="eastAsia" w:ascii="宋体" w:hAnsi="宋体" w:cs="宋体"/>
          <w:bCs/>
          <w:szCs w:val="21"/>
        </w:rPr>
      </w:pPr>
      <w:r>
        <w:rPr>
          <w:rFonts w:hint="eastAsia" w:ascii="宋体" w:hAnsi="宋体" w:cs="宋体"/>
          <w:bCs/>
          <w:szCs w:val="21"/>
        </w:rPr>
        <w:t>数据成果</w:t>
      </w:r>
    </w:p>
    <w:p w14:paraId="025C12D6">
      <w:pPr>
        <w:spacing w:line="360" w:lineRule="exact"/>
        <w:ind w:right="71" w:rightChars="34" w:firstLine="420" w:firstLineChars="200"/>
        <w:rPr>
          <w:rFonts w:hint="eastAsia" w:ascii="宋体" w:hAnsi="宋体" w:cs="宋体"/>
          <w:bCs/>
          <w:szCs w:val="21"/>
        </w:rPr>
      </w:pPr>
      <w:r>
        <w:rPr>
          <w:rFonts w:hint="eastAsia" w:ascii="宋体" w:hAnsi="宋体" w:cs="宋体"/>
          <w:bCs/>
          <w:szCs w:val="21"/>
        </w:rPr>
        <w:t>LegalFlow-1K民事诉讼三场景结构化数据集（1000条案件，覆盖29种案由，按3:1:1划分训练/验证/测试集），为后续法律AI多智能体博弈研究和法学教育模拟训练提供标准化评测基准。</w:t>
      </w:r>
    </w:p>
    <w:p w14:paraId="214B4AF3">
      <w:pPr>
        <w:numPr>
          <w:ilvl w:val="0"/>
          <w:numId w:val="10"/>
        </w:numPr>
        <w:spacing w:line="360" w:lineRule="exact"/>
        <w:ind w:right="71" w:rightChars="34"/>
        <w:rPr>
          <w:rFonts w:hint="eastAsia" w:ascii="宋体" w:hAnsi="宋体" w:cs="宋体"/>
          <w:bCs/>
          <w:szCs w:val="21"/>
        </w:rPr>
      </w:pPr>
      <w:r>
        <w:rPr>
          <w:rFonts w:hint="eastAsia" w:ascii="宋体" w:hAnsi="宋体" w:cs="宋体"/>
          <w:bCs/>
          <w:szCs w:val="21"/>
        </w:rPr>
        <w:t>学术产出</w:t>
      </w:r>
    </w:p>
    <w:p w14:paraId="60871063">
      <w:pPr>
        <w:spacing w:line="360" w:lineRule="exact"/>
        <w:ind w:right="71" w:rightChars="34" w:firstLine="420" w:firstLineChars="200"/>
        <w:rPr>
          <w:rFonts w:hint="eastAsia" w:ascii="宋体" w:hAnsi="宋体" w:cs="宋体"/>
          <w:bCs/>
          <w:szCs w:val="21"/>
        </w:rPr>
      </w:pPr>
      <w:r>
        <w:rPr>
          <w:rFonts w:hint="eastAsia" w:ascii="宋体" w:hAnsi="宋体" w:cs="宋体"/>
          <w:bCs/>
          <w:szCs w:val="21"/>
        </w:rPr>
        <w:t>投稿1篇论文，首选ICAIL（International Conference on AI and Law，AI与法律领域顶级会议）或AAMAS（International Conference on Autonomous Agents and Multi-Agent Systems，多智能体系统顶级会议），备选ACL/EMNLP Findings，定位为"扩展式博弈×LLM多智能体×法律AI"的交叉研究。</w:t>
      </w:r>
    </w:p>
    <w:p w14:paraId="388C9B14">
      <w:pPr>
        <w:numPr>
          <w:ilvl w:val="0"/>
          <w:numId w:val="10"/>
        </w:numPr>
        <w:spacing w:line="360" w:lineRule="exact"/>
        <w:ind w:right="71" w:rightChars="34"/>
        <w:rPr>
          <w:rFonts w:hint="eastAsia" w:ascii="宋体" w:hAnsi="宋体" w:cs="宋体"/>
          <w:bCs/>
          <w:szCs w:val="21"/>
        </w:rPr>
      </w:pPr>
      <w:r>
        <w:rPr>
          <w:rFonts w:hint="eastAsia" w:ascii="宋体" w:hAnsi="宋体" w:cs="宋体"/>
          <w:bCs/>
          <w:szCs w:val="21"/>
        </w:rPr>
        <w:t>经费预算：</w:t>
      </w:r>
    </w:p>
    <w:p w14:paraId="05262470">
      <w:pPr>
        <w:spacing w:after="60" w:line="360" w:lineRule="exact"/>
        <w:ind w:firstLine="420" w:firstLineChars="200"/>
      </w:pPr>
      <w:r>
        <w:rPr>
          <w:rFonts w:ascii="宋体" w:hAnsi="宋体"/>
        </w:rPr>
        <w:t>LLM API调用费2.5万元（其中核心实验约1.75万元、模型对比与调试约0.75万元，基于DeepSeek-V3约¥1/百万token、GPT-4o约¥60/百万token估算，预计总消耗约5亿token）、云计算资源1.2万元（用于本地嵌入模型部署与FAISS索引构建）、数据与工具0.5万元、学术交流0.8万元，合计5.0万元。</w:t>
      </w:r>
    </w:p>
    <w:p w14:paraId="23508BD2">
      <w:pPr>
        <w:spacing w:line="360" w:lineRule="auto"/>
        <w:ind w:right="71" w:rightChars="34" w:firstLine="371" w:firstLineChars="177"/>
        <w:rPr>
          <w:rFonts w:hint="eastAsia" w:ascii="宋体" w:hAnsi="宋体" w:cs="宋体"/>
          <w:bCs/>
          <w:szCs w:val="21"/>
        </w:rPr>
      </w:pPr>
    </w:p>
    <w:p w14:paraId="6410B46E">
      <w:pPr>
        <w:spacing w:line="360" w:lineRule="auto"/>
        <w:ind w:right="71" w:rightChars="34"/>
        <w:rPr>
          <w:rFonts w:eastAsia="楷体_GB2312"/>
          <w:sz w:val="24"/>
          <w:szCs w:val="24"/>
        </w:rPr>
      </w:pPr>
      <w:r>
        <w:rPr>
          <w:rFonts w:eastAsia="黑体"/>
          <w:bCs/>
          <w:sz w:val="24"/>
          <w:szCs w:val="24"/>
        </w:rPr>
        <w:br w:type="page"/>
      </w:r>
      <w:r>
        <w:rPr>
          <w:rFonts w:eastAsia="黑体"/>
          <w:b/>
          <w:sz w:val="28"/>
          <w:szCs w:val="28"/>
        </w:rPr>
        <w:t>（</w:t>
      </w:r>
      <w:r>
        <w:rPr>
          <w:rFonts w:hint="eastAsia" w:eastAsia="黑体"/>
          <w:b/>
          <w:sz w:val="28"/>
          <w:szCs w:val="28"/>
        </w:rPr>
        <w:t>五</w:t>
      </w:r>
      <w:r>
        <w:rPr>
          <w:rFonts w:eastAsia="黑体"/>
          <w:b/>
          <w:sz w:val="28"/>
          <w:szCs w:val="28"/>
        </w:rPr>
        <w:t>）</w:t>
      </w:r>
      <w:r>
        <w:rPr>
          <w:rFonts w:hint="eastAsia" w:eastAsia="黑体"/>
          <w:b/>
          <w:sz w:val="28"/>
          <w:szCs w:val="28"/>
        </w:rPr>
        <w:t>申请人简历</w:t>
      </w:r>
      <w:r>
        <w:rPr>
          <w:rFonts w:eastAsia="楷体_GB2312"/>
          <w:sz w:val="24"/>
          <w:szCs w:val="24"/>
        </w:rPr>
        <w:t>（</w:t>
      </w:r>
      <w:r>
        <w:rPr>
          <w:rFonts w:eastAsia="黑体"/>
          <w:sz w:val="24"/>
          <w:szCs w:val="24"/>
        </w:rPr>
        <w:t>不超过</w:t>
      </w:r>
      <w:r>
        <w:rPr>
          <w:rFonts w:hint="eastAsia" w:eastAsia="楷体_GB2312"/>
          <w:sz w:val="24"/>
          <w:szCs w:val="24"/>
        </w:rPr>
        <w:t>3000</w:t>
      </w:r>
      <w:r>
        <w:rPr>
          <w:rFonts w:eastAsia="黑体"/>
          <w:sz w:val="24"/>
          <w:szCs w:val="24"/>
        </w:rPr>
        <w:t>字</w:t>
      </w:r>
      <w:r>
        <w:rPr>
          <w:rFonts w:eastAsia="楷体_GB2312"/>
          <w:sz w:val="24"/>
          <w:szCs w:val="24"/>
        </w:rPr>
        <w:t>）</w:t>
      </w:r>
    </w:p>
    <w:p w14:paraId="6FE6C230">
      <w:pPr>
        <w:spacing w:line="240" w:lineRule="auto"/>
        <w:ind w:right="71" w:rightChars="34" w:firstLine="426" w:firstLineChars="177"/>
        <w:rPr>
          <w:rFonts w:eastAsia="楷体_GB2312"/>
          <w:b/>
          <w:sz w:val="24"/>
          <w:szCs w:val="24"/>
        </w:rPr>
      </w:pPr>
      <w:r>
        <w:rPr>
          <w:rFonts w:hint="eastAsia" w:eastAsia="楷体_GB2312"/>
          <w:b/>
          <w:sz w:val="24"/>
          <w:szCs w:val="24"/>
        </w:rPr>
        <w:t>（一）教育经历</w:t>
      </w:r>
    </w:p>
    <w:p w14:paraId="02B4B0AA">
      <w:pPr>
        <w:spacing w:line="240" w:lineRule="auto"/>
        <w:ind w:right="71" w:rightChars="34" w:firstLine="424" w:firstLineChars="177"/>
        <w:rPr>
          <w:rFonts w:eastAsia="楷体_GB2312"/>
          <w:bCs/>
          <w:sz w:val="24"/>
          <w:szCs w:val="24"/>
        </w:rPr>
      </w:pPr>
      <w:r>
        <w:rPr>
          <w:rFonts w:hint="eastAsia" w:eastAsia="楷体_GB2312"/>
          <w:bCs/>
          <w:sz w:val="24"/>
          <w:szCs w:val="24"/>
        </w:rPr>
        <w:t>本人高中就读于安徽省安庆市第一中学。我的母校作为陈乔年、陈延年的母校，具有深厚的红色文化传统。在校期间，我在扎实完成基础学科学习的同时，逐步形成了关注国家发展与社会问题的意识，尤其对制度运行与社会治理问题产生了持续兴趣，这也在很大程度上影响了我后续专业方向的选择。</w:t>
      </w:r>
    </w:p>
    <w:p w14:paraId="68EA1BBC">
      <w:pPr>
        <w:spacing w:line="240" w:lineRule="auto"/>
        <w:ind w:right="71" w:rightChars="34" w:firstLine="424" w:firstLineChars="177"/>
        <w:rPr>
          <w:rFonts w:eastAsia="楷体_GB2312"/>
          <w:bCs/>
          <w:sz w:val="24"/>
          <w:szCs w:val="24"/>
        </w:rPr>
      </w:pPr>
      <w:r>
        <w:rPr>
          <w:rFonts w:hint="eastAsia" w:eastAsia="楷体_GB2312"/>
          <w:bCs/>
          <w:sz w:val="24"/>
          <w:szCs w:val="24"/>
        </w:rPr>
        <w:t>2023年进入北京理工大学法学院（明德书院）学习法学专业以来，我在“延安根、军工魂、领军人”的育人理念引导下，系统夯实法学理论基础，并主动拓展法学与科技领域的交叉视野。在专业课程学习中，我不仅注重基础知识的系统掌握，也逐步转向以问题为导向的学习方式，围绕数字时代法律问题开展延伸阅读与思考。本科前五学期平均成绩为91.9，专业排名2/44，位列前5%，整体学业表现稳定。</w:t>
      </w:r>
    </w:p>
    <w:p w14:paraId="7836DB0E">
      <w:pPr>
        <w:spacing w:line="240" w:lineRule="auto"/>
        <w:ind w:right="71" w:rightChars="34" w:firstLine="424" w:firstLineChars="177"/>
        <w:rPr>
          <w:rFonts w:eastAsia="楷体_GB2312"/>
          <w:bCs/>
          <w:sz w:val="24"/>
          <w:szCs w:val="24"/>
        </w:rPr>
      </w:pPr>
      <w:r>
        <w:rPr>
          <w:rFonts w:hint="eastAsia" w:eastAsia="楷体_GB2312"/>
          <w:bCs/>
          <w:sz w:val="24"/>
          <w:szCs w:val="24"/>
        </w:rPr>
        <w:t>在能力培养方面，我高度重视学术语言能力训练，具备较为扎实的英文文献阅读与基础学术表达能力。同时，在思想政治与组织实践方面，我始终以更高标准要求自身，现为中共预备党员，曾获校级优秀团员、优秀学生干部等荣誉，现任共青团北京理工大学明德书院委员会学生副书记，在参与学生工作与思想引领过程中不断提升综合素养，使自身发展与国家需求保持一致。</w:t>
      </w:r>
    </w:p>
    <w:p w14:paraId="6B7E9E2C">
      <w:pPr>
        <w:spacing w:line="240" w:lineRule="auto"/>
        <w:ind w:right="71" w:rightChars="34" w:firstLine="426" w:firstLineChars="177"/>
        <w:rPr>
          <w:rFonts w:eastAsia="楷体_GB2312"/>
          <w:b/>
          <w:sz w:val="24"/>
          <w:szCs w:val="24"/>
        </w:rPr>
      </w:pPr>
      <w:r>
        <w:rPr>
          <w:rFonts w:hint="eastAsia" w:eastAsia="楷体_GB2312"/>
          <w:b/>
          <w:sz w:val="24"/>
          <w:szCs w:val="24"/>
        </w:rPr>
        <w:t>（二）曾参与的科技活动或项目</w:t>
      </w:r>
    </w:p>
    <w:p w14:paraId="7386E203">
      <w:pPr>
        <w:spacing w:line="240" w:lineRule="auto"/>
        <w:ind w:right="71" w:rightChars="34" w:firstLine="424" w:firstLineChars="177"/>
        <w:rPr>
          <w:rFonts w:eastAsia="楷体_GB2312"/>
          <w:bCs/>
          <w:sz w:val="24"/>
          <w:szCs w:val="24"/>
        </w:rPr>
      </w:pPr>
      <w:r>
        <w:rPr>
          <w:rFonts w:hint="eastAsia" w:eastAsia="楷体_GB2312"/>
          <w:bCs/>
          <w:sz w:val="24"/>
          <w:szCs w:val="24"/>
        </w:rPr>
        <w:t>在本科阶段的学习过程中，我逐步将研究兴趣聚焦于数字技术发展背景下的法律规制问题，并围绕这一方向持续参与科研训练与项目实践。在大创项目层面，我系统参与了多项以现实问题为导向的法学研究，研究主题涵盖涉外仲裁合同效力认定、技术移民制度设计、算法决策中的隐性就业歧视规制、网络不正当竞争行为界定以及“直播带货”模式下的消费者权益保护等。这些研究围绕数字经济与社会治理中的关键议题展开，使我在文献检索、研究综述、规范分析以及问题结构化表达等方面积累了较为系统的训练经验，也逐步形成了从现实问题出发提炼法学问题的基本能力。</w:t>
      </w:r>
    </w:p>
    <w:p w14:paraId="189979D0">
      <w:pPr>
        <w:spacing w:line="240" w:lineRule="auto"/>
        <w:ind w:right="71" w:rightChars="34" w:firstLine="424" w:firstLineChars="177"/>
        <w:rPr>
          <w:rFonts w:eastAsia="楷体_GB2312"/>
          <w:bCs/>
          <w:sz w:val="24"/>
          <w:szCs w:val="24"/>
        </w:rPr>
      </w:pPr>
      <w:r>
        <w:rPr>
          <w:rFonts w:hint="eastAsia" w:eastAsia="楷体_GB2312"/>
          <w:bCs/>
          <w:sz w:val="24"/>
          <w:szCs w:val="24"/>
        </w:rPr>
        <w:t>除法学领域的科研训练外，我还主动参与工程实践，加入北京理工大学无人驾驶方程式车队并长期承担组织与运营管理工作。在车队持续备赛与技术迭代过程中，我深度参与团队运行与赛事组织协同，所在队伍在中国大学生无人驾驶方程式大赛中连续两年获得全国二等奖。通过长期参与这一比赛项目，我对人工智能与自动化系统的实际运行逻辑形成了更加系统的认识，也更加清晰地意识到技术快速发展对既有法律规则体系所提出的挑战，从而进一步强化了从法律视角研究科技发展问题的学术兴趣。</w:t>
      </w:r>
    </w:p>
    <w:p w14:paraId="52E2E99E">
      <w:pPr>
        <w:spacing w:line="240" w:lineRule="auto"/>
        <w:ind w:right="71" w:rightChars="34" w:firstLine="424" w:firstLineChars="177"/>
        <w:rPr>
          <w:rFonts w:eastAsia="楷体_GB2312"/>
          <w:bCs/>
          <w:sz w:val="24"/>
          <w:szCs w:val="24"/>
        </w:rPr>
      </w:pPr>
      <w:r>
        <w:rPr>
          <w:rFonts w:hint="eastAsia" w:eastAsia="楷体_GB2312"/>
          <w:bCs/>
          <w:sz w:val="24"/>
          <w:szCs w:val="24"/>
        </w:rPr>
        <w:t>此外，我还积极参与模拟法庭、辩论赛及创新创业项目等多类型实践活动，在不同情境中持续提升问题分析能力、逻辑表达能力及团队协作能力。这些实践经历虽形式各异，但共同指向对复杂现实问题的系统性理解，也为我后续开展更深入科研探索提供了多维支撑。</w:t>
      </w:r>
    </w:p>
    <w:p w14:paraId="6629300F">
      <w:pPr>
        <w:spacing w:line="240" w:lineRule="auto"/>
        <w:ind w:right="71" w:rightChars="34" w:firstLine="426" w:firstLineChars="177"/>
        <w:rPr>
          <w:rFonts w:eastAsia="楷体_GB2312"/>
          <w:b/>
          <w:sz w:val="24"/>
          <w:szCs w:val="24"/>
        </w:rPr>
      </w:pPr>
      <w:r>
        <w:rPr>
          <w:rFonts w:hint="eastAsia" w:eastAsia="楷体_GB2312"/>
          <w:b/>
          <w:sz w:val="24"/>
          <w:szCs w:val="24"/>
        </w:rPr>
        <w:t>（三）本科学业成绩和获得奖励情况（如论文、专利、奖项等，高中期间获得全国性学科竞赛奖项也可列出）</w:t>
      </w:r>
    </w:p>
    <w:p w14:paraId="55258B3C">
      <w:pPr>
        <w:spacing w:line="240" w:lineRule="auto"/>
        <w:ind w:right="71" w:rightChars="34" w:firstLine="424" w:firstLineChars="177"/>
        <w:rPr>
          <w:rFonts w:eastAsia="楷体_GB2312"/>
          <w:bCs/>
          <w:sz w:val="24"/>
          <w:szCs w:val="24"/>
        </w:rPr>
      </w:pPr>
      <w:r>
        <w:rPr>
          <w:rFonts w:hint="eastAsia" w:eastAsia="楷体_GB2312"/>
          <w:bCs/>
          <w:sz w:val="24"/>
          <w:szCs w:val="24"/>
        </w:rPr>
        <w:t>在本科阶段，我始终保持较高水平的学习投入与稳定的学业表现，前五学期平均成绩91.9，专业排名2/44，整体处于年级前列。扎实的学业基础为我参与各类高水平竞赛与科研活动提供了重要支撑。</w:t>
      </w:r>
    </w:p>
    <w:p w14:paraId="1C5B6A32">
      <w:pPr>
        <w:spacing w:line="240" w:lineRule="auto"/>
        <w:ind w:right="71" w:rightChars="34" w:firstLine="424" w:firstLineChars="177"/>
        <w:rPr>
          <w:rFonts w:eastAsia="楷体_GB2312"/>
          <w:bCs/>
          <w:sz w:val="24"/>
          <w:szCs w:val="24"/>
        </w:rPr>
      </w:pPr>
      <w:r>
        <w:rPr>
          <w:rFonts w:hint="eastAsia" w:eastAsia="楷体_GB2312"/>
          <w:bCs/>
          <w:sz w:val="24"/>
          <w:szCs w:val="24"/>
        </w:rPr>
        <w:t>在学科竞赛方面，我在不同类型竞赛中均取得一定成果。在科技与工程实践类竞赛中，依托无人驾驶方程式车队项目，我连续两年获得中国大学生无人驾驶方程式大赛全国二等奖；在法学专业竞赛中，我参与莱顿-塞琳国际航空法模拟法庭竞赛并获得全国三等奖，同时在区域性法学辩论赛事中获得北京市级奖项，体现出较强的法律分析与论证能力。在语言与学术能力方面，我在全国大学生英语翻译大赛、《英语世界》杯翻译大赛及英语阅读大赛中均获得国家级奖项，反映出较为扎实的学术语言基础与跨文化表达能力。</w:t>
      </w:r>
    </w:p>
    <w:p w14:paraId="7A05BB21">
      <w:pPr>
        <w:spacing w:line="240" w:lineRule="auto"/>
        <w:ind w:right="71" w:rightChars="34" w:firstLine="424" w:firstLineChars="177"/>
        <w:rPr>
          <w:rFonts w:eastAsia="楷体_GB2312"/>
          <w:bCs/>
          <w:sz w:val="24"/>
          <w:szCs w:val="24"/>
        </w:rPr>
      </w:pPr>
      <w:r>
        <w:rPr>
          <w:rFonts w:hint="eastAsia" w:eastAsia="楷体_GB2312"/>
          <w:bCs/>
          <w:sz w:val="24"/>
          <w:szCs w:val="24"/>
        </w:rPr>
        <w:t>在创新创业类竞赛中，我参与的项目在“挑战杯”首都大学生创业计划竞赛中获得特等奖，并在中国国际大学生创新大赛中获得北京赛区二等奖及三等奖。相关项目围绕人工智能与实际应用场景展开，在实践中不断深化我对技术发展路径及其社会影响的理解。此外，我还在校级“世纪杯”竞赛及权益提案大赛、时事论坛等综合类活动中取得多项成绩，从不同侧面体现出较为全面的发展状态。</w:t>
      </w:r>
    </w:p>
    <w:p w14:paraId="48E8DF51">
      <w:pPr>
        <w:spacing w:after="240" w:afterLines="100" w:line="240" w:lineRule="auto"/>
        <w:ind w:right="71" w:rightChars="34" w:firstLine="424" w:firstLineChars="177"/>
        <w:rPr>
          <w:rFonts w:eastAsia="楷体_GB2312"/>
          <w:bCs/>
          <w:sz w:val="24"/>
          <w:szCs w:val="24"/>
        </w:rPr>
      </w:pPr>
      <w:r>
        <w:rPr>
          <w:rFonts w:hint="eastAsia" w:eastAsia="楷体_GB2312"/>
          <w:bCs/>
          <w:sz w:val="24"/>
          <w:szCs w:val="24"/>
        </w:rPr>
        <w:t>在社会实践方面，我参与“寻红色育人路，讲北理报国事”等主题实践项目并获得校级一等奖，通过实地调研与理论结合，加深了对国家治理体系与法治实践的理解，也进一步强化了将学术研究与现实问题相结合的意识。总体而言，上述学业成绩与竞赛成果相互支撑，体现出我在法学基础、科研潜力及跨学科探索方面的持续积累。</w:t>
      </w:r>
    </w:p>
    <w:p w14:paraId="28CC09DB">
      <w:pPr>
        <w:spacing w:line="240" w:lineRule="auto"/>
        <w:ind w:right="71" w:rightChars="34"/>
        <w:rPr>
          <w:rFonts w:hint="eastAsia" w:ascii="宋体" w:hAnsi="宋体"/>
          <w:szCs w:val="21"/>
        </w:rPr>
      </w:pPr>
      <w:r>
        <w:rPr>
          <w:rFonts w:hint="eastAsia" w:ascii="宋体" w:hAnsi="宋体"/>
          <w:szCs w:val="21"/>
        </w:rPr>
        <w:t>在校成绩</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6663"/>
      </w:tblGrid>
      <w:tr w14:paraId="1092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8" w:type="pct"/>
            <w:vAlign w:val="center"/>
          </w:tcPr>
          <w:p w14:paraId="36A2F1D2">
            <w:pPr>
              <w:spacing w:line="240" w:lineRule="auto"/>
              <w:ind w:right="71" w:rightChars="34" w:firstLine="371" w:firstLineChars="177"/>
              <w:jc w:val="center"/>
              <w:rPr>
                <w:rFonts w:hint="eastAsia" w:ascii="宋体" w:hAnsi="宋体"/>
                <w:szCs w:val="21"/>
              </w:rPr>
            </w:pPr>
            <w:r>
              <w:rPr>
                <w:rFonts w:hint="eastAsia" w:ascii="宋体" w:hAnsi="宋体"/>
                <w:szCs w:val="21"/>
              </w:rPr>
              <w:t>最新专业排名情况</w:t>
            </w:r>
          </w:p>
        </w:tc>
        <w:tc>
          <w:tcPr>
            <w:tcW w:w="3481" w:type="pct"/>
            <w:vAlign w:val="center"/>
          </w:tcPr>
          <w:p w14:paraId="2423E845">
            <w:pPr>
              <w:spacing w:line="240" w:lineRule="auto"/>
              <w:ind w:right="71" w:rightChars="34" w:firstLine="371" w:firstLineChars="177"/>
              <w:jc w:val="center"/>
              <w:rPr>
                <w:rFonts w:hint="eastAsia" w:ascii="宋体" w:hAnsi="宋体"/>
                <w:szCs w:val="21"/>
              </w:rPr>
            </w:pPr>
            <w:r>
              <w:rPr>
                <w:rFonts w:hint="eastAsia" w:ascii="宋体" w:hAnsi="宋体"/>
                <w:szCs w:val="21"/>
              </w:rPr>
              <w:t>前5%</w:t>
            </w:r>
          </w:p>
        </w:tc>
      </w:tr>
    </w:tbl>
    <w:p w14:paraId="5DE79172">
      <w:pPr>
        <w:wordWrap w:val="0"/>
        <w:spacing w:line="360" w:lineRule="auto"/>
        <w:ind w:right="-57"/>
        <w:outlineLvl w:val="0"/>
        <w:rPr>
          <w:rFonts w:hint="eastAsia" w:ascii="宋体" w:hAnsi="宋体"/>
          <w:szCs w:val="21"/>
        </w:rPr>
      </w:pPr>
      <w:r>
        <w:rPr>
          <w:rFonts w:eastAsia="黑体"/>
          <w:b/>
          <w:sz w:val="32"/>
          <w:szCs w:val="32"/>
        </w:rPr>
        <w:br w:type="page"/>
      </w:r>
      <w:r>
        <w:rPr>
          <w:rFonts w:hint="eastAsia" w:eastAsia="黑体"/>
          <w:b/>
          <w:sz w:val="32"/>
        </w:rPr>
        <w:t>四</w:t>
      </w:r>
      <w:r>
        <w:rPr>
          <w:rFonts w:eastAsia="黑体"/>
          <w:b/>
          <w:sz w:val="32"/>
        </w:rPr>
        <w:t>、申请者</w:t>
      </w:r>
      <w:r>
        <w:rPr>
          <w:rFonts w:hint="eastAsia" w:eastAsia="黑体"/>
          <w:b/>
          <w:sz w:val="32"/>
        </w:rPr>
        <w:t>承诺</w:t>
      </w:r>
    </w:p>
    <w:p w14:paraId="17C397FC">
      <w:pPr>
        <w:spacing w:line="240" w:lineRule="auto"/>
        <w:ind w:right="71" w:rightChars="34"/>
        <w:rPr>
          <w:rFonts w:hint="eastAsia" w:ascii="宋体" w:hAnsi="宋体"/>
          <w:szCs w:val="21"/>
        </w:rPr>
      </w:pP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1D6D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trPr>
        <w:tc>
          <w:tcPr>
            <w:tcW w:w="9386" w:type="dxa"/>
          </w:tcPr>
          <w:p w14:paraId="45AA62A8">
            <w:pPr>
              <w:wordWrap w:val="0"/>
              <w:spacing w:line="360" w:lineRule="auto"/>
              <w:ind w:right="-57"/>
              <w:rPr>
                <w:rFonts w:eastAsia="黑体"/>
                <w:b/>
                <w:sz w:val="32"/>
              </w:rPr>
            </w:pPr>
          </w:p>
          <w:p w14:paraId="3497A524">
            <w:pPr>
              <w:numPr>
                <w:ilvl w:val="0"/>
                <w:numId w:val="12"/>
              </w:numPr>
              <w:ind w:left="72" w:right="57" w:firstLine="420" w:firstLineChars="200"/>
            </w:pPr>
            <w:r>
              <w:t>项目组主要成员、合作单位信息真实、完整、有效，项目组主要成员、合作单位知晓并同意参与项目研究。</w:t>
            </w:r>
          </w:p>
          <w:p w14:paraId="38A73550">
            <w:pPr>
              <w:numPr>
                <w:ilvl w:val="0"/>
                <w:numId w:val="12"/>
              </w:numPr>
              <w:ind w:left="72" w:right="57" w:firstLine="420" w:firstLineChars="200"/>
            </w:pPr>
            <w:r>
              <w:t>申请项目如获资助，确保在规定时间内</w:t>
            </w:r>
            <w:r>
              <w:rPr>
                <w:rFonts w:hint="eastAsia"/>
              </w:rPr>
              <w:t>提交</w:t>
            </w:r>
            <w:r>
              <w:t>完成签字、盖章手续</w:t>
            </w:r>
            <w:r>
              <w:rPr>
                <w:rFonts w:hint="eastAsia"/>
              </w:rPr>
              <w:t>的</w:t>
            </w:r>
            <w:r>
              <w:t>申请书和任务书。</w:t>
            </w:r>
          </w:p>
          <w:p w14:paraId="01B512BC">
            <w:pPr>
              <w:numPr>
                <w:ilvl w:val="0"/>
                <w:numId w:val="12"/>
              </w:numPr>
              <w:ind w:left="72" w:right="57" w:firstLine="420" w:firstLineChars="200"/>
            </w:pPr>
            <w:r>
              <w:t>本项目研究内容未获其他项目经费支持。</w:t>
            </w:r>
          </w:p>
          <w:p w14:paraId="1A9C7384">
            <w:pPr>
              <w:numPr>
                <w:ilvl w:val="0"/>
                <w:numId w:val="12"/>
              </w:numPr>
              <w:ind w:left="72" w:right="57" w:firstLine="420" w:firstLineChars="200"/>
            </w:pPr>
            <w:r>
              <w:t>遵守北京市自然科学基金的有关管理规定，保证研究工作时间，认真开展研究工作。</w:t>
            </w:r>
          </w:p>
          <w:p w14:paraId="7F0851CA">
            <w:pPr>
              <w:numPr>
                <w:ilvl w:val="0"/>
                <w:numId w:val="12"/>
              </w:numPr>
              <w:ind w:left="72" w:right="57" w:firstLine="420" w:firstLineChars="200"/>
            </w:pPr>
            <w:r>
              <w:t>项目经费按照</w:t>
            </w:r>
            <w:r>
              <w:rPr>
                <w:rFonts w:hint="eastAsia"/>
              </w:rPr>
              <w:t>《北京市自然科学基金项目经费管理办法》</w:t>
            </w:r>
            <w:r>
              <w:t>及依托单位相关管理规定执行。</w:t>
            </w:r>
          </w:p>
          <w:p w14:paraId="7D36A41F">
            <w:pPr>
              <w:wordWrap w:val="0"/>
              <w:ind w:right="-57" w:firstLine="5145" w:firstLineChars="2450"/>
            </w:pPr>
            <w:r>
              <w:rPr>
                <w:szCs w:val="21"/>
              </w:rPr>
              <w:t>项目</w:t>
            </w:r>
            <w:r>
              <w:t xml:space="preserve">申请者（签字）： </w:t>
            </w:r>
            <w:r>
              <w:rPr>
                <w:rFonts w:ascii="宋体" w:hAnsi="宋体"/>
                <w:spacing w:val="-20"/>
                <w:szCs w:val="21"/>
              </w:rPr>
              <w:pict>
                <v:shape id="_x0000_i1068" o:spt="75" alt="签名照" type="#_x0000_t75" style="height:61.95pt;width:33.9pt;rotation:-5898240f;" filled="f" o:preferrelative="t" stroked="f" coordsize="21600,21600">
                  <v:path/>
                  <v:fill on="f" focussize="0,0"/>
                  <v:stroke on="f" joinstyle="miter"/>
                  <v:imagedata r:id="rId10" o:title="签名照"/>
                  <o:lock v:ext="edit" aspectratio="t"/>
                  <w10:wrap type="none"/>
                  <w10:anchorlock/>
                </v:shape>
              </w:pict>
            </w:r>
            <w:r>
              <w:t xml:space="preserve">     </w:t>
            </w:r>
          </w:p>
          <w:p w14:paraId="34432F46">
            <w:pPr>
              <w:wordWrap w:val="0"/>
              <w:ind w:right="-57" w:firstLine="5145" w:firstLineChars="2450"/>
            </w:pPr>
            <w:r>
              <w:t xml:space="preserve">  </w:t>
            </w:r>
          </w:p>
          <w:p w14:paraId="10796D92">
            <w:pPr>
              <w:wordWrap w:val="0"/>
              <w:ind w:left="-57" w:right="-57"/>
              <w:rPr>
                <w:rFonts w:eastAsia="黑体"/>
                <w:b/>
                <w:sz w:val="32"/>
              </w:rPr>
            </w:pPr>
            <w:r>
              <w:t xml:space="preserve">                                                            </w:t>
            </w:r>
            <w:r>
              <w:rPr>
                <w:rFonts w:hint="eastAsia"/>
              </w:rPr>
              <w:t>2026</w:t>
            </w:r>
            <w:r>
              <w:t xml:space="preserve">   年  </w:t>
            </w:r>
            <w:r>
              <w:rPr>
                <w:rFonts w:hint="eastAsia"/>
              </w:rPr>
              <w:t>4</w:t>
            </w:r>
            <w:r>
              <w:t xml:space="preserve">   月  </w:t>
            </w:r>
            <w:r>
              <w:rPr>
                <w:rFonts w:hint="eastAsia"/>
              </w:rPr>
              <w:t>14</w:t>
            </w:r>
            <w:r>
              <w:t xml:space="preserve">   日</w:t>
            </w:r>
          </w:p>
        </w:tc>
      </w:tr>
    </w:tbl>
    <w:p w14:paraId="7F33213C">
      <w:pPr>
        <w:spacing w:line="240" w:lineRule="auto"/>
        <w:ind w:right="71" w:rightChars="34"/>
        <w:rPr>
          <w:rFonts w:hint="eastAsia" w:ascii="宋体" w:hAnsi="宋体"/>
          <w:szCs w:val="21"/>
        </w:rPr>
      </w:pPr>
    </w:p>
    <w:p w14:paraId="678EFFDE">
      <w:pPr>
        <w:wordWrap w:val="0"/>
        <w:spacing w:line="360" w:lineRule="auto"/>
        <w:ind w:right="-57"/>
        <w:outlineLvl w:val="0"/>
        <w:rPr>
          <w:rFonts w:eastAsia="黑体"/>
          <w:b/>
          <w:sz w:val="32"/>
        </w:rPr>
      </w:pPr>
      <w:r>
        <w:rPr>
          <w:rFonts w:hint="eastAsia" w:eastAsia="黑体"/>
          <w:b/>
          <w:sz w:val="32"/>
        </w:rPr>
        <w:t>五、</w:t>
      </w:r>
      <w:r>
        <w:rPr>
          <w:rFonts w:eastAsia="黑体"/>
          <w:b/>
          <w:sz w:val="32"/>
        </w:rPr>
        <w:t>单位审查意见</w:t>
      </w:r>
    </w:p>
    <w:tbl>
      <w:tblPr>
        <w:tblStyle w:val="13"/>
        <w:tblW w:w="9341" w:type="dxa"/>
        <w:tblInd w:w="10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341"/>
      </w:tblGrid>
      <w:tr w14:paraId="0F73FD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509" w:hRule="atLeast"/>
        </w:trPr>
        <w:tc>
          <w:tcPr>
            <w:tcW w:w="9341" w:type="dxa"/>
            <w:tcBorders>
              <w:bottom w:val="single" w:color="000000" w:sz="6" w:space="0"/>
            </w:tcBorders>
          </w:tcPr>
          <w:p w14:paraId="73FAD843">
            <w:pPr>
              <w:wordWrap w:val="0"/>
              <w:ind w:right="-57"/>
              <w:rPr>
                <w:b/>
              </w:rPr>
            </w:pPr>
          </w:p>
          <w:p w14:paraId="794782C4">
            <w:pPr>
              <w:wordWrap w:val="0"/>
              <w:ind w:left="430" w:right="-57"/>
              <w:rPr>
                <w:b/>
              </w:rPr>
            </w:pPr>
          </w:p>
          <w:p w14:paraId="47707FEE">
            <w:pPr>
              <w:ind w:left="72" w:right="57" w:firstLine="420" w:firstLineChars="200"/>
            </w:pPr>
            <w:r>
              <w:t>我单位已</w:t>
            </w:r>
            <w:r>
              <w:rPr>
                <w:rFonts w:hint="eastAsia"/>
              </w:rPr>
              <w:t>按照北京市自然科学基金相关规定对</w:t>
            </w:r>
            <w:r>
              <w:t>申请</w:t>
            </w:r>
            <w:r>
              <w:rPr>
                <w:rFonts w:hint="eastAsia"/>
              </w:rPr>
              <w:t>人及主要成员的资格和申请书内容</w:t>
            </w:r>
            <w:r>
              <w:t>进行了审查</w:t>
            </w:r>
            <w:r>
              <w:rPr>
                <w:rFonts w:hint="eastAsia"/>
              </w:rPr>
              <w:t>，申请人及主要成员符合项目申请条件，且该项目未重复立项。</w:t>
            </w:r>
          </w:p>
          <w:p w14:paraId="41E8A880">
            <w:pPr>
              <w:ind w:right="57" w:firstLine="420" w:firstLineChars="200"/>
            </w:pPr>
            <w:r>
              <w:rPr>
                <w:rFonts w:hint="eastAsia"/>
              </w:rPr>
              <w:t>我单位</w:t>
            </w:r>
            <w:r>
              <w:t>保证在项目获得资助后将做到以下几点：</w:t>
            </w:r>
          </w:p>
          <w:p w14:paraId="15950494">
            <w:pPr>
              <w:ind w:left="72" w:right="57" w:firstLine="359" w:firstLineChars="171"/>
            </w:pPr>
            <w:r>
              <w:fldChar w:fldCharType="begin"/>
            </w:r>
            <w:r>
              <w:instrText xml:space="preserve"> </w:instrText>
            </w:r>
            <w:r>
              <w:rPr>
                <w:rFonts w:hint="eastAsia"/>
              </w:rPr>
              <w:instrText xml:space="preserve">= 1 \* GB2</w:instrText>
            </w:r>
            <w:r>
              <w:instrText xml:space="preserve"> </w:instrText>
            </w:r>
            <w:r>
              <w:fldChar w:fldCharType="separate"/>
            </w:r>
            <w:r>
              <w:rPr>
                <w:rFonts w:hint="eastAsia"/>
              </w:rPr>
              <w:t>⑴</w:t>
            </w:r>
            <w:r>
              <w:fldChar w:fldCharType="end"/>
            </w:r>
            <w:r>
              <w:t>保证在研究计划实施所需的人力、物力和工作时间等方面给予支持。</w:t>
            </w:r>
          </w:p>
          <w:p w14:paraId="10DD5F96">
            <w:pPr>
              <w:ind w:left="72" w:right="57" w:firstLine="359" w:firstLineChars="171"/>
            </w:pPr>
            <w:r>
              <w:fldChar w:fldCharType="begin"/>
            </w:r>
            <w:r>
              <w:instrText xml:space="preserve"> </w:instrText>
            </w:r>
            <w:r>
              <w:rPr>
                <w:rFonts w:hint="eastAsia"/>
              </w:rPr>
              <w:instrText xml:space="preserve">= 2 \* GB2</w:instrText>
            </w:r>
            <w:r>
              <w:instrText xml:space="preserve"> </w:instrText>
            </w:r>
            <w:r>
              <w:fldChar w:fldCharType="separate"/>
            </w:r>
            <w:r>
              <w:rPr>
                <w:rFonts w:hint="eastAsia"/>
              </w:rPr>
              <w:t>⑵</w:t>
            </w:r>
            <w:r>
              <w:fldChar w:fldCharType="end"/>
            </w:r>
            <w:r>
              <w:t>严格遵守北京市自然科学基金有关资助项目管理、财务管理等各项规定。</w:t>
            </w:r>
          </w:p>
          <w:p w14:paraId="17A8AB5A">
            <w:pPr>
              <w:ind w:left="72" w:right="57" w:firstLine="359" w:firstLineChars="171"/>
            </w:pPr>
            <w:r>
              <w:fldChar w:fldCharType="begin"/>
            </w:r>
            <w:r>
              <w:instrText xml:space="preserve"> </w:instrText>
            </w:r>
            <w:r>
              <w:rPr>
                <w:rFonts w:hint="eastAsia"/>
              </w:rPr>
              <w:instrText xml:space="preserve">= 3 \* GB2</w:instrText>
            </w:r>
            <w:r>
              <w:instrText xml:space="preserve"> </w:instrText>
            </w:r>
            <w:r>
              <w:fldChar w:fldCharType="separate"/>
            </w:r>
            <w:r>
              <w:rPr>
                <w:rFonts w:hint="eastAsia"/>
              </w:rPr>
              <w:t>⑶</w:t>
            </w:r>
            <w:r>
              <w:fldChar w:fldCharType="end"/>
            </w:r>
            <w:r>
              <w:t>督促项目负责人和本单位项目管理部门，按北京市自然科学基金的</w:t>
            </w:r>
            <w:r>
              <w:rPr>
                <w:rFonts w:hint="eastAsia"/>
              </w:rPr>
              <w:t>相关</w:t>
            </w:r>
            <w:r>
              <w:t>规定，及时报送有关材料。</w:t>
            </w:r>
          </w:p>
          <w:p w14:paraId="3CC25577">
            <w:pPr>
              <w:wordWrap w:val="0"/>
              <w:ind w:right="-57"/>
            </w:pPr>
          </w:p>
          <w:p w14:paraId="065591CC">
            <w:pPr>
              <w:wordWrap w:val="0"/>
              <w:ind w:right="-57"/>
            </w:pPr>
          </w:p>
          <w:p w14:paraId="1BC6F13D">
            <w:pPr>
              <w:wordWrap w:val="0"/>
              <w:ind w:right="-57"/>
            </w:pPr>
          </w:p>
          <w:p w14:paraId="3A21787E">
            <w:pPr>
              <w:wordWrap w:val="0"/>
              <w:ind w:right="-57"/>
            </w:pPr>
          </w:p>
          <w:p w14:paraId="3118509E">
            <w:pPr>
              <w:wordWrap w:val="0"/>
              <w:ind w:right="-57" w:firstLine="630" w:firstLineChars="300"/>
            </w:pPr>
            <w:r>
              <w:t>单位负责人（签字或签章）：                   单位（公章）：</w:t>
            </w:r>
          </w:p>
          <w:p w14:paraId="0CD984E2">
            <w:pPr>
              <w:wordWrap w:val="0"/>
              <w:ind w:left="-57" w:right="-57" w:firstLine="540"/>
            </w:pPr>
          </w:p>
          <w:p w14:paraId="0FCB9085">
            <w:pPr>
              <w:wordWrap w:val="0"/>
              <w:ind w:left="-57" w:leftChars="-27" w:right="-57" w:firstLine="5474" w:firstLineChars="2607"/>
            </w:pPr>
            <w:r>
              <w:t xml:space="preserve">        年    月    日</w:t>
            </w:r>
          </w:p>
        </w:tc>
      </w:tr>
    </w:tbl>
    <w:p w14:paraId="6FD3161C">
      <w:pPr>
        <w:wordWrap w:val="0"/>
        <w:spacing w:line="360" w:lineRule="auto"/>
        <w:ind w:right="-57"/>
      </w:pPr>
    </w:p>
    <w:sectPr>
      <w:pgSz w:w="11907" w:h="16840"/>
      <w:pgMar w:top="964" w:right="1134" w:bottom="964" w:left="1418" w:header="851" w:footer="737" w:gutter="0"/>
      <w:pgNumType w:fmt="numberInDash"/>
      <w:cols w:space="720" w:num="1"/>
      <w:docGrid w:linePitch="28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隶书_GB2312">
    <w:altName w:val="隶书"/>
    <w:panose1 w:val="00000000000000000000"/>
    <w:charset w:val="86"/>
    <w:family w:val="auto"/>
    <w:pitch w:val="default"/>
    <w:sig w:usb0="00000000" w:usb1="00000000" w:usb2="00000010" w:usb3="00000000" w:csb0="00040000" w:csb1="00000000"/>
  </w:font>
  <w:font w:name="隶书">
    <w:panose1 w:val="02010509060101010101"/>
    <w:charset w:val="86"/>
    <w:family w:val="auto"/>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4E8F2">
    <w:pPr>
      <w:jc w:val="center"/>
    </w:pPr>
    <w:r>
      <w:fldChar w:fldCharType="begin"/>
    </w:r>
    <w:r>
      <w:instrText xml:space="preserve"> PAGE   \* MERGEFORMAT </w:instrText>
    </w:r>
    <w:r>
      <w:fldChar w:fldCharType="separate"/>
    </w:r>
    <w:r>
      <w:rPr>
        <w:lang w:val="zh-CN"/>
      </w:rPr>
      <w:t>-</w:t>
    </w:r>
    <w:r>
      <w:t xml:space="preserve"> 18 -</w:t>
    </w:r>
    <w:r>
      <w:fldChar w:fldCharType="end"/>
    </w:r>
  </w:p>
  <w:p w14:paraId="70E972DD">
    <w:pPr>
      <w:spacing w:line="14" w:lineRule="exact"/>
      <w:ind w:right="35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DD07F">
    <w:pPr>
      <w:framePr w:wrap="around" w:vAnchor="text" w:hAnchor="margin" w:xAlign="right" w:y="1"/>
      <w:rPr>
        <w:rStyle w:val="17"/>
      </w:rPr>
    </w:pPr>
    <w:r>
      <w:rPr>
        <w:rStyle w:val="17"/>
      </w:rPr>
      <w:fldChar w:fldCharType="begin"/>
    </w:r>
    <w:r>
      <w:rPr>
        <w:rStyle w:val="17"/>
      </w:rPr>
      <w:instrText xml:space="preserve">PAGE  </w:instrText>
    </w:r>
    <w:r>
      <w:rPr>
        <w:rStyle w:val="17"/>
      </w:rPr>
      <w:fldChar w:fldCharType="end"/>
    </w:r>
  </w:p>
  <w:p w14:paraId="396476EC">
    <w:pPr>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65159">
    <w:pPr>
      <w:jc w:val="center"/>
    </w:pPr>
    <w:r>
      <w:fldChar w:fldCharType="begin"/>
    </w:r>
    <w:r>
      <w:instrText xml:space="preserve"> PAGE   \* MERGEFORMAT </w:instrText>
    </w:r>
    <w:r>
      <w:fldChar w:fldCharType="separate"/>
    </w:r>
    <w:r>
      <w:rPr>
        <w:lang w:val="zh-CN"/>
      </w:rPr>
      <w:t>-</w:t>
    </w:r>
    <w:r>
      <w:t xml:space="preserve"> 15 -</w:t>
    </w:r>
    <w:r>
      <w:fldChar w:fldCharType="end"/>
    </w:r>
  </w:p>
  <w:p w14:paraId="0D7BB3B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F23C9"/>
    <w:multiLevelType w:val="singleLevel"/>
    <w:tmpl w:val="8D5F23C9"/>
    <w:lvl w:ilvl="0" w:tentative="0">
      <w:start w:val="1"/>
      <w:numFmt w:val="decimal"/>
      <w:lvlText w:val="[%1]"/>
      <w:lvlJc w:val="left"/>
      <w:pPr>
        <w:tabs>
          <w:tab w:val="left" w:pos="420"/>
        </w:tabs>
        <w:ind w:left="425" w:hanging="425"/>
      </w:pPr>
      <w:rPr>
        <w:rFonts w:hint="default" w:ascii="宋体" w:hAnsi="宋体" w:eastAsia="宋体" w:cs="宋体"/>
      </w:rPr>
    </w:lvl>
  </w:abstractNum>
  <w:abstractNum w:abstractNumId="1">
    <w:nsid w:val="929ACED8"/>
    <w:multiLevelType w:val="singleLevel"/>
    <w:tmpl w:val="929ACED8"/>
    <w:lvl w:ilvl="0" w:tentative="0">
      <w:start w:val="1"/>
      <w:numFmt w:val="decimal"/>
      <w:suff w:val="nothing"/>
      <w:lvlText w:val="（%1）"/>
      <w:lvlJc w:val="left"/>
    </w:lvl>
  </w:abstractNum>
  <w:abstractNum w:abstractNumId="2">
    <w:nsid w:val="B0264613"/>
    <w:multiLevelType w:val="singleLevel"/>
    <w:tmpl w:val="B0264613"/>
    <w:lvl w:ilvl="0" w:tentative="0">
      <w:start w:val="1"/>
      <w:numFmt w:val="chineseCounting"/>
      <w:suff w:val="nothing"/>
      <w:lvlText w:val="第%1，"/>
      <w:lvlJc w:val="left"/>
      <w:rPr>
        <w:rFonts w:hint="eastAsia"/>
      </w:rPr>
    </w:lvl>
  </w:abstractNum>
  <w:abstractNum w:abstractNumId="3">
    <w:nsid w:val="B7A683A3"/>
    <w:multiLevelType w:val="singleLevel"/>
    <w:tmpl w:val="B7A683A3"/>
    <w:lvl w:ilvl="0" w:tentative="0">
      <w:start w:val="1"/>
      <w:numFmt w:val="decimal"/>
      <w:lvlText w:val="%1."/>
      <w:lvlJc w:val="left"/>
      <w:pPr>
        <w:ind w:left="425" w:hanging="425"/>
      </w:pPr>
      <w:rPr>
        <w:rFonts w:hint="default"/>
      </w:rPr>
    </w:lvl>
  </w:abstractNum>
  <w:abstractNum w:abstractNumId="4">
    <w:nsid w:val="C6C1F5D3"/>
    <w:multiLevelType w:val="singleLevel"/>
    <w:tmpl w:val="C6C1F5D3"/>
    <w:lvl w:ilvl="0" w:tentative="0">
      <w:start w:val="1"/>
      <w:numFmt w:val="decimal"/>
      <w:suff w:val="nothing"/>
      <w:lvlText w:val="（%1）"/>
      <w:lvlJc w:val="left"/>
    </w:lvl>
  </w:abstractNum>
  <w:abstractNum w:abstractNumId="5">
    <w:nsid w:val="CC9BF739"/>
    <w:multiLevelType w:val="singleLevel"/>
    <w:tmpl w:val="CC9BF739"/>
    <w:lvl w:ilvl="0" w:tentative="0">
      <w:start w:val="1"/>
      <w:numFmt w:val="decimal"/>
      <w:lvlText w:val="%1."/>
      <w:lvlJc w:val="left"/>
      <w:pPr>
        <w:ind w:left="425" w:hanging="425"/>
      </w:pPr>
      <w:rPr>
        <w:rFonts w:hint="default"/>
      </w:rPr>
    </w:lvl>
  </w:abstractNum>
  <w:abstractNum w:abstractNumId="6">
    <w:nsid w:val="FB24A3F6"/>
    <w:multiLevelType w:val="singleLevel"/>
    <w:tmpl w:val="FB24A3F6"/>
    <w:lvl w:ilvl="0" w:tentative="0">
      <w:start w:val="1"/>
      <w:numFmt w:val="decimal"/>
      <w:suff w:val="nothing"/>
      <w:lvlText w:val="（%1）"/>
      <w:lvlJc w:val="left"/>
      <w:pPr>
        <w:ind w:left="105" w:firstLine="0"/>
      </w:pPr>
      <w:rPr>
        <w:rFonts w:hint="default" w:ascii="宋体" w:hAnsi="宋体" w:eastAsia="宋体" w:cs="宋体"/>
        <w:sz w:val="21"/>
        <w:szCs w:val="21"/>
      </w:rPr>
    </w:lvl>
  </w:abstractNum>
  <w:abstractNum w:abstractNumId="7">
    <w:nsid w:val="002AC683"/>
    <w:multiLevelType w:val="singleLevel"/>
    <w:tmpl w:val="002AC683"/>
    <w:lvl w:ilvl="0" w:tentative="0">
      <w:start w:val="1"/>
      <w:numFmt w:val="decimal"/>
      <w:suff w:val="nothing"/>
      <w:lvlText w:val="（%1）"/>
      <w:lvlJc w:val="left"/>
    </w:lvl>
  </w:abstractNum>
  <w:abstractNum w:abstractNumId="8">
    <w:nsid w:val="204561E6"/>
    <w:multiLevelType w:val="singleLevel"/>
    <w:tmpl w:val="204561E6"/>
    <w:lvl w:ilvl="0" w:tentative="0">
      <w:start w:val="1"/>
      <w:numFmt w:val="lowerLetter"/>
      <w:suff w:val="space"/>
      <w:lvlText w:val="(%1)"/>
      <w:lvlJc w:val="left"/>
    </w:lvl>
  </w:abstractNum>
  <w:abstractNum w:abstractNumId="9">
    <w:nsid w:val="33548DA9"/>
    <w:multiLevelType w:val="singleLevel"/>
    <w:tmpl w:val="33548DA9"/>
    <w:lvl w:ilvl="0" w:tentative="0">
      <w:start w:val="1"/>
      <w:numFmt w:val="decimal"/>
      <w:lvlText w:val="%1."/>
      <w:lvlJc w:val="left"/>
      <w:pPr>
        <w:tabs>
          <w:tab w:val="left" w:pos="312"/>
        </w:tabs>
      </w:pPr>
    </w:lvl>
  </w:abstractNum>
  <w:abstractNum w:abstractNumId="10">
    <w:nsid w:val="5551E5D3"/>
    <w:multiLevelType w:val="singleLevel"/>
    <w:tmpl w:val="5551E5D3"/>
    <w:lvl w:ilvl="0" w:tentative="0">
      <w:start w:val="1"/>
      <w:numFmt w:val="decimal"/>
      <w:suff w:val="nothing"/>
      <w:lvlText w:val="（%1）"/>
      <w:lvlJc w:val="left"/>
      <w:pPr>
        <w:ind w:left="105" w:firstLine="0"/>
      </w:pPr>
      <w:rPr>
        <w:rFonts w:hint="default" w:ascii="宋体" w:hAnsi="宋体" w:eastAsia="宋体" w:cs="宋体"/>
        <w:sz w:val="21"/>
        <w:szCs w:val="21"/>
      </w:rPr>
    </w:lvl>
  </w:abstractNum>
  <w:abstractNum w:abstractNumId="11">
    <w:nsid w:val="63D44CA0"/>
    <w:multiLevelType w:val="singleLevel"/>
    <w:tmpl w:val="63D44CA0"/>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5"/>
  </w:num>
  <w:num w:numId="4">
    <w:abstractNumId w:val="1"/>
  </w:num>
  <w:num w:numId="5">
    <w:abstractNumId w:val="11"/>
  </w:num>
  <w:num w:numId="6">
    <w:abstractNumId w:val="7"/>
  </w:num>
  <w:num w:numId="7">
    <w:abstractNumId w:val="8"/>
  </w:num>
  <w:num w:numId="8">
    <w:abstractNumId w:val="6"/>
  </w:num>
  <w:num w:numId="9">
    <w:abstractNumId w:val="10"/>
  </w:num>
  <w:num w:numId="10">
    <w:abstractNumId w:val="3"/>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U5ZDk4YTVjODMyOTQ1MTEwNjliYzlkNGViNjkwYjIifQ=="/>
  </w:docVars>
  <w:rsids>
    <w:rsidRoot w:val="00C90C84"/>
    <w:rsid w:val="000018BE"/>
    <w:rsid w:val="00007EFF"/>
    <w:rsid w:val="00011489"/>
    <w:rsid w:val="000115E1"/>
    <w:rsid w:val="0001170A"/>
    <w:rsid w:val="0001330F"/>
    <w:rsid w:val="0001372E"/>
    <w:rsid w:val="00014520"/>
    <w:rsid w:val="00015C5F"/>
    <w:rsid w:val="00016A37"/>
    <w:rsid w:val="00016B4F"/>
    <w:rsid w:val="00017627"/>
    <w:rsid w:val="000237B8"/>
    <w:rsid w:val="00035747"/>
    <w:rsid w:val="0003579F"/>
    <w:rsid w:val="00035D8E"/>
    <w:rsid w:val="000367D3"/>
    <w:rsid w:val="00042B41"/>
    <w:rsid w:val="0004441D"/>
    <w:rsid w:val="00045BB7"/>
    <w:rsid w:val="00046D37"/>
    <w:rsid w:val="00047DE6"/>
    <w:rsid w:val="00047F31"/>
    <w:rsid w:val="0005043A"/>
    <w:rsid w:val="0005101D"/>
    <w:rsid w:val="00053516"/>
    <w:rsid w:val="00054C4A"/>
    <w:rsid w:val="00054FCA"/>
    <w:rsid w:val="00055C0B"/>
    <w:rsid w:val="00055D25"/>
    <w:rsid w:val="000564FF"/>
    <w:rsid w:val="00061246"/>
    <w:rsid w:val="00061CCD"/>
    <w:rsid w:val="0006240D"/>
    <w:rsid w:val="00062805"/>
    <w:rsid w:val="00063A4D"/>
    <w:rsid w:val="000648AF"/>
    <w:rsid w:val="00064985"/>
    <w:rsid w:val="00065E0E"/>
    <w:rsid w:val="000673E2"/>
    <w:rsid w:val="00067E55"/>
    <w:rsid w:val="000702C6"/>
    <w:rsid w:val="00071498"/>
    <w:rsid w:val="0007308B"/>
    <w:rsid w:val="00073F06"/>
    <w:rsid w:val="00080114"/>
    <w:rsid w:val="000810FA"/>
    <w:rsid w:val="00081963"/>
    <w:rsid w:val="000826C0"/>
    <w:rsid w:val="00082B21"/>
    <w:rsid w:val="0008434A"/>
    <w:rsid w:val="00086A34"/>
    <w:rsid w:val="00087741"/>
    <w:rsid w:val="0009052B"/>
    <w:rsid w:val="00090BFB"/>
    <w:rsid w:val="00091463"/>
    <w:rsid w:val="0009255E"/>
    <w:rsid w:val="0009469B"/>
    <w:rsid w:val="000A0533"/>
    <w:rsid w:val="000A0D32"/>
    <w:rsid w:val="000A17EE"/>
    <w:rsid w:val="000A1B83"/>
    <w:rsid w:val="000A1CCD"/>
    <w:rsid w:val="000A5840"/>
    <w:rsid w:val="000A6C75"/>
    <w:rsid w:val="000A7461"/>
    <w:rsid w:val="000B031C"/>
    <w:rsid w:val="000B49D8"/>
    <w:rsid w:val="000B5E34"/>
    <w:rsid w:val="000C11BA"/>
    <w:rsid w:val="000C46EC"/>
    <w:rsid w:val="000C5C2D"/>
    <w:rsid w:val="000D2E37"/>
    <w:rsid w:val="000D5E40"/>
    <w:rsid w:val="000D66BA"/>
    <w:rsid w:val="000D67BD"/>
    <w:rsid w:val="000E127B"/>
    <w:rsid w:val="000E27C5"/>
    <w:rsid w:val="000E5645"/>
    <w:rsid w:val="000E5CC3"/>
    <w:rsid w:val="000E719A"/>
    <w:rsid w:val="000E719B"/>
    <w:rsid w:val="000E74B7"/>
    <w:rsid w:val="000F3B44"/>
    <w:rsid w:val="000F794B"/>
    <w:rsid w:val="001017CE"/>
    <w:rsid w:val="001017F1"/>
    <w:rsid w:val="00101E46"/>
    <w:rsid w:val="001027B3"/>
    <w:rsid w:val="0010388B"/>
    <w:rsid w:val="00103C08"/>
    <w:rsid w:val="001041EC"/>
    <w:rsid w:val="001057E8"/>
    <w:rsid w:val="00105D4F"/>
    <w:rsid w:val="00106258"/>
    <w:rsid w:val="00107C82"/>
    <w:rsid w:val="0011125F"/>
    <w:rsid w:val="0011364B"/>
    <w:rsid w:val="00115180"/>
    <w:rsid w:val="00115EC4"/>
    <w:rsid w:val="00117776"/>
    <w:rsid w:val="00117852"/>
    <w:rsid w:val="00120940"/>
    <w:rsid w:val="0012095F"/>
    <w:rsid w:val="00120CF2"/>
    <w:rsid w:val="00121E1F"/>
    <w:rsid w:val="00124DC0"/>
    <w:rsid w:val="00125A9C"/>
    <w:rsid w:val="00125FBC"/>
    <w:rsid w:val="0013054E"/>
    <w:rsid w:val="001314B4"/>
    <w:rsid w:val="001341E9"/>
    <w:rsid w:val="00135009"/>
    <w:rsid w:val="001370A0"/>
    <w:rsid w:val="001413D6"/>
    <w:rsid w:val="00141512"/>
    <w:rsid w:val="001426E7"/>
    <w:rsid w:val="00142AA5"/>
    <w:rsid w:val="00146FE7"/>
    <w:rsid w:val="001470CB"/>
    <w:rsid w:val="001472D8"/>
    <w:rsid w:val="0015046B"/>
    <w:rsid w:val="001506E5"/>
    <w:rsid w:val="00153451"/>
    <w:rsid w:val="001546AF"/>
    <w:rsid w:val="00154843"/>
    <w:rsid w:val="001625F0"/>
    <w:rsid w:val="00162944"/>
    <w:rsid w:val="001642AF"/>
    <w:rsid w:val="00165846"/>
    <w:rsid w:val="00184523"/>
    <w:rsid w:val="001852C4"/>
    <w:rsid w:val="001862F0"/>
    <w:rsid w:val="001901E5"/>
    <w:rsid w:val="00190E59"/>
    <w:rsid w:val="00191F3E"/>
    <w:rsid w:val="001928BF"/>
    <w:rsid w:val="001942C9"/>
    <w:rsid w:val="00194D49"/>
    <w:rsid w:val="00194E1A"/>
    <w:rsid w:val="001958CF"/>
    <w:rsid w:val="00195C0A"/>
    <w:rsid w:val="0019626F"/>
    <w:rsid w:val="00197C0A"/>
    <w:rsid w:val="001A1513"/>
    <w:rsid w:val="001A2BF4"/>
    <w:rsid w:val="001A5202"/>
    <w:rsid w:val="001A7558"/>
    <w:rsid w:val="001A7CC8"/>
    <w:rsid w:val="001B14C5"/>
    <w:rsid w:val="001B1533"/>
    <w:rsid w:val="001B170F"/>
    <w:rsid w:val="001B430A"/>
    <w:rsid w:val="001B5CA9"/>
    <w:rsid w:val="001C058C"/>
    <w:rsid w:val="001C1D70"/>
    <w:rsid w:val="001D0C19"/>
    <w:rsid w:val="001D315D"/>
    <w:rsid w:val="001D337A"/>
    <w:rsid w:val="001D768B"/>
    <w:rsid w:val="001E1333"/>
    <w:rsid w:val="001E2F1D"/>
    <w:rsid w:val="001E563B"/>
    <w:rsid w:val="001E5919"/>
    <w:rsid w:val="001E6ADF"/>
    <w:rsid w:val="001E7E30"/>
    <w:rsid w:val="001F09AD"/>
    <w:rsid w:val="001F7126"/>
    <w:rsid w:val="001F7B7F"/>
    <w:rsid w:val="0020436D"/>
    <w:rsid w:val="002048D7"/>
    <w:rsid w:val="00204CD7"/>
    <w:rsid w:val="00206AA4"/>
    <w:rsid w:val="00207939"/>
    <w:rsid w:val="00210279"/>
    <w:rsid w:val="00210B02"/>
    <w:rsid w:val="0021162C"/>
    <w:rsid w:val="00211635"/>
    <w:rsid w:val="00211A1F"/>
    <w:rsid w:val="00214A91"/>
    <w:rsid w:val="00216637"/>
    <w:rsid w:val="0022282B"/>
    <w:rsid w:val="00224164"/>
    <w:rsid w:val="00225CF3"/>
    <w:rsid w:val="00226EDF"/>
    <w:rsid w:val="0022783D"/>
    <w:rsid w:val="00227ABE"/>
    <w:rsid w:val="00230028"/>
    <w:rsid w:val="0023464F"/>
    <w:rsid w:val="00235B52"/>
    <w:rsid w:val="00237599"/>
    <w:rsid w:val="002416F0"/>
    <w:rsid w:val="00241E3A"/>
    <w:rsid w:val="002449D8"/>
    <w:rsid w:val="00244CE1"/>
    <w:rsid w:val="00245B33"/>
    <w:rsid w:val="002471DB"/>
    <w:rsid w:val="002542A3"/>
    <w:rsid w:val="0025440D"/>
    <w:rsid w:val="002567C7"/>
    <w:rsid w:val="00257886"/>
    <w:rsid w:val="0025789A"/>
    <w:rsid w:val="002609C4"/>
    <w:rsid w:val="0026146E"/>
    <w:rsid w:val="00262769"/>
    <w:rsid w:val="002631FA"/>
    <w:rsid w:val="00266871"/>
    <w:rsid w:val="00271B29"/>
    <w:rsid w:val="00282012"/>
    <w:rsid w:val="00282B0B"/>
    <w:rsid w:val="00284BD8"/>
    <w:rsid w:val="002910F3"/>
    <w:rsid w:val="00291E31"/>
    <w:rsid w:val="00292023"/>
    <w:rsid w:val="0029219E"/>
    <w:rsid w:val="00293E0D"/>
    <w:rsid w:val="0029671A"/>
    <w:rsid w:val="002A0E8F"/>
    <w:rsid w:val="002A11D6"/>
    <w:rsid w:val="002A48EC"/>
    <w:rsid w:val="002A4B33"/>
    <w:rsid w:val="002A7806"/>
    <w:rsid w:val="002B16F9"/>
    <w:rsid w:val="002B1870"/>
    <w:rsid w:val="002B33FF"/>
    <w:rsid w:val="002B355B"/>
    <w:rsid w:val="002B529E"/>
    <w:rsid w:val="002B5648"/>
    <w:rsid w:val="002B7E46"/>
    <w:rsid w:val="002C46D5"/>
    <w:rsid w:val="002C4A85"/>
    <w:rsid w:val="002C50C4"/>
    <w:rsid w:val="002C5D39"/>
    <w:rsid w:val="002D11C8"/>
    <w:rsid w:val="002D3E48"/>
    <w:rsid w:val="002D4649"/>
    <w:rsid w:val="002D590E"/>
    <w:rsid w:val="002D6983"/>
    <w:rsid w:val="002E10D3"/>
    <w:rsid w:val="002E188E"/>
    <w:rsid w:val="002E1B51"/>
    <w:rsid w:val="002E2675"/>
    <w:rsid w:val="002F051F"/>
    <w:rsid w:val="002F29BA"/>
    <w:rsid w:val="002F2EC9"/>
    <w:rsid w:val="002F6350"/>
    <w:rsid w:val="002F780D"/>
    <w:rsid w:val="00300721"/>
    <w:rsid w:val="003011EB"/>
    <w:rsid w:val="00302024"/>
    <w:rsid w:val="003027D4"/>
    <w:rsid w:val="00303BB5"/>
    <w:rsid w:val="00305CCD"/>
    <w:rsid w:val="00306477"/>
    <w:rsid w:val="00307A92"/>
    <w:rsid w:val="003125D2"/>
    <w:rsid w:val="00312957"/>
    <w:rsid w:val="00317290"/>
    <w:rsid w:val="0032025E"/>
    <w:rsid w:val="0032066C"/>
    <w:rsid w:val="00324114"/>
    <w:rsid w:val="003245C4"/>
    <w:rsid w:val="00330B80"/>
    <w:rsid w:val="0033109C"/>
    <w:rsid w:val="00331C3B"/>
    <w:rsid w:val="00335945"/>
    <w:rsid w:val="00337164"/>
    <w:rsid w:val="00337808"/>
    <w:rsid w:val="0034050B"/>
    <w:rsid w:val="00341373"/>
    <w:rsid w:val="00341C42"/>
    <w:rsid w:val="003475DD"/>
    <w:rsid w:val="0035048A"/>
    <w:rsid w:val="00352246"/>
    <w:rsid w:val="00353999"/>
    <w:rsid w:val="0035546B"/>
    <w:rsid w:val="003557EA"/>
    <w:rsid w:val="003566A1"/>
    <w:rsid w:val="00356FDD"/>
    <w:rsid w:val="003577B5"/>
    <w:rsid w:val="00364052"/>
    <w:rsid w:val="003651CD"/>
    <w:rsid w:val="00370026"/>
    <w:rsid w:val="00371B01"/>
    <w:rsid w:val="00374504"/>
    <w:rsid w:val="00376D32"/>
    <w:rsid w:val="00377349"/>
    <w:rsid w:val="00381E44"/>
    <w:rsid w:val="003822A4"/>
    <w:rsid w:val="00382479"/>
    <w:rsid w:val="0038354A"/>
    <w:rsid w:val="00383A47"/>
    <w:rsid w:val="00385200"/>
    <w:rsid w:val="003877A0"/>
    <w:rsid w:val="00390230"/>
    <w:rsid w:val="00391170"/>
    <w:rsid w:val="00391918"/>
    <w:rsid w:val="0039366A"/>
    <w:rsid w:val="00393916"/>
    <w:rsid w:val="0039407C"/>
    <w:rsid w:val="003A4E6F"/>
    <w:rsid w:val="003A6199"/>
    <w:rsid w:val="003A669D"/>
    <w:rsid w:val="003A6BDE"/>
    <w:rsid w:val="003B0DD0"/>
    <w:rsid w:val="003B4328"/>
    <w:rsid w:val="003B468F"/>
    <w:rsid w:val="003B589E"/>
    <w:rsid w:val="003B6D27"/>
    <w:rsid w:val="003C1C4E"/>
    <w:rsid w:val="003C1DCC"/>
    <w:rsid w:val="003C692E"/>
    <w:rsid w:val="003C730F"/>
    <w:rsid w:val="003D14F2"/>
    <w:rsid w:val="003D48CB"/>
    <w:rsid w:val="003D63F4"/>
    <w:rsid w:val="003E00D6"/>
    <w:rsid w:val="003E0522"/>
    <w:rsid w:val="003E2408"/>
    <w:rsid w:val="003E2897"/>
    <w:rsid w:val="003E604D"/>
    <w:rsid w:val="003F4AE0"/>
    <w:rsid w:val="003F4DFC"/>
    <w:rsid w:val="003F6BB5"/>
    <w:rsid w:val="00402CD8"/>
    <w:rsid w:val="004056A4"/>
    <w:rsid w:val="00406195"/>
    <w:rsid w:val="0041140A"/>
    <w:rsid w:val="00412482"/>
    <w:rsid w:val="0041364F"/>
    <w:rsid w:val="00414076"/>
    <w:rsid w:val="00414B82"/>
    <w:rsid w:val="00417645"/>
    <w:rsid w:val="00420698"/>
    <w:rsid w:val="004253A4"/>
    <w:rsid w:val="004274BF"/>
    <w:rsid w:val="00430C33"/>
    <w:rsid w:val="00435ED2"/>
    <w:rsid w:val="00437658"/>
    <w:rsid w:val="00437B42"/>
    <w:rsid w:val="0044084B"/>
    <w:rsid w:val="00443273"/>
    <w:rsid w:val="00444333"/>
    <w:rsid w:val="00445EE3"/>
    <w:rsid w:val="0044773C"/>
    <w:rsid w:val="00450DE0"/>
    <w:rsid w:val="00451AE3"/>
    <w:rsid w:val="0045228A"/>
    <w:rsid w:val="00453374"/>
    <w:rsid w:val="00453AFA"/>
    <w:rsid w:val="004559F4"/>
    <w:rsid w:val="00460367"/>
    <w:rsid w:val="00460678"/>
    <w:rsid w:val="0046070F"/>
    <w:rsid w:val="00463632"/>
    <w:rsid w:val="004642E5"/>
    <w:rsid w:val="00464BF8"/>
    <w:rsid w:val="0046520C"/>
    <w:rsid w:val="00467957"/>
    <w:rsid w:val="0047034B"/>
    <w:rsid w:val="0047078B"/>
    <w:rsid w:val="00471006"/>
    <w:rsid w:val="00471AB6"/>
    <w:rsid w:val="00471F25"/>
    <w:rsid w:val="00473F3F"/>
    <w:rsid w:val="00475A17"/>
    <w:rsid w:val="00477452"/>
    <w:rsid w:val="00482755"/>
    <w:rsid w:val="0048458C"/>
    <w:rsid w:val="00484605"/>
    <w:rsid w:val="00484D31"/>
    <w:rsid w:val="0048516E"/>
    <w:rsid w:val="00485BF2"/>
    <w:rsid w:val="00486A2C"/>
    <w:rsid w:val="00487D95"/>
    <w:rsid w:val="00490C8C"/>
    <w:rsid w:val="00493EB9"/>
    <w:rsid w:val="0049473D"/>
    <w:rsid w:val="00495842"/>
    <w:rsid w:val="004967F9"/>
    <w:rsid w:val="004A1329"/>
    <w:rsid w:val="004A2BC8"/>
    <w:rsid w:val="004A2E5D"/>
    <w:rsid w:val="004A6039"/>
    <w:rsid w:val="004B0104"/>
    <w:rsid w:val="004B2D92"/>
    <w:rsid w:val="004B3368"/>
    <w:rsid w:val="004B636B"/>
    <w:rsid w:val="004B7509"/>
    <w:rsid w:val="004C0E51"/>
    <w:rsid w:val="004C3FF3"/>
    <w:rsid w:val="004C4602"/>
    <w:rsid w:val="004C5FA5"/>
    <w:rsid w:val="004C61FC"/>
    <w:rsid w:val="004D0426"/>
    <w:rsid w:val="004D2A84"/>
    <w:rsid w:val="004D5400"/>
    <w:rsid w:val="004D5903"/>
    <w:rsid w:val="004D68B4"/>
    <w:rsid w:val="004E142A"/>
    <w:rsid w:val="004E3222"/>
    <w:rsid w:val="004E4854"/>
    <w:rsid w:val="004E512E"/>
    <w:rsid w:val="004E6897"/>
    <w:rsid w:val="004E756E"/>
    <w:rsid w:val="004F1D65"/>
    <w:rsid w:val="004F5827"/>
    <w:rsid w:val="004F5E28"/>
    <w:rsid w:val="004F611D"/>
    <w:rsid w:val="004F6B30"/>
    <w:rsid w:val="00500680"/>
    <w:rsid w:val="005015C4"/>
    <w:rsid w:val="0050433C"/>
    <w:rsid w:val="00510579"/>
    <w:rsid w:val="0051151E"/>
    <w:rsid w:val="005139DA"/>
    <w:rsid w:val="0051516C"/>
    <w:rsid w:val="00515EF2"/>
    <w:rsid w:val="005173E0"/>
    <w:rsid w:val="00517B26"/>
    <w:rsid w:val="00517C99"/>
    <w:rsid w:val="00521E66"/>
    <w:rsid w:val="00523B06"/>
    <w:rsid w:val="00531092"/>
    <w:rsid w:val="005326BB"/>
    <w:rsid w:val="00534D4D"/>
    <w:rsid w:val="00536588"/>
    <w:rsid w:val="00541538"/>
    <w:rsid w:val="005421E6"/>
    <w:rsid w:val="005428C7"/>
    <w:rsid w:val="005445C1"/>
    <w:rsid w:val="00545522"/>
    <w:rsid w:val="00546BA0"/>
    <w:rsid w:val="00547F04"/>
    <w:rsid w:val="005500F8"/>
    <w:rsid w:val="00551ABD"/>
    <w:rsid w:val="00554D81"/>
    <w:rsid w:val="00554F6F"/>
    <w:rsid w:val="00557B7F"/>
    <w:rsid w:val="00560FDF"/>
    <w:rsid w:val="00561948"/>
    <w:rsid w:val="00565B5B"/>
    <w:rsid w:val="00566694"/>
    <w:rsid w:val="0057170B"/>
    <w:rsid w:val="00573634"/>
    <w:rsid w:val="00573CF5"/>
    <w:rsid w:val="005755C3"/>
    <w:rsid w:val="005761AB"/>
    <w:rsid w:val="00576985"/>
    <w:rsid w:val="00576DF6"/>
    <w:rsid w:val="00577858"/>
    <w:rsid w:val="00580E9F"/>
    <w:rsid w:val="00581D6F"/>
    <w:rsid w:val="00582CCA"/>
    <w:rsid w:val="005871A8"/>
    <w:rsid w:val="0058776E"/>
    <w:rsid w:val="005916E9"/>
    <w:rsid w:val="00591B78"/>
    <w:rsid w:val="00591DAC"/>
    <w:rsid w:val="00594695"/>
    <w:rsid w:val="00597E41"/>
    <w:rsid w:val="005A120A"/>
    <w:rsid w:val="005A3E6E"/>
    <w:rsid w:val="005A5D62"/>
    <w:rsid w:val="005A6635"/>
    <w:rsid w:val="005B1BFA"/>
    <w:rsid w:val="005B3FD7"/>
    <w:rsid w:val="005B4239"/>
    <w:rsid w:val="005B5408"/>
    <w:rsid w:val="005C2181"/>
    <w:rsid w:val="005C2974"/>
    <w:rsid w:val="005C55C2"/>
    <w:rsid w:val="005C6F61"/>
    <w:rsid w:val="005D0411"/>
    <w:rsid w:val="005D14E0"/>
    <w:rsid w:val="005D254D"/>
    <w:rsid w:val="005D25BE"/>
    <w:rsid w:val="005D29E8"/>
    <w:rsid w:val="005D3B17"/>
    <w:rsid w:val="005D72A0"/>
    <w:rsid w:val="005E01C8"/>
    <w:rsid w:val="005E22DF"/>
    <w:rsid w:val="005E2595"/>
    <w:rsid w:val="005E59CB"/>
    <w:rsid w:val="005E7A86"/>
    <w:rsid w:val="005F0C76"/>
    <w:rsid w:val="005F2DC1"/>
    <w:rsid w:val="005F4031"/>
    <w:rsid w:val="005F44EE"/>
    <w:rsid w:val="0060108F"/>
    <w:rsid w:val="006056AF"/>
    <w:rsid w:val="006072CB"/>
    <w:rsid w:val="00611612"/>
    <w:rsid w:val="00612C31"/>
    <w:rsid w:val="00612C83"/>
    <w:rsid w:val="006140B9"/>
    <w:rsid w:val="006147B7"/>
    <w:rsid w:val="006148F9"/>
    <w:rsid w:val="00616E97"/>
    <w:rsid w:val="006172D0"/>
    <w:rsid w:val="006246A3"/>
    <w:rsid w:val="00624819"/>
    <w:rsid w:val="00625BF3"/>
    <w:rsid w:val="00631DA8"/>
    <w:rsid w:val="0063292A"/>
    <w:rsid w:val="00635D1A"/>
    <w:rsid w:val="00637701"/>
    <w:rsid w:val="00640F73"/>
    <w:rsid w:val="00641152"/>
    <w:rsid w:val="00641903"/>
    <w:rsid w:val="00646428"/>
    <w:rsid w:val="0065495D"/>
    <w:rsid w:val="00654EC1"/>
    <w:rsid w:val="00657396"/>
    <w:rsid w:val="00660993"/>
    <w:rsid w:val="00661026"/>
    <w:rsid w:val="00665BAD"/>
    <w:rsid w:val="00671752"/>
    <w:rsid w:val="00671F08"/>
    <w:rsid w:val="00674C07"/>
    <w:rsid w:val="00682C0B"/>
    <w:rsid w:val="0068326F"/>
    <w:rsid w:val="00683E1D"/>
    <w:rsid w:val="00685395"/>
    <w:rsid w:val="006866E9"/>
    <w:rsid w:val="00690392"/>
    <w:rsid w:val="006974C5"/>
    <w:rsid w:val="006A2BED"/>
    <w:rsid w:val="006A3854"/>
    <w:rsid w:val="006A4AD6"/>
    <w:rsid w:val="006A6D9A"/>
    <w:rsid w:val="006A7343"/>
    <w:rsid w:val="006A7C9B"/>
    <w:rsid w:val="006B5526"/>
    <w:rsid w:val="006B6EB1"/>
    <w:rsid w:val="006B72B6"/>
    <w:rsid w:val="006C064E"/>
    <w:rsid w:val="006C10EC"/>
    <w:rsid w:val="006C317F"/>
    <w:rsid w:val="006C486D"/>
    <w:rsid w:val="006C4A8B"/>
    <w:rsid w:val="006C6290"/>
    <w:rsid w:val="006D0DF4"/>
    <w:rsid w:val="006D0EF7"/>
    <w:rsid w:val="006D1F6E"/>
    <w:rsid w:val="006D321C"/>
    <w:rsid w:val="006D43A6"/>
    <w:rsid w:val="006D46E6"/>
    <w:rsid w:val="006D59F8"/>
    <w:rsid w:val="006D5F8C"/>
    <w:rsid w:val="006D64F7"/>
    <w:rsid w:val="006D7CE4"/>
    <w:rsid w:val="006E1174"/>
    <w:rsid w:val="006E12FD"/>
    <w:rsid w:val="006E1A40"/>
    <w:rsid w:val="006E2580"/>
    <w:rsid w:val="006E41DE"/>
    <w:rsid w:val="006E601B"/>
    <w:rsid w:val="006F273F"/>
    <w:rsid w:val="006F3768"/>
    <w:rsid w:val="006F384C"/>
    <w:rsid w:val="006F5417"/>
    <w:rsid w:val="006F5B44"/>
    <w:rsid w:val="006F637D"/>
    <w:rsid w:val="007001C8"/>
    <w:rsid w:val="00702DDD"/>
    <w:rsid w:val="00702F23"/>
    <w:rsid w:val="00703627"/>
    <w:rsid w:val="00707A2F"/>
    <w:rsid w:val="0071236D"/>
    <w:rsid w:val="0071495F"/>
    <w:rsid w:val="007150CF"/>
    <w:rsid w:val="00716FD2"/>
    <w:rsid w:val="00720D2D"/>
    <w:rsid w:val="00724109"/>
    <w:rsid w:val="007267B0"/>
    <w:rsid w:val="00726BBB"/>
    <w:rsid w:val="0072772E"/>
    <w:rsid w:val="00732306"/>
    <w:rsid w:val="007327CF"/>
    <w:rsid w:val="00735BBF"/>
    <w:rsid w:val="00737174"/>
    <w:rsid w:val="00740D02"/>
    <w:rsid w:val="00745B9A"/>
    <w:rsid w:val="007469E6"/>
    <w:rsid w:val="00747FD5"/>
    <w:rsid w:val="00750143"/>
    <w:rsid w:val="007510C0"/>
    <w:rsid w:val="007535ED"/>
    <w:rsid w:val="007542FB"/>
    <w:rsid w:val="00760116"/>
    <w:rsid w:val="007610C2"/>
    <w:rsid w:val="0076321F"/>
    <w:rsid w:val="007644D6"/>
    <w:rsid w:val="00764FA9"/>
    <w:rsid w:val="007717C5"/>
    <w:rsid w:val="00774DE9"/>
    <w:rsid w:val="007756D8"/>
    <w:rsid w:val="00775AAD"/>
    <w:rsid w:val="00777274"/>
    <w:rsid w:val="007800C1"/>
    <w:rsid w:val="00780D13"/>
    <w:rsid w:val="007844D5"/>
    <w:rsid w:val="00784D0A"/>
    <w:rsid w:val="00784E97"/>
    <w:rsid w:val="00785296"/>
    <w:rsid w:val="00785FD0"/>
    <w:rsid w:val="00787B10"/>
    <w:rsid w:val="00790B34"/>
    <w:rsid w:val="00794949"/>
    <w:rsid w:val="00795898"/>
    <w:rsid w:val="007A1578"/>
    <w:rsid w:val="007A15FD"/>
    <w:rsid w:val="007A23F8"/>
    <w:rsid w:val="007A270A"/>
    <w:rsid w:val="007A3030"/>
    <w:rsid w:val="007A5766"/>
    <w:rsid w:val="007A67F5"/>
    <w:rsid w:val="007A6BC0"/>
    <w:rsid w:val="007A72BF"/>
    <w:rsid w:val="007B20FC"/>
    <w:rsid w:val="007B2314"/>
    <w:rsid w:val="007B269D"/>
    <w:rsid w:val="007B2899"/>
    <w:rsid w:val="007B312E"/>
    <w:rsid w:val="007B3180"/>
    <w:rsid w:val="007B54A5"/>
    <w:rsid w:val="007C0920"/>
    <w:rsid w:val="007C16DE"/>
    <w:rsid w:val="007C2867"/>
    <w:rsid w:val="007C4F2C"/>
    <w:rsid w:val="007C52FE"/>
    <w:rsid w:val="007C65D7"/>
    <w:rsid w:val="007C68B0"/>
    <w:rsid w:val="007D25EB"/>
    <w:rsid w:val="007D4007"/>
    <w:rsid w:val="007D5823"/>
    <w:rsid w:val="007E4A3F"/>
    <w:rsid w:val="007E4C94"/>
    <w:rsid w:val="007E4F3F"/>
    <w:rsid w:val="007E5746"/>
    <w:rsid w:val="007E647B"/>
    <w:rsid w:val="007E7C52"/>
    <w:rsid w:val="007F0406"/>
    <w:rsid w:val="007F0E48"/>
    <w:rsid w:val="007F249E"/>
    <w:rsid w:val="007F39D2"/>
    <w:rsid w:val="007F4036"/>
    <w:rsid w:val="007F419F"/>
    <w:rsid w:val="007F4F07"/>
    <w:rsid w:val="007F5254"/>
    <w:rsid w:val="007F59E4"/>
    <w:rsid w:val="007F66DC"/>
    <w:rsid w:val="00800454"/>
    <w:rsid w:val="00800BA5"/>
    <w:rsid w:val="00800BFB"/>
    <w:rsid w:val="0080203F"/>
    <w:rsid w:val="008041FC"/>
    <w:rsid w:val="00810FBD"/>
    <w:rsid w:val="00821633"/>
    <w:rsid w:val="008227E3"/>
    <w:rsid w:val="00822B7B"/>
    <w:rsid w:val="008231B4"/>
    <w:rsid w:val="00824197"/>
    <w:rsid w:val="00824CAB"/>
    <w:rsid w:val="00825F77"/>
    <w:rsid w:val="008272FD"/>
    <w:rsid w:val="00827FC7"/>
    <w:rsid w:val="0083026B"/>
    <w:rsid w:val="00833943"/>
    <w:rsid w:val="00834B76"/>
    <w:rsid w:val="00835950"/>
    <w:rsid w:val="00835D1A"/>
    <w:rsid w:val="00837DB7"/>
    <w:rsid w:val="00837E3F"/>
    <w:rsid w:val="00837F51"/>
    <w:rsid w:val="00841FDB"/>
    <w:rsid w:val="00842875"/>
    <w:rsid w:val="00843D66"/>
    <w:rsid w:val="00843F51"/>
    <w:rsid w:val="00844125"/>
    <w:rsid w:val="00844BD2"/>
    <w:rsid w:val="0085008A"/>
    <w:rsid w:val="00854C55"/>
    <w:rsid w:val="0085631E"/>
    <w:rsid w:val="008574D0"/>
    <w:rsid w:val="00857D3F"/>
    <w:rsid w:val="0086263C"/>
    <w:rsid w:val="00862DB0"/>
    <w:rsid w:val="008663DD"/>
    <w:rsid w:val="00866571"/>
    <w:rsid w:val="00867D14"/>
    <w:rsid w:val="00871648"/>
    <w:rsid w:val="0087512F"/>
    <w:rsid w:val="008768D1"/>
    <w:rsid w:val="008774CE"/>
    <w:rsid w:val="00877F52"/>
    <w:rsid w:val="008807D2"/>
    <w:rsid w:val="008807E3"/>
    <w:rsid w:val="00883C9B"/>
    <w:rsid w:val="00885852"/>
    <w:rsid w:val="00886266"/>
    <w:rsid w:val="00886B1B"/>
    <w:rsid w:val="008A41D3"/>
    <w:rsid w:val="008B13E6"/>
    <w:rsid w:val="008B1EDA"/>
    <w:rsid w:val="008B29B6"/>
    <w:rsid w:val="008B6660"/>
    <w:rsid w:val="008B7E37"/>
    <w:rsid w:val="008C0D87"/>
    <w:rsid w:val="008C1F53"/>
    <w:rsid w:val="008C357D"/>
    <w:rsid w:val="008C54BF"/>
    <w:rsid w:val="008D08C9"/>
    <w:rsid w:val="008D0AEE"/>
    <w:rsid w:val="008D1F3C"/>
    <w:rsid w:val="008D2767"/>
    <w:rsid w:val="008D3584"/>
    <w:rsid w:val="008D3DB6"/>
    <w:rsid w:val="008D4743"/>
    <w:rsid w:val="008E616D"/>
    <w:rsid w:val="008E6789"/>
    <w:rsid w:val="008E7A1D"/>
    <w:rsid w:val="008F0B53"/>
    <w:rsid w:val="008F1BB7"/>
    <w:rsid w:val="008F5679"/>
    <w:rsid w:val="008F5BC5"/>
    <w:rsid w:val="008F6D28"/>
    <w:rsid w:val="009034A2"/>
    <w:rsid w:val="0090526B"/>
    <w:rsid w:val="009055DA"/>
    <w:rsid w:val="00907D7B"/>
    <w:rsid w:val="00910302"/>
    <w:rsid w:val="009122ED"/>
    <w:rsid w:val="00912F9C"/>
    <w:rsid w:val="009135EC"/>
    <w:rsid w:val="00915E4C"/>
    <w:rsid w:val="00917582"/>
    <w:rsid w:val="00920448"/>
    <w:rsid w:val="00920BD4"/>
    <w:rsid w:val="00920C7B"/>
    <w:rsid w:val="00925CEF"/>
    <w:rsid w:val="00934E55"/>
    <w:rsid w:val="00936179"/>
    <w:rsid w:val="00940FFE"/>
    <w:rsid w:val="009415AF"/>
    <w:rsid w:val="009433BE"/>
    <w:rsid w:val="0094353E"/>
    <w:rsid w:val="00947B2D"/>
    <w:rsid w:val="009506FA"/>
    <w:rsid w:val="00951739"/>
    <w:rsid w:val="0095210D"/>
    <w:rsid w:val="00952AB6"/>
    <w:rsid w:val="00953038"/>
    <w:rsid w:val="009542EB"/>
    <w:rsid w:val="009543E0"/>
    <w:rsid w:val="00955385"/>
    <w:rsid w:val="0095579E"/>
    <w:rsid w:val="00956121"/>
    <w:rsid w:val="00957494"/>
    <w:rsid w:val="009574E4"/>
    <w:rsid w:val="00957BCA"/>
    <w:rsid w:val="00960B91"/>
    <w:rsid w:val="00960F19"/>
    <w:rsid w:val="009623DE"/>
    <w:rsid w:val="009632CE"/>
    <w:rsid w:val="00963E15"/>
    <w:rsid w:val="00970BCC"/>
    <w:rsid w:val="00972CB4"/>
    <w:rsid w:val="00975B18"/>
    <w:rsid w:val="00977034"/>
    <w:rsid w:val="00977E83"/>
    <w:rsid w:val="0098028E"/>
    <w:rsid w:val="0098296A"/>
    <w:rsid w:val="00984505"/>
    <w:rsid w:val="00985565"/>
    <w:rsid w:val="009857E8"/>
    <w:rsid w:val="00986790"/>
    <w:rsid w:val="009872D7"/>
    <w:rsid w:val="00990D36"/>
    <w:rsid w:val="00993BC8"/>
    <w:rsid w:val="00996FB1"/>
    <w:rsid w:val="00996FF5"/>
    <w:rsid w:val="009A0E47"/>
    <w:rsid w:val="009A5661"/>
    <w:rsid w:val="009A7D92"/>
    <w:rsid w:val="009B3378"/>
    <w:rsid w:val="009B3EB9"/>
    <w:rsid w:val="009B4598"/>
    <w:rsid w:val="009B5377"/>
    <w:rsid w:val="009B697F"/>
    <w:rsid w:val="009B7758"/>
    <w:rsid w:val="009C021A"/>
    <w:rsid w:val="009C1AF4"/>
    <w:rsid w:val="009C2A40"/>
    <w:rsid w:val="009C4C8B"/>
    <w:rsid w:val="009C646D"/>
    <w:rsid w:val="009C697A"/>
    <w:rsid w:val="009D0416"/>
    <w:rsid w:val="009D26F4"/>
    <w:rsid w:val="009D6B97"/>
    <w:rsid w:val="009D7EEA"/>
    <w:rsid w:val="009E0B94"/>
    <w:rsid w:val="009E63B8"/>
    <w:rsid w:val="009E7CD8"/>
    <w:rsid w:val="009F0406"/>
    <w:rsid w:val="009F08DC"/>
    <w:rsid w:val="009F1483"/>
    <w:rsid w:val="009F173F"/>
    <w:rsid w:val="009F1B62"/>
    <w:rsid w:val="009F30D9"/>
    <w:rsid w:val="009F34E0"/>
    <w:rsid w:val="009F37DE"/>
    <w:rsid w:val="009F50FC"/>
    <w:rsid w:val="009F6F73"/>
    <w:rsid w:val="00A00D3B"/>
    <w:rsid w:val="00A03302"/>
    <w:rsid w:val="00A042F9"/>
    <w:rsid w:val="00A061D1"/>
    <w:rsid w:val="00A10952"/>
    <w:rsid w:val="00A11DEF"/>
    <w:rsid w:val="00A139D4"/>
    <w:rsid w:val="00A13EE5"/>
    <w:rsid w:val="00A1450E"/>
    <w:rsid w:val="00A15AD4"/>
    <w:rsid w:val="00A204AC"/>
    <w:rsid w:val="00A22750"/>
    <w:rsid w:val="00A24B26"/>
    <w:rsid w:val="00A25C09"/>
    <w:rsid w:val="00A270E5"/>
    <w:rsid w:val="00A27D8E"/>
    <w:rsid w:val="00A30389"/>
    <w:rsid w:val="00A326F8"/>
    <w:rsid w:val="00A33D10"/>
    <w:rsid w:val="00A34BDC"/>
    <w:rsid w:val="00A36F32"/>
    <w:rsid w:val="00A37656"/>
    <w:rsid w:val="00A37A5B"/>
    <w:rsid w:val="00A40DB6"/>
    <w:rsid w:val="00A41C12"/>
    <w:rsid w:val="00A438BC"/>
    <w:rsid w:val="00A450E7"/>
    <w:rsid w:val="00A50C3A"/>
    <w:rsid w:val="00A54496"/>
    <w:rsid w:val="00A56D1C"/>
    <w:rsid w:val="00A6002B"/>
    <w:rsid w:val="00A62752"/>
    <w:rsid w:val="00A64E94"/>
    <w:rsid w:val="00A6724A"/>
    <w:rsid w:val="00A67D78"/>
    <w:rsid w:val="00A7029F"/>
    <w:rsid w:val="00A76470"/>
    <w:rsid w:val="00A77A1B"/>
    <w:rsid w:val="00A77E7E"/>
    <w:rsid w:val="00A8040F"/>
    <w:rsid w:val="00A808B8"/>
    <w:rsid w:val="00A85105"/>
    <w:rsid w:val="00A873A5"/>
    <w:rsid w:val="00A87B67"/>
    <w:rsid w:val="00A908A1"/>
    <w:rsid w:val="00A924E9"/>
    <w:rsid w:val="00A9540F"/>
    <w:rsid w:val="00A95CFB"/>
    <w:rsid w:val="00A963B7"/>
    <w:rsid w:val="00AA08DD"/>
    <w:rsid w:val="00AA0D56"/>
    <w:rsid w:val="00AA6ADD"/>
    <w:rsid w:val="00AB2243"/>
    <w:rsid w:val="00AB2C96"/>
    <w:rsid w:val="00AB2E23"/>
    <w:rsid w:val="00AB429F"/>
    <w:rsid w:val="00AB6F5D"/>
    <w:rsid w:val="00AC2026"/>
    <w:rsid w:val="00AC379A"/>
    <w:rsid w:val="00AC39EB"/>
    <w:rsid w:val="00AC54BD"/>
    <w:rsid w:val="00AC62A4"/>
    <w:rsid w:val="00AC6B6C"/>
    <w:rsid w:val="00AC7559"/>
    <w:rsid w:val="00AD1153"/>
    <w:rsid w:val="00AD2FAB"/>
    <w:rsid w:val="00AD3753"/>
    <w:rsid w:val="00AD476D"/>
    <w:rsid w:val="00AD5E57"/>
    <w:rsid w:val="00AE0815"/>
    <w:rsid w:val="00AE0F76"/>
    <w:rsid w:val="00AE19E8"/>
    <w:rsid w:val="00AE19EC"/>
    <w:rsid w:val="00AE3B8E"/>
    <w:rsid w:val="00AE6788"/>
    <w:rsid w:val="00AF0270"/>
    <w:rsid w:val="00AF16D6"/>
    <w:rsid w:val="00AF6040"/>
    <w:rsid w:val="00AF65FD"/>
    <w:rsid w:val="00AF7557"/>
    <w:rsid w:val="00B003BD"/>
    <w:rsid w:val="00B0199F"/>
    <w:rsid w:val="00B03AAA"/>
    <w:rsid w:val="00B05D32"/>
    <w:rsid w:val="00B06C87"/>
    <w:rsid w:val="00B07FF3"/>
    <w:rsid w:val="00B119A5"/>
    <w:rsid w:val="00B12B71"/>
    <w:rsid w:val="00B15343"/>
    <w:rsid w:val="00B167F7"/>
    <w:rsid w:val="00B16E82"/>
    <w:rsid w:val="00B17B31"/>
    <w:rsid w:val="00B203AF"/>
    <w:rsid w:val="00B2084E"/>
    <w:rsid w:val="00B226D8"/>
    <w:rsid w:val="00B26A31"/>
    <w:rsid w:val="00B27100"/>
    <w:rsid w:val="00B300FE"/>
    <w:rsid w:val="00B32660"/>
    <w:rsid w:val="00B347CB"/>
    <w:rsid w:val="00B3506D"/>
    <w:rsid w:val="00B359F1"/>
    <w:rsid w:val="00B36E4A"/>
    <w:rsid w:val="00B41793"/>
    <w:rsid w:val="00B50436"/>
    <w:rsid w:val="00B56661"/>
    <w:rsid w:val="00B56ACB"/>
    <w:rsid w:val="00B63229"/>
    <w:rsid w:val="00B63A4F"/>
    <w:rsid w:val="00B66DB1"/>
    <w:rsid w:val="00B70078"/>
    <w:rsid w:val="00B709C7"/>
    <w:rsid w:val="00B70DCD"/>
    <w:rsid w:val="00B70F6B"/>
    <w:rsid w:val="00B72F4C"/>
    <w:rsid w:val="00B73E0E"/>
    <w:rsid w:val="00B77CC6"/>
    <w:rsid w:val="00B81BFB"/>
    <w:rsid w:val="00B823D2"/>
    <w:rsid w:val="00B83887"/>
    <w:rsid w:val="00B83FB8"/>
    <w:rsid w:val="00B843A7"/>
    <w:rsid w:val="00B85008"/>
    <w:rsid w:val="00B86314"/>
    <w:rsid w:val="00B866BE"/>
    <w:rsid w:val="00B86766"/>
    <w:rsid w:val="00B870C0"/>
    <w:rsid w:val="00B923C4"/>
    <w:rsid w:val="00B93142"/>
    <w:rsid w:val="00B95DB0"/>
    <w:rsid w:val="00BA03CC"/>
    <w:rsid w:val="00BA1D96"/>
    <w:rsid w:val="00BA1F84"/>
    <w:rsid w:val="00BA2E24"/>
    <w:rsid w:val="00BA34FA"/>
    <w:rsid w:val="00BA4303"/>
    <w:rsid w:val="00BA4310"/>
    <w:rsid w:val="00BA56B9"/>
    <w:rsid w:val="00BA716F"/>
    <w:rsid w:val="00BB0460"/>
    <w:rsid w:val="00BB1713"/>
    <w:rsid w:val="00BB36FB"/>
    <w:rsid w:val="00BB4F97"/>
    <w:rsid w:val="00BB5D8A"/>
    <w:rsid w:val="00BB5F9B"/>
    <w:rsid w:val="00BB5FE8"/>
    <w:rsid w:val="00BC08A0"/>
    <w:rsid w:val="00BC08E5"/>
    <w:rsid w:val="00BC164A"/>
    <w:rsid w:val="00BC2444"/>
    <w:rsid w:val="00BC4A79"/>
    <w:rsid w:val="00BC6C86"/>
    <w:rsid w:val="00BD0096"/>
    <w:rsid w:val="00BD1EA8"/>
    <w:rsid w:val="00BD3085"/>
    <w:rsid w:val="00BD382B"/>
    <w:rsid w:val="00BD3E2B"/>
    <w:rsid w:val="00BD4C3F"/>
    <w:rsid w:val="00BD7003"/>
    <w:rsid w:val="00BD7C47"/>
    <w:rsid w:val="00BE145D"/>
    <w:rsid w:val="00BE2232"/>
    <w:rsid w:val="00BE361E"/>
    <w:rsid w:val="00BE411E"/>
    <w:rsid w:val="00BE77AB"/>
    <w:rsid w:val="00BF15AB"/>
    <w:rsid w:val="00BF1620"/>
    <w:rsid w:val="00BF661D"/>
    <w:rsid w:val="00C008D8"/>
    <w:rsid w:val="00C0174D"/>
    <w:rsid w:val="00C01B24"/>
    <w:rsid w:val="00C024C9"/>
    <w:rsid w:val="00C02749"/>
    <w:rsid w:val="00C02A43"/>
    <w:rsid w:val="00C036DF"/>
    <w:rsid w:val="00C04977"/>
    <w:rsid w:val="00C0746C"/>
    <w:rsid w:val="00C07EAB"/>
    <w:rsid w:val="00C12E72"/>
    <w:rsid w:val="00C20626"/>
    <w:rsid w:val="00C20790"/>
    <w:rsid w:val="00C215D0"/>
    <w:rsid w:val="00C22127"/>
    <w:rsid w:val="00C22E88"/>
    <w:rsid w:val="00C2677F"/>
    <w:rsid w:val="00C27102"/>
    <w:rsid w:val="00C2743E"/>
    <w:rsid w:val="00C27E10"/>
    <w:rsid w:val="00C3031D"/>
    <w:rsid w:val="00C311D8"/>
    <w:rsid w:val="00C35E21"/>
    <w:rsid w:val="00C37146"/>
    <w:rsid w:val="00C4150D"/>
    <w:rsid w:val="00C439D5"/>
    <w:rsid w:val="00C4445D"/>
    <w:rsid w:val="00C477DB"/>
    <w:rsid w:val="00C536D8"/>
    <w:rsid w:val="00C54ACC"/>
    <w:rsid w:val="00C57B1D"/>
    <w:rsid w:val="00C6539E"/>
    <w:rsid w:val="00C65BAE"/>
    <w:rsid w:val="00C6799C"/>
    <w:rsid w:val="00C71AD5"/>
    <w:rsid w:val="00C73BE4"/>
    <w:rsid w:val="00C77F31"/>
    <w:rsid w:val="00C81AF6"/>
    <w:rsid w:val="00C833B3"/>
    <w:rsid w:val="00C86FD9"/>
    <w:rsid w:val="00C902FA"/>
    <w:rsid w:val="00C90C84"/>
    <w:rsid w:val="00CA0AFC"/>
    <w:rsid w:val="00CA5C11"/>
    <w:rsid w:val="00CA5E3C"/>
    <w:rsid w:val="00CA68C5"/>
    <w:rsid w:val="00CB01A3"/>
    <w:rsid w:val="00CB076F"/>
    <w:rsid w:val="00CB14C5"/>
    <w:rsid w:val="00CB4B7B"/>
    <w:rsid w:val="00CC038F"/>
    <w:rsid w:val="00CC0D31"/>
    <w:rsid w:val="00CC23B4"/>
    <w:rsid w:val="00CC2C8A"/>
    <w:rsid w:val="00CC62D3"/>
    <w:rsid w:val="00CD35E5"/>
    <w:rsid w:val="00CD459C"/>
    <w:rsid w:val="00CD765A"/>
    <w:rsid w:val="00CE34E0"/>
    <w:rsid w:val="00CF220D"/>
    <w:rsid w:val="00CF3E5D"/>
    <w:rsid w:val="00CF778F"/>
    <w:rsid w:val="00CF7CC9"/>
    <w:rsid w:val="00D06272"/>
    <w:rsid w:val="00D1153E"/>
    <w:rsid w:val="00D116B2"/>
    <w:rsid w:val="00D125C9"/>
    <w:rsid w:val="00D14DDC"/>
    <w:rsid w:val="00D15639"/>
    <w:rsid w:val="00D21E61"/>
    <w:rsid w:val="00D22419"/>
    <w:rsid w:val="00D24B14"/>
    <w:rsid w:val="00D27C05"/>
    <w:rsid w:val="00D31487"/>
    <w:rsid w:val="00D31638"/>
    <w:rsid w:val="00D4145C"/>
    <w:rsid w:val="00D419F8"/>
    <w:rsid w:val="00D42262"/>
    <w:rsid w:val="00D42E63"/>
    <w:rsid w:val="00D46396"/>
    <w:rsid w:val="00D463EE"/>
    <w:rsid w:val="00D47D8A"/>
    <w:rsid w:val="00D50347"/>
    <w:rsid w:val="00D50715"/>
    <w:rsid w:val="00D509D2"/>
    <w:rsid w:val="00D509F0"/>
    <w:rsid w:val="00D51CAA"/>
    <w:rsid w:val="00D52282"/>
    <w:rsid w:val="00D61A3D"/>
    <w:rsid w:val="00D61C97"/>
    <w:rsid w:val="00D641CE"/>
    <w:rsid w:val="00D6542D"/>
    <w:rsid w:val="00D656EF"/>
    <w:rsid w:val="00D66511"/>
    <w:rsid w:val="00D70AF2"/>
    <w:rsid w:val="00D7204F"/>
    <w:rsid w:val="00D73707"/>
    <w:rsid w:val="00D75454"/>
    <w:rsid w:val="00D83292"/>
    <w:rsid w:val="00D832C7"/>
    <w:rsid w:val="00D83843"/>
    <w:rsid w:val="00D859DD"/>
    <w:rsid w:val="00D92E8C"/>
    <w:rsid w:val="00D92ECE"/>
    <w:rsid w:val="00D932DC"/>
    <w:rsid w:val="00D96C23"/>
    <w:rsid w:val="00D96C4A"/>
    <w:rsid w:val="00DA0FA1"/>
    <w:rsid w:val="00DA169D"/>
    <w:rsid w:val="00DA18FA"/>
    <w:rsid w:val="00DA298C"/>
    <w:rsid w:val="00DA3E90"/>
    <w:rsid w:val="00DA5F5C"/>
    <w:rsid w:val="00DB2B77"/>
    <w:rsid w:val="00DB3636"/>
    <w:rsid w:val="00DC44B9"/>
    <w:rsid w:val="00DC631F"/>
    <w:rsid w:val="00DC71E6"/>
    <w:rsid w:val="00DD02B2"/>
    <w:rsid w:val="00DD2B13"/>
    <w:rsid w:val="00DD2BF0"/>
    <w:rsid w:val="00DD4B0A"/>
    <w:rsid w:val="00DD6E35"/>
    <w:rsid w:val="00DE0ECD"/>
    <w:rsid w:val="00DE3E56"/>
    <w:rsid w:val="00DE4C2C"/>
    <w:rsid w:val="00DE5E73"/>
    <w:rsid w:val="00DE662D"/>
    <w:rsid w:val="00DE6C5E"/>
    <w:rsid w:val="00DE7042"/>
    <w:rsid w:val="00DF0299"/>
    <w:rsid w:val="00E0222E"/>
    <w:rsid w:val="00E02DC0"/>
    <w:rsid w:val="00E064A2"/>
    <w:rsid w:val="00E07A93"/>
    <w:rsid w:val="00E11EA8"/>
    <w:rsid w:val="00E12E3A"/>
    <w:rsid w:val="00E16E1B"/>
    <w:rsid w:val="00E22AA0"/>
    <w:rsid w:val="00E25314"/>
    <w:rsid w:val="00E307BD"/>
    <w:rsid w:val="00E325A9"/>
    <w:rsid w:val="00E32963"/>
    <w:rsid w:val="00E35FEA"/>
    <w:rsid w:val="00E36D56"/>
    <w:rsid w:val="00E403C4"/>
    <w:rsid w:val="00E42BA8"/>
    <w:rsid w:val="00E450FC"/>
    <w:rsid w:val="00E46195"/>
    <w:rsid w:val="00E513B9"/>
    <w:rsid w:val="00E55339"/>
    <w:rsid w:val="00E57CDF"/>
    <w:rsid w:val="00E601F9"/>
    <w:rsid w:val="00E6200F"/>
    <w:rsid w:val="00E62868"/>
    <w:rsid w:val="00E63209"/>
    <w:rsid w:val="00E653CD"/>
    <w:rsid w:val="00E65E5D"/>
    <w:rsid w:val="00E7016C"/>
    <w:rsid w:val="00E71F72"/>
    <w:rsid w:val="00E74F84"/>
    <w:rsid w:val="00E74FF2"/>
    <w:rsid w:val="00E75B5D"/>
    <w:rsid w:val="00E766D6"/>
    <w:rsid w:val="00E83A9F"/>
    <w:rsid w:val="00E87C74"/>
    <w:rsid w:val="00E90956"/>
    <w:rsid w:val="00E90A25"/>
    <w:rsid w:val="00E90E97"/>
    <w:rsid w:val="00E97878"/>
    <w:rsid w:val="00E97CBD"/>
    <w:rsid w:val="00EA0962"/>
    <w:rsid w:val="00EA0C6A"/>
    <w:rsid w:val="00EA1A00"/>
    <w:rsid w:val="00EA2B28"/>
    <w:rsid w:val="00EA64F9"/>
    <w:rsid w:val="00EA782B"/>
    <w:rsid w:val="00EB39EB"/>
    <w:rsid w:val="00EB7E50"/>
    <w:rsid w:val="00EC1278"/>
    <w:rsid w:val="00EC1C71"/>
    <w:rsid w:val="00EC1E5F"/>
    <w:rsid w:val="00EC2602"/>
    <w:rsid w:val="00EC27E1"/>
    <w:rsid w:val="00EC33AA"/>
    <w:rsid w:val="00EC516F"/>
    <w:rsid w:val="00EC6022"/>
    <w:rsid w:val="00EC6D90"/>
    <w:rsid w:val="00ED4BF3"/>
    <w:rsid w:val="00EE00E4"/>
    <w:rsid w:val="00EE2CCD"/>
    <w:rsid w:val="00EF029C"/>
    <w:rsid w:val="00EF078D"/>
    <w:rsid w:val="00EF120E"/>
    <w:rsid w:val="00EF2EEC"/>
    <w:rsid w:val="00EF3EDE"/>
    <w:rsid w:val="00EF4684"/>
    <w:rsid w:val="00EF4B65"/>
    <w:rsid w:val="00EF5E2A"/>
    <w:rsid w:val="00F00197"/>
    <w:rsid w:val="00F01677"/>
    <w:rsid w:val="00F01A1E"/>
    <w:rsid w:val="00F020B0"/>
    <w:rsid w:val="00F02AB8"/>
    <w:rsid w:val="00F0418E"/>
    <w:rsid w:val="00F10980"/>
    <w:rsid w:val="00F114D6"/>
    <w:rsid w:val="00F14D08"/>
    <w:rsid w:val="00F15864"/>
    <w:rsid w:val="00F16EC0"/>
    <w:rsid w:val="00F17C76"/>
    <w:rsid w:val="00F25F94"/>
    <w:rsid w:val="00F278FF"/>
    <w:rsid w:val="00F32183"/>
    <w:rsid w:val="00F34B5D"/>
    <w:rsid w:val="00F352FA"/>
    <w:rsid w:val="00F36593"/>
    <w:rsid w:val="00F37573"/>
    <w:rsid w:val="00F37FC3"/>
    <w:rsid w:val="00F41081"/>
    <w:rsid w:val="00F42B02"/>
    <w:rsid w:val="00F4520F"/>
    <w:rsid w:val="00F45225"/>
    <w:rsid w:val="00F45F37"/>
    <w:rsid w:val="00F46E44"/>
    <w:rsid w:val="00F602FE"/>
    <w:rsid w:val="00F60852"/>
    <w:rsid w:val="00F62394"/>
    <w:rsid w:val="00F64221"/>
    <w:rsid w:val="00F642A6"/>
    <w:rsid w:val="00F64F33"/>
    <w:rsid w:val="00F710EE"/>
    <w:rsid w:val="00F73FA9"/>
    <w:rsid w:val="00F74F0D"/>
    <w:rsid w:val="00F763D1"/>
    <w:rsid w:val="00F76945"/>
    <w:rsid w:val="00F76B6B"/>
    <w:rsid w:val="00F76F9A"/>
    <w:rsid w:val="00F8184A"/>
    <w:rsid w:val="00F81BEA"/>
    <w:rsid w:val="00F8494D"/>
    <w:rsid w:val="00F86139"/>
    <w:rsid w:val="00F87994"/>
    <w:rsid w:val="00F9064D"/>
    <w:rsid w:val="00F91F67"/>
    <w:rsid w:val="00F92E3B"/>
    <w:rsid w:val="00F92F7C"/>
    <w:rsid w:val="00F94886"/>
    <w:rsid w:val="00F959EB"/>
    <w:rsid w:val="00F95FAF"/>
    <w:rsid w:val="00F9782C"/>
    <w:rsid w:val="00FA1528"/>
    <w:rsid w:val="00FA1E15"/>
    <w:rsid w:val="00FA6186"/>
    <w:rsid w:val="00FA65B3"/>
    <w:rsid w:val="00FB0A46"/>
    <w:rsid w:val="00FB23BC"/>
    <w:rsid w:val="00FB4BA5"/>
    <w:rsid w:val="00FB6666"/>
    <w:rsid w:val="00FB752D"/>
    <w:rsid w:val="00FC0AA0"/>
    <w:rsid w:val="00FC4287"/>
    <w:rsid w:val="00FC6204"/>
    <w:rsid w:val="00FC723D"/>
    <w:rsid w:val="00FD12D1"/>
    <w:rsid w:val="00FD2071"/>
    <w:rsid w:val="00FD27F3"/>
    <w:rsid w:val="00FD2B0C"/>
    <w:rsid w:val="00FD3046"/>
    <w:rsid w:val="00FE0057"/>
    <w:rsid w:val="00FE23F3"/>
    <w:rsid w:val="00FE271F"/>
    <w:rsid w:val="00FE71BE"/>
    <w:rsid w:val="00FF0E97"/>
    <w:rsid w:val="00FF1B20"/>
    <w:rsid w:val="00FF2587"/>
    <w:rsid w:val="00FF281B"/>
    <w:rsid w:val="00FF3F50"/>
    <w:rsid w:val="00FF4D3B"/>
    <w:rsid w:val="00FF4E54"/>
    <w:rsid w:val="00FF6A93"/>
    <w:rsid w:val="013730A5"/>
    <w:rsid w:val="01875DDB"/>
    <w:rsid w:val="02314724"/>
    <w:rsid w:val="032C581B"/>
    <w:rsid w:val="04BB33C5"/>
    <w:rsid w:val="057233E2"/>
    <w:rsid w:val="07057767"/>
    <w:rsid w:val="070F18C7"/>
    <w:rsid w:val="07A200A1"/>
    <w:rsid w:val="083E6A1C"/>
    <w:rsid w:val="090A111F"/>
    <w:rsid w:val="09292D9E"/>
    <w:rsid w:val="0B642CE9"/>
    <w:rsid w:val="0BBC6A6C"/>
    <w:rsid w:val="0F8D2E40"/>
    <w:rsid w:val="10F92232"/>
    <w:rsid w:val="113B23B6"/>
    <w:rsid w:val="11CE710E"/>
    <w:rsid w:val="123D5C23"/>
    <w:rsid w:val="125910CE"/>
    <w:rsid w:val="12C2788E"/>
    <w:rsid w:val="134A2234"/>
    <w:rsid w:val="13756B3C"/>
    <w:rsid w:val="13D61C72"/>
    <w:rsid w:val="13E52E47"/>
    <w:rsid w:val="14605BC4"/>
    <w:rsid w:val="14BC09FB"/>
    <w:rsid w:val="14EF1875"/>
    <w:rsid w:val="15904ECA"/>
    <w:rsid w:val="15E464B6"/>
    <w:rsid w:val="164E65C7"/>
    <w:rsid w:val="167B3E3D"/>
    <w:rsid w:val="168754DD"/>
    <w:rsid w:val="16A3500D"/>
    <w:rsid w:val="185010A8"/>
    <w:rsid w:val="18B45306"/>
    <w:rsid w:val="19011E15"/>
    <w:rsid w:val="198A768D"/>
    <w:rsid w:val="19CF129D"/>
    <w:rsid w:val="1C32075E"/>
    <w:rsid w:val="1D170C45"/>
    <w:rsid w:val="1DAB2D62"/>
    <w:rsid w:val="209645DC"/>
    <w:rsid w:val="20C95327"/>
    <w:rsid w:val="20FD17BE"/>
    <w:rsid w:val="222D7E81"/>
    <w:rsid w:val="22B831FC"/>
    <w:rsid w:val="22C76548"/>
    <w:rsid w:val="23641680"/>
    <w:rsid w:val="2372556B"/>
    <w:rsid w:val="245F3F2B"/>
    <w:rsid w:val="27BF46F2"/>
    <w:rsid w:val="283F665E"/>
    <w:rsid w:val="28B904BB"/>
    <w:rsid w:val="29466370"/>
    <w:rsid w:val="2A8C323E"/>
    <w:rsid w:val="2B261D99"/>
    <w:rsid w:val="2CBE3592"/>
    <w:rsid w:val="2D0C6875"/>
    <w:rsid w:val="2D5052F3"/>
    <w:rsid w:val="2DB94B12"/>
    <w:rsid w:val="2F360439"/>
    <w:rsid w:val="31D420C7"/>
    <w:rsid w:val="31FC517A"/>
    <w:rsid w:val="322D57A6"/>
    <w:rsid w:val="32881493"/>
    <w:rsid w:val="33635E53"/>
    <w:rsid w:val="34A051A4"/>
    <w:rsid w:val="34AF1B39"/>
    <w:rsid w:val="34F30A97"/>
    <w:rsid w:val="367D6FE3"/>
    <w:rsid w:val="36DF5796"/>
    <w:rsid w:val="3A3E6C77"/>
    <w:rsid w:val="3A754579"/>
    <w:rsid w:val="3B7F4F21"/>
    <w:rsid w:val="3D417C86"/>
    <w:rsid w:val="3D911F56"/>
    <w:rsid w:val="3E5227DD"/>
    <w:rsid w:val="3E624E5E"/>
    <w:rsid w:val="3E72295E"/>
    <w:rsid w:val="3EB069CD"/>
    <w:rsid w:val="3FE10F6A"/>
    <w:rsid w:val="40BC7671"/>
    <w:rsid w:val="457647B9"/>
    <w:rsid w:val="46D1677D"/>
    <w:rsid w:val="489D100D"/>
    <w:rsid w:val="49023556"/>
    <w:rsid w:val="4A351DE1"/>
    <w:rsid w:val="4A58343D"/>
    <w:rsid w:val="4B076C12"/>
    <w:rsid w:val="4BB963B8"/>
    <w:rsid w:val="4BC915C7"/>
    <w:rsid w:val="4C6B6080"/>
    <w:rsid w:val="4D0D1AA9"/>
    <w:rsid w:val="4DF34EB8"/>
    <w:rsid w:val="4F196F13"/>
    <w:rsid w:val="4F4A681D"/>
    <w:rsid w:val="4F835269"/>
    <w:rsid w:val="50F3175D"/>
    <w:rsid w:val="526D3CDE"/>
    <w:rsid w:val="53034396"/>
    <w:rsid w:val="53114E01"/>
    <w:rsid w:val="53EF7110"/>
    <w:rsid w:val="541838D2"/>
    <w:rsid w:val="5418471B"/>
    <w:rsid w:val="55BD684B"/>
    <w:rsid w:val="5658685E"/>
    <w:rsid w:val="56886B05"/>
    <w:rsid w:val="56A51578"/>
    <w:rsid w:val="570D735E"/>
    <w:rsid w:val="58184BBF"/>
    <w:rsid w:val="59593DC0"/>
    <w:rsid w:val="5D700646"/>
    <w:rsid w:val="5EAB2F1D"/>
    <w:rsid w:val="60B66CB8"/>
    <w:rsid w:val="60D60260"/>
    <w:rsid w:val="61CA73E7"/>
    <w:rsid w:val="625A5F5B"/>
    <w:rsid w:val="62606EDB"/>
    <w:rsid w:val="633678D4"/>
    <w:rsid w:val="635E57B0"/>
    <w:rsid w:val="64DB4EA9"/>
    <w:rsid w:val="65AC6501"/>
    <w:rsid w:val="661C6631"/>
    <w:rsid w:val="66DE2AC5"/>
    <w:rsid w:val="66DE2D42"/>
    <w:rsid w:val="681933C3"/>
    <w:rsid w:val="68394457"/>
    <w:rsid w:val="688A35F9"/>
    <w:rsid w:val="6A077F06"/>
    <w:rsid w:val="6A641A9E"/>
    <w:rsid w:val="6B7F72CE"/>
    <w:rsid w:val="6BB22C67"/>
    <w:rsid w:val="6BE568CA"/>
    <w:rsid w:val="6C691082"/>
    <w:rsid w:val="6D930DA6"/>
    <w:rsid w:val="6E133415"/>
    <w:rsid w:val="6E984EA8"/>
    <w:rsid w:val="6F6C6759"/>
    <w:rsid w:val="6FFF6470"/>
    <w:rsid w:val="70903082"/>
    <w:rsid w:val="70DF72B6"/>
    <w:rsid w:val="71B713C9"/>
    <w:rsid w:val="720D24B0"/>
    <w:rsid w:val="73F47DE9"/>
    <w:rsid w:val="76750C6D"/>
    <w:rsid w:val="77602701"/>
    <w:rsid w:val="78967CE1"/>
    <w:rsid w:val="794359F5"/>
    <w:rsid w:val="79F118BB"/>
    <w:rsid w:val="7AC350BA"/>
    <w:rsid w:val="7AF3424C"/>
    <w:rsid w:val="7DA41F1A"/>
    <w:rsid w:val="7E7A0325"/>
    <w:rsid w:val="8BBA6298"/>
    <w:rsid w:val="F2DE4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uiPriority="99"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styleId="2">
    <w:name w:val="heading 3"/>
    <w:basedOn w:val="1"/>
    <w:next w:val="1"/>
    <w:qFormat/>
    <w:uiPriority w:val="9"/>
    <w:pPr>
      <w:spacing w:before="100" w:beforeAutospacing="1" w:after="100" w:afterAutospacing="1"/>
      <w:jc w:val="left"/>
      <w:outlineLvl w:val="2"/>
    </w:pPr>
    <w:rPr>
      <w:rFonts w:hint="eastAsia" w:ascii="宋体" w:hAnsi="宋体"/>
      <w:b/>
      <w:bCs/>
      <w:sz w:val="27"/>
      <w:szCs w:val="27"/>
    </w:rPr>
  </w:style>
  <w:style w:type="paragraph" w:styleId="3">
    <w:name w:val="heading 4"/>
    <w:basedOn w:val="1"/>
    <w:next w:val="1"/>
    <w:qFormat/>
    <w:uiPriority w:val="9"/>
    <w:pPr>
      <w:spacing w:before="100" w:beforeAutospacing="1" w:after="100" w:afterAutospacing="1"/>
      <w:jc w:val="left"/>
      <w:outlineLvl w:val="3"/>
    </w:pPr>
    <w:rPr>
      <w:rFonts w:hint="eastAsia" w:ascii="宋体" w:hAnsi="宋体"/>
      <w:b/>
      <w:bCs/>
      <w:sz w:val="24"/>
      <w:szCs w:val="24"/>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qFormat/>
    <w:uiPriority w:val="35"/>
    <w:rPr>
      <w:rFonts w:ascii="Arial" w:hAnsi="Arial" w:eastAsia="黑体"/>
      <w:sz w:val="20"/>
    </w:rPr>
  </w:style>
  <w:style w:type="paragraph" w:styleId="5">
    <w:name w:val="Document Map"/>
    <w:basedOn w:val="1"/>
    <w:semiHidden/>
    <w:qFormat/>
    <w:uiPriority w:val="0"/>
    <w:pPr>
      <w:shd w:val="clear" w:color="auto" w:fill="000080"/>
    </w:pPr>
  </w:style>
  <w:style w:type="paragraph" w:styleId="6">
    <w:name w:val="annotation text"/>
    <w:basedOn w:val="1"/>
    <w:semiHidden/>
    <w:qFormat/>
    <w:uiPriority w:val="0"/>
    <w:pPr>
      <w:jc w:val="left"/>
    </w:pPr>
  </w:style>
  <w:style w:type="paragraph" w:styleId="7">
    <w:name w:val="Body Text Indent"/>
    <w:basedOn w:val="1"/>
    <w:qFormat/>
    <w:uiPriority w:val="0"/>
    <w:pPr>
      <w:spacing w:line="440" w:lineRule="exact"/>
      <w:ind w:left="299"/>
    </w:pPr>
    <w:rPr>
      <w:sz w:val="24"/>
    </w:rPr>
  </w:style>
  <w:style w:type="paragraph" w:styleId="8">
    <w:name w:val="Date"/>
    <w:basedOn w:val="1"/>
    <w:next w:val="1"/>
    <w:qFormat/>
    <w:uiPriority w:val="0"/>
    <w:pPr>
      <w:ind w:left="100" w:leftChars="2500"/>
    </w:pPr>
  </w:style>
  <w:style w:type="paragraph" w:styleId="9">
    <w:name w:val="header"/>
    <w:basedOn w:val="1"/>
    <w:link w:val="19"/>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nhideWhenUsed/>
    <w:qFormat/>
    <w:uiPriority w:val="99"/>
    <w:pPr>
      <w:spacing w:before="100" w:beforeAutospacing="1" w:after="100" w:afterAutospacing="1"/>
      <w:jc w:val="left"/>
    </w:pPr>
    <w:rPr>
      <w:sz w:val="24"/>
    </w:rPr>
  </w:style>
  <w:style w:type="paragraph" w:styleId="12">
    <w:name w:val="annotation subject"/>
    <w:basedOn w:val="6"/>
    <w:next w:val="6"/>
    <w:semiHidden/>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qFormat/>
    <w:uiPriority w:val="22"/>
    <w:rPr>
      <w:b/>
    </w:rPr>
  </w:style>
  <w:style w:type="character" w:styleId="17">
    <w:name w:val="page number"/>
    <w:qFormat/>
    <w:uiPriority w:val="0"/>
  </w:style>
  <w:style w:type="character" w:styleId="18">
    <w:name w:val="annotation reference"/>
    <w:semiHidden/>
    <w:qFormat/>
    <w:uiPriority w:val="0"/>
    <w:rPr>
      <w:sz w:val="21"/>
      <w:szCs w:val="21"/>
    </w:rPr>
  </w:style>
  <w:style w:type="character" w:customStyle="1" w:styleId="19">
    <w:name w:val="页眉 字符"/>
    <w:link w:val="9"/>
    <w:qFormat/>
    <w:uiPriority w:val="99"/>
    <w:rPr>
      <w:sz w:val="18"/>
      <w:szCs w:val="18"/>
    </w:rPr>
  </w:style>
  <w:style w:type="paragraph" w:customStyle="1" w:styleId="20">
    <w:name w:val="cjk"/>
    <w:basedOn w:val="1"/>
    <w:qFormat/>
    <w:uiPriority w:val="0"/>
    <w:pPr>
      <w:widowControl/>
      <w:suppressAutoHyphens/>
      <w:adjustRightInd/>
      <w:spacing w:before="280" w:line="360" w:lineRule="auto"/>
      <w:jc w:val="left"/>
      <w:textAlignment w:val="auto"/>
    </w:pPr>
    <w:rPr>
      <w:rFonts w:ascii="Arial Unicode MS" w:hAnsi="Arial Unicode MS"/>
      <w:kern w:val="1"/>
      <w:sz w:val="28"/>
      <w:szCs w:val="28"/>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2421</Words>
  <Characters>2920</Characters>
  <Lines>485</Lines>
  <Paragraphs>443</Paragraphs>
  <TotalTime>7</TotalTime>
  <ScaleCrop>false</ScaleCrop>
  <LinksUpToDate>false</LinksUpToDate>
  <CharactersWithSpaces>2999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2026-04-16T13:51:00Z</dcterms:created>
  <dc:creator>xw</dc:creator>
  <cp:lastModifiedBy>张瀚元</cp:lastModifiedBy>
  <cp:lastPrinted>2026-04-01T02:00:00Z</cp:lastPrinted>
  <dcterms:modified xsi:type="dcterms:W3CDTF">2026-04-16T23:14:20Z</dcterms:modified>
  <dc:title>项目类别</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B743F8561027448F87759B5D63CD6D66_13</vt:lpwstr>
  </property>
  <property fmtid="{D5CDD505-2E9C-101B-9397-08002B2CF9AE}" pid="4" name="commondata">
    <vt:lpwstr>eyJoZGlkIjoiNDRmNDBlYWQxNTQwMmYxYjlkYWEyMGNiMTBlNzBjMzYifQ==</vt:lpwstr>
  </property>
  <property fmtid="{D5CDD505-2E9C-101B-9397-08002B2CF9AE}" pid="5" name="KSOTemplateDocerSaveRecord">
    <vt:lpwstr>eyJoZGlkIjoiYmVjYzMwZDk0MWI2Y2Q2MmI5YWJhOTA1ZjRjODIyOTIiLCJ1c2VySWQiOiIxNjkxOTYxNzQ2In0=</vt:lpwstr>
  </property>
</Properties>
</file>