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DA09A3">
      <w:pPr>
        <w:jc w:val="center"/>
        <w:rPr>
          <w:rFonts w:hint="eastAsia" w:ascii="黑体" w:hAnsi="黑体" w:eastAsia="黑体" w:cs="黑体"/>
          <w:sz w:val="24"/>
          <w:szCs w:val="24"/>
        </w:rPr>
      </w:pPr>
      <w:r>
        <w:rPr>
          <w:rFonts w:hint="eastAsia" w:ascii="黑体" w:hAnsi="黑体" w:eastAsia="黑体" w:cs="黑体"/>
          <w:sz w:val="24"/>
          <w:szCs w:val="24"/>
        </w:rPr>
        <w:t>规则驱动</w:t>
      </w:r>
      <w:r>
        <w:rPr>
          <w:rFonts w:hint="eastAsia" w:ascii="黑体" w:hAnsi="黑体" w:eastAsia="黑体" w:cs="黑体"/>
          <w:sz w:val="24"/>
          <w:szCs w:val="24"/>
          <w:lang w:val="en-US" w:eastAsia="zh-CN"/>
        </w:rPr>
        <w:t>的</w:t>
      </w:r>
      <w:r>
        <w:rPr>
          <w:rFonts w:hint="eastAsia" w:ascii="黑体" w:hAnsi="黑体" w:eastAsia="黑体" w:cs="黑体"/>
          <w:sz w:val="24"/>
          <w:szCs w:val="24"/>
        </w:rPr>
        <w:t>法律智能</w:t>
      </w:r>
      <w:r>
        <w:rPr>
          <w:rFonts w:hint="eastAsia" w:ascii="黑体" w:hAnsi="黑体" w:eastAsia="黑体" w:cs="黑体"/>
          <w:sz w:val="24"/>
          <w:szCs w:val="24"/>
          <w:lang w:val="en-US" w:eastAsia="zh-CN"/>
        </w:rPr>
        <w:t>与</w:t>
      </w:r>
      <w:r>
        <w:rPr>
          <w:rFonts w:hint="eastAsia" w:ascii="黑体" w:hAnsi="黑体" w:eastAsia="黑体" w:cs="黑体"/>
          <w:sz w:val="24"/>
          <w:szCs w:val="24"/>
        </w:rPr>
        <w:t>域外法查明困境的</w:t>
      </w:r>
      <w:r>
        <w:rPr>
          <w:rFonts w:hint="eastAsia" w:ascii="黑体" w:hAnsi="黑体" w:eastAsia="黑体" w:cs="黑体"/>
          <w:sz w:val="24"/>
          <w:szCs w:val="24"/>
          <w:lang w:val="en-US" w:eastAsia="zh-CN"/>
        </w:rPr>
        <w:t>破解</w:t>
      </w:r>
      <w:r>
        <w:rPr>
          <w:rFonts w:hint="eastAsia" w:ascii="黑体" w:hAnsi="黑体" w:eastAsia="黑体" w:cs="黑体"/>
          <w:sz w:val="24"/>
          <w:szCs w:val="24"/>
        </w:rPr>
        <w:t>路径</w:t>
      </w:r>
    </w:p>
    <w:p w14:paraId="6819547E">
      <w:pPr>
        <w:rPr>
          <w:rFonts w:hint="eastAsia" w:ascii="Times New Roman" w:hAnsi="Times New Roman"/>
          <w:sz w:val="21"/>
        </w:rPr>
      </w:pPr>
    </w:p>
    <w:p w14:paraId="28D17974">
      <w:pPr>
        <w:jc w:val="center"/>
        <w:rPr>
          <w:rFonts w:hint="eastAsia" w:ascii="Times New Roman" w:hAnsi="Times New Roman"/>
          <w:sz w:val="21"/>
          <w:lang w:val="en-US" w:eastAsia="zh-CN"/>
        </w:rPr>
      </w:pPr>
      <w:r>
        <w:rPr>
          <w:rFonts w:hint="eastAsia" w:ascii="Times New Roman" w:hAnsi="Times New Roman"/>
          <w:sz w:val="21"/>
          <w:lang w:val="en-US" w:eastAsia="zh-CN"/>
        </w:rPr>
        <w:t>Computerized law赛队</w:t>
      </w:r>
    </w:p>
    <w:p w14:paraId="449054BD">
      <w:pPr>
        <w:jc w:val="center"/>
        <w:rPr>
          <w:rFonts w:hint="default" w:ascii="Times New Roman" w:hAnsi="Times New Roman"/>
          <w:sz w:val="21"/>
          <w:lang w:val="en-US" w:eastAsia="zh-CN"/>
        </w:rPr>
      </w:pPr>
      <w:r>
        <w:rPr>
          <w:rFonts w:hint="eastAsia" w:ascii="Times New Roman" w:hAnsi="Times New Roman"/>
          <w:sz w:val="21"/>
          <w:lang w:val="en-US" w:eastAsia="zh-CN"/>
        </w:rPr>
        <w:t>清华大学、中国人民大学、中国科学院大学、北京理工大学、中国政法大学</w:t>
      </w:r>
      <w:bookmarkStart w:id="0" w:name="_GoBack"/>
      <w:bookmarkEnd w:id="0"/>
    </w:p>
    <w:p w14:paraId="1FD49C42">
      <w:pPr>
        <w:rPr>
          <w:rFonts w:hint="eastAsia" w:ascii="Times New Roman" w:hAnsi="Times New Roman"/>
          <w:sz w:val="21"/>
        </w:rPr>
      </w:pPr>
    </w:p>
    <w:p w14:paraId="2BC4C3CB">
      <w:pPr>
        <w:ind w:firstLine="420" w:firstLineChars="0"/>
        <w:rPr>
          <w:rFonts w:hint="eastAsia" w:ascii="Times New Roman" w:hAnsi="Times New Roman"/>
          <w:color w:val="0000FF"/>
          <w:sz w:val="21"/>
        </w:rPr>
      </w:pPr>
      <w:r>
        <w:rPr>
          <w:rFonts w:hint="eastAsia" w:ascii="Times New Roman" w:hAnsi="Times New Roman"/>
          <w:sz w:val="21"/>
          <w:lang w:val="en-US" w:eastAsia="zh-CN"/>
        </w:rPr>
        <w:t>在涉外民商事诉讼中</w:t>
      </w:r>
      <w:r>
        <w:rPr>
          <w:rFonts w:hint="eastAsia" w:ascii="Times New Roman" w:hAnsi="Times New Roman"/>
          <w:sz w:val="21"/>
        </w:rPr>
        <w:t>，域外法</w:t>
      </w:r>
      <w:r>
        <w:rPr>
          <w:rFonts w:hint="eastAsia" w:ascii="Times New Roman" w:hAnsi="Times New Roman"/>
          <w:sz w:val="21"/>
          <w:lang w:eastAsia="zh-CN"/>
        </w:rPr>
        <w:t>“</w:t>
      </w:r>
      <w:r>
        <w:rPr>
          <w:rFonts w:hint="eastAsia" w:ascii="Times New Roman" w:hAnsi="Times New Roman"/>
          <w:sz w:val="21"/>
        </w:rPr>
        <w:t>查明</w:t>
      </w:r>
      <w:r>
        <w:rPr>
          <w:rFonts w:hint="eastAsia" w:ascii="Times New Roman" w:hAnsi="Times New Roman"/>
          <w:sz w:val="21"/>
          <w:lang w:val="en-US" w:eastAsia="zh-CN"/>
        </w:rPr>
        <w:t>难”和“</w:t>
      </w:r>
      <w:r>
        <w:rPr>
          <w:rFonts w:hint="eastAsia" w:ascii="Times New Roman" w:hAnsi="Times New Roman"/>
          <w:sz w:val="21"/>
        </w:rPr>
        <w:t>适用</w:t>
      </w:r>
      <w:r>
        <w:rPr>
          <w:rFonts w:hint="eastAsia" w:ascii="Times New Roman" w:hAnsi="Times New Roman"/>
          <w:sz w:val="21"/>
          <w:lang w:val="en-US" w:eastAsia="zh-CN"/>
        </w:rPr>
        <w:t>难”始终是</w:t>
      </w:r>
      <w:r>
        <w:rPr>
          <w:rFonts w:hint="eastAsia" w:ascii="Times New Roman" w:hAnsi="Times New Roman"/>
          <w:sz w:val="21"/>
        </w:rPr>
        <w:t>制约</w:t>
      </w:r>
      <w:r>
        <w:rPr>
          <w:rFonts w:hint="eastAsia" w:ascii="Times New Roman" w:hAnsi="Times New Roman"/>
          <w:sz w:val="21"/>
          <w:lang w:val="en-US" w:eastAsia="zh-CN"/>
        </w:rPr>
        <w:t>案件办理质效</w:t>
      </w:r>
      <w:r>
        <w:rPr>
          <w:rFonts w:hint="eastAsia" w:ascii="Times New Roman" w:hAnsi="Times New Roman"/>
          <w:sz w:val="21"/>
        </w:rPr>
        <w:t>的</w:t>
      </w:r>
      <w:r>
        <w:rPr>
          <w:rFonts w:hint="eastAsia" w:ascii="Times New Roman" w:hAnsi="Times New Roman"/>
          <w:sz w:val="21"/>
          <w:lang w:val="en-US" w:eastAsia="zh-CN"/>
        </w:rPr>
        <w:t>一个</w:t>
      </w:r>
      <w:r>
        <w:rPr>
          <w:rFonts w:hint="eastAsia" w:ascii="Times New Roman" w:hAnsi="Times New Roman"/>
          <w:sz w:val="21"/>
        </w:rPr>
        <w:t>关键</w:t>
      </w:r>
      <w:r>
        <w:rPr>
          <w:rFonts w:hint="eastAsia" w:ascii="Times New Roman" w:hAnsi="Times New Roman"/>
          <w:sz w:val="21"/>
          <w:lang w:val="en-US" w:eastAsia="zh-CN"/>
        </w:rPr>
        <w:t>瓶颈。</w:t>
      </w:r>
      <w:r>
        <w:rPr>
          <w:rFonts w:hint="eastAsia" w:ascii="Times New Roman" w:hAnsi="Times New Roman"/>
          <w:sz w:val="21"/>
        </w:rPr>
        <w:t>尽管</w:t>
      </w:r>
      <w:r>
        <w:rPr>
          <w:rFonts w:hint="eastAsia" w:ascii="Times New Roman" w:hAnsi="Times New Roman"/>
          <w:sz w:val="21"/>
          <w:lang w:val="en-US" w:eastAsia="zh-CN"/>
        </w:rPr>
        <w:t>中国</w:t>
      </w:r>
      <w:r>
        <w:rPr>
          <w:rFonts w:hint="eastAsia" w:ascii="Times New Roman" w:hAnsi="Times New Roman"/>
          <w:sz w:val="21"/>
        </w:rPr>
        <w:t>已</w:t>
      </w:r>
      <w:r>
        <w:rPr>
          <w:rFonts w:hint="eastAsia" w:ascii="Times New Roman" w:hAnsi="Times New Roman"/>
          <w:sz w:val="21"/>
          <w:lang w:val="en-US" w:eastAsia="zh-CN"/>
        </w:rPr>
        <w:t>对</w:t>
      </w:r>
      <w:r>
        <w:rPr>
          <w:rFonts w:hint="eastAsia" w:ascii="Times New Roman" w:hAnsi="Times New Roman"/>
          <w:sz w:val="21"/>
        </w:rPr>
        <w:t>相关立法</w:t>
      </w:r>
      <w:r>
        <w:rPr>
          <w:rFonts w:hint="eastAsia" w:ascii="Times New Roman" w:hAnsi="Times New Roman"/>
          <w:sz w:val="21"/>
          <w:lang w:val="en-US" w:eastAsia="zh-CN"/>
        </w:rPr>
        <w:t>和司法解释进行完善更新</w:t>
      </w:r>
      <w:r>
        <w:rPr>
          <w:rFonts w:hint="eastAsia" w:ascii="Times New Roman" w:hAnsi="Times New Roman"/>
          <w:sz w:val="21"/>
        </w:rPr>
        <w:t>，但“查明难、适用难”仍未</w:t>
      </w:r>
      <w:r>
        <w:rPr>
          <w:rFonts w:hint="eastAsia" w:ascii="Times New Roman" w:hAnsi="Times New Roman"/>
          <w:sz w:val="21"/>
          <w:lang w:val="en-US" w:eastAsia="zh-CN"/>
        </w:rPr>
        <w:t>彻底</w:t>
      </w:r>
      <w:r>
        <w:rPr>
          <w:rFonts w:hint="eastAsia" w:ascii="Times New Roman" w:hAnsi="Times New Roman"/>
          <w:sz w:val="21"/>
        </w:rPr>
        <w:t>解决。</w:t>
      </w:r>
      <w:r>
        <w:rPr>
          <w:rFonts w:hint="eastAsia" w:ascii="Times New Roman" w:hAnsi="Times New Roman"/>
          <w:sz w:val="21"/>
          <w:lang w:val="en-US" w:eastAsia="zh-CN"/>
        </w:rPr>
        <w:t>我们认为，</w:t>
      </w:r>
      <w:r>
        <w:rPr>
          <w:rFonts w:hint="eastAsia" w:ascii="Times New Roman" w:hAnsi="Times New Roman"/>
          <w:sz w:val="21"/>
        </w:rPr>
        <w:t>规则驱动</w:t>
      </w:r>
      <w:r>
        <w:rPr>
          <w:rFonts w:hint="eastAsia" w:ascii="Times New Roman" w:hAnsi="Times New Roman"/>
          <w:sz w:val="21"/>
          <w:lang w:val="en-US" w:eastAsia="zh-CN"/>
        </w:rPr>
        <w:t>的</w:t>
      </w:r>
      <w:r>
        <w:rPr>
          <w:rFonts w:hint="eastAsia" w:ascii="Times New Roman" w:hAnsi="Times New Roman"/>
          <w:sz w:val="21"/>
        </w:rPr>
        <w:t>智能</w:t>
      </w:r>
      <w:r>
        <w:rPr>
          <w:rFonts w:hint="eastAsia" w:ascii="Times New Roman" w:hAnsi="Times New Roman"/>
          <w:sz w:val="21"/>
          <w:lang w:val="en-US" w:eastAsia="zh-CN"/>
        </w:rPr>
        <w:t>法律应用</w:t>
      </w:r>
      <w:r>
        <w:rPr>
          <w:rFonts w:hint="eastAsia" w:ascii="Times New Roman" w:hAnsi="Times New Roman"/>
          <w:sz w:val="21"/>
        </w:rPr>
        <w:t>，以专家知识为核心、大模型为辅助，为破解困境提供了</w:t>
      </w:r>
      <w:r>
        <w:rPr>
          <w:rFonts w:hint="eastAsia" w:ascii="Times New Roman" w:hAnsi="Times New Roman"/>
          <w:sz w:val="21"/>
          <w:lang w:val="en-US" w:eastAsia="zh-CN"/>
        </w:rPr>
        <w:t>一种供需适配的潜在方案</w:t>
      </w:r>
      <w:r>
        <w:rPr>
          <w:rFonts w:hint="eastAsia" w:ascii="Times New Roman" w:hAnsi="Times New Roman"/>
          <w:sz w:val="21"/>
        </w:rPr>
        <w:t>，有望</w:t>
      </w:r>
      <w:r>
        <w:rPr>
          <w:rFonts w:hint="eastAsia" w:ascii="Times New Roman" w:hAnsi="Times New Roman"/>
          <w:sz w:val="21"/>
          <w:lang w:val="en-US" w:eastAsia="zh-CN"/>
        </w:rPr>
        <w:t>成为涉外法治建设的技术助力</w:t>
      </w:r>
      <w:r>
        <w:rPr>
          <w:rFonts w:hint="eastAsia" w:ascii="Times New Roman" w:hAnsi="Times New Roman"/>
          <w:sz w:val="21"/>
        </w:rPr>
        <w:t>。</w:t>
      </w:r>
    </w:p>
    <w:p w14:paraId="1353042B">
      <w:pPr>
        <w:rPr>
          <w:rFonts w:hint="eastAsia" w:ascii="Times New Roman" w:hAnsi="Times New Roman"/>
          <w:sz w:val="21"/>
        </w:rPr>
      </w:pPr>
    </w:p>
    <w:p w14:paraId="26B0E5C3">
      <w:pPr>
        <w:rPr>
          <w:rFonts w:hint="eastAsia" w:ascii="Times New Roman" w:hAnsi="Times New Roman"/>
          <w:sz w:val="21"/>
        </w:rPr>
      </w:pPr>
      <w:r>
        <w:rPr>
          <w:rFonts w:hint="eastAsia" w:ascii="Times New Roman" w:hAnsi="Times New Roman"/>
          <w:sz w:val="21"/>
        </w:rPr>
        <w:t>一、域外法查明与适用的现实困境</w:t>
      </w:r>
    </w:p>
    <w:p w14:paraId="39FBFC6D">
      <w:pPr>
        <w:ind w:firstLine="420" w:firstLineChars="0"/>
        <w:rPr>
          <w:rFonts w:hint="eastAsia" w:ascii="Times New Roman" w:hAnsi="Times New Roman"/>
          <w:sz w:val="21"/>
          <w:lang w:val="en-US" w:eastAsia="zh-CN"/>
        </w:rPr>
      </w:pPr>
      <w:r>
        <w:rPr>
          <w:rFonts w:hint="eastAsia" w:ascii="Times New Roman" w:hAnsi="Times New Roman"/>
          <w:sz w:val="21"/>
          <w:lang w:val="en-US" w:eastAsia="zh-CN"/>
        </w:rPr>
        <w:t>在各国的</w:t>
      </w:r>
      <w:r>
        <w:rPr>
          <w:rFonts w:hint="eastAsia" w:ascii="Times New Roman" w:hAnsi="Times New Roman"/>
          <w:sz w:val="21"/>
        </w:rPr>
        <w:t>涉外民商事诉讼中，域外法查明与适用</w:t>
      </w:r>
      <w:r>
        <w:rPr>
          <w:rFonts w:hint="eastAsia" w:ascii="Times New Roman" w:hAnsi="Times New Roman"/>
          <w:sz w:val="21"/>
          <w:lang w:val="en-US" w:eastAsia="zh-CN"/>
        </w:rPr>
        <w:t>普遍</w:t>
      </w:r>
      <w:r>
        <w:rPr>
          <w:rFonts w:hint="eastAsia" w:ascii="Times New Roman" w:hAnsi="Times New Roman"/>
          <w:sz w:val="21"/>
        </w:rPr>
        <w:t>面临双重痛点：</w:t>
      </w:r>
      <w:r>
        <w:rPr>
          <w:rFonts w:hint="eastAsia" w:ascii="Times New Roman" w:hAnsi="Times New Roman"/>
          <w:sz w:val="21"/>
          <w:lang w:eastAsia="zh-CN"/>
        </w:rPr>
        <w:t>（</w:t>
      </w:r>
      <w:r>
        <w:rPr>
          <w:rFonts w:hint="eastAsia" w:ascii="Times New Roman" w:hAnsi="Times New Roman"/>
          <w:sz w:val="21"/>
          <w:lang w:val="en-US" w:eastAsia="zh-CN"/>
        </w:rPr>
        <w:t>1</w:t>
      </w:r>
      <w:r>
        <w:rPr>
          <w:rFonts w:hint="eastAsia" w:ascii="Times New Roman" w:hAnsi="Times New Roman"/>
          <w:sz w:val="21"/>
          <w:lang w:eastAsia="zh-CN"/>
        </w:rPr>
        <w:t>）</w:t>
      </w:r>
      <w:r>
        <w:rPr>
          <w:rFonts w:hint="eastAsia" w:ascii="Times New Roman" w:hAnsi="Times New Roman"/>
          <w:sz w:val="21"/>
        </w:rPr>
        <w:t>“查明难”</w:t>
      </w:r>
      <w:r>
        <w:rPr>
          <w:rFonts w:hint="eastAsia" w:ascii="Times New Roman" w:hAnsi="Times New Roman"/>
          <w:sz w:val="21"/>
          <w:lang w:eastAsia="zh-CN"/>
        </w:rPr>
        <w:t>，</w:t>
      </w:r>
      <w:r>
        <w:rPr>
          <w:rFonts w:hint="eastAsia" w:ascii="Times New Roman" w:hAnsi="Times New Roman"/>
          <w:sz w:val="21"/>
          <w:lang w:val="en-US" w:eastAsia="zh-CN"/>
        </w:rPr>
        <w:t>即法官和律师</w:t>
      </w:r>
      <w:r>
        <w:rPr>
          <w:rFonts w:hint="eastAsia" w:ascii="Times New Roman" w:hAnsi="Times New Roman"/>
          <w:sz w:val="21"/>
        </w:rPr>
        <w:t>难以快速精准</w:t>
      </w:r>
      <w:r>
        <w:rPr>
          <w:rFonts w:hint="eastAsia" w:ascii="Times New Roman" w:hAnsi="Times New Roman"/>
          <w:sz w:val="21"/>
          <w:lang w:val="en-US" w:eastAsia="zh-CN"/>
        </w:rPr>
        <w:t>检索到与</w:t>
      </w:r>
      <w:r>
        <w:rPr>
          <w:rFonts w:hint="eastAsia" w:ascii="Times New Roman" w:hAnsi="Times New Roman"/>
          <w:sz w:val="21"/>
        </w:rPr>
        <w:t>案件相关的域外法律</w:t>
      </w:r>
      <w:r>
        <w:rPr>
          <w:rFonts w:hint="eastAsia" w:ascii="Times New Roman" w:hAnsi="Times New Roman"/>
          <w:sz w:val="21"/>
          <w:lang w:val="en-US" w:eastAsia="zh-CN"/>
        </w:rPr>
        <w:t>法规（主要是实体规则），在实践中通常也包括法院国参加或者尚未参加的国际条约，以及部分国际商业惯例；（2）</w:t>
      </w:r>
      <w:r>
        <w:rPr>
          <w:rFonts w:hint="eastAsia" w:ascii="Times New Roman" w:hAnsi="Times New Roman"/>
          <w:sz w:val="21"/>
        </w:rPr>
        <w:t>“适用难”</w:t>
      </w:r>
      <w:r>
        <w:rPr>
          <w:rFonts w:hint="eastAsia" w:ascii="Times New Roman" w:hAnsi="Times New Roman"/>
          <w:sz w:val="21"/>
          <w:lang w:eastAsia="zh-CN"/>
        </w:rPr>
        <w:t>，</w:t>
      </w:r>
      <w:r>
        <w:rPr>
          <w:rFonts w:hint="eastAsia" w:ascii="Times New Roman" w:hAnsi="Times New Roman"/>
          <w:sz w:val="21"/>
          <w:lang w:val="en-US" w:eastAsia="zh-CN"/>
        </w:rPr>
        <w:t>即</w:t>
      </w:r>
      <w:r>
        <w:rPr>
          <w:rFonts w:hint="eastAsia" w:ascii="Times New Roman" w:hAnsi="Times New Roman"/>
          <w:sz w:val="21"/>
        </w:rPr>
        <w:t>因</w:t>
      </w:r>
      <w:r>
        <w:rPr>
          <w:rFonts w:hint="eastAsia" w:ascii="Times New Roman" w:hAnsi="Times New Roman"/>
          <w:sz w:val="21"/>
          <w:lang w:val="en-US" w:eastAsia="zh-CN"/>
        </w:rPr>
        <w:t>法官和</w:t>
      </w:r>
      <w:r>
        <w:rPr>
          <w:rFonts w:hint="eastAsia" w:ascii="Times New Roman" w:hAnsi="Times New Roman"/>
          <w:sz w:val="21"/>
        </w:rPr>
        <w:t>律师不熟悉域外法律体系与文化，无法准确</w:t>
      </w:r>
      <w:r>
        <w:rPr>
          <w:rFonts w:hint="eastAsia" w:ascii="Times New Roman" w:hAnsi="Times New Roman"/>
          <w:sz w:val="21"/>
          <w:lang w:val="en-US" w:eastAsia="zh-CN"/>
        </w:rPr>
        <w:t>厘定</w:t>
      </w:r>
      <w:r>
        <w:rPr>
          <w:rFonts w:hint="eastAsia" w:ascii="Times New Roman" w:hAnsi="Times New Roman"/>
          <w:sz w:val="21"/>
        </w:rPr>
        <w:t>条文内涵，导致即便查到</w:t>
      </w:r>
      <w:r>
        <w:rPr>
          <w:rFonts w:hint="eastAsia" w:ascii="Times New Roman" w:hAnsi="Times New Roman"/>
          <w:sz w:val="21"/>
          <w:lang w:val="en-US" w:eastAsia="zh-CN"/>
        </w:rPr>
        <w:t>相关规则</w:t>
      </w:r>
      <w:r>
        <w:rPr>
          <w:rFonts w:hint="eastAsia" w:ascii="Times New Roman" w:hAnsi="Times New Roman"/>
          <w:sz w:val="21"/>
        </w:rPr>
        <w:t>也难以</w:t>
      </w:r>
      <w:r>
        <w:rPr>
          <w:rFonts w:hint="eastAsia" w:ascii="Times New Roman" w:hAnsi="Times New Roman"/>
          <w:sz w:val="21"/>
          <w:lang w:val="en-US" w:eastAsia="zh-CN"/>
        </w:rPr>
        <w:t>可靠地理解和</w:t>
      </w:r>
      <w:r>
        <w:rPr>
          <w:rFonts w:hint="eastAsia" w:ascii="Times New Roman" w:hAnsi="Times New Roman"/>
          <w:sz w:val="21"/>
        </w:rPr>
        <w:t>适用，最终倾向于</w:t>
      </w:r>
      <w:r>
        <w:rPr>
          <w:rFonts w:hint="eastAsia" w:ascii="Times New Roman" w:hAnsi="Times New Roman"/>
          <w:sz w:val="21"/>
          <w:lang w:val="en-US" w:eastAsia="zh-CN"/>
        </w:rPr>
        <w:t>回到</w:t>
      </w:r>
      <w:r>
        <w:rPr>
          <w:rFonts w:hint="eastAsia" w:ascii="Times New Roman" w:hAnsi="Times New Roman"/>
          <w:sz w:val="21"/>
        </w:rPr>
        <w:t>本国法。</w:t>
      </w:r>
      <w:r>
        <w:rPr>
          <w:rFonts w:hint="eastAsia" w:ascii="Times New Roman" w:hAnsi="Times New Roman"/>
          <w:sz w:val="21"/>
          <w:lang w:val="en-US" w:eastAsia="zh-CN"/>
        </w:rPr>
        <w:t>有学者将这种趋势形象地成为“回家去的趋势”（homeward trend）。</w:t>
      </w:r>
    </w:p>
    <w:p w14:paraId="2144581E">
      <w:pPr>
        <w:ind w:firstLine="420" w:firstLineChars="0"/>
        <w:rPr>
          <w:rFonts w:hint="eastAsia" w:ascii="Times New Roman" w:hAnsi="Times New Roman"/>
          <w:sz w:val="21"/>
          <w:lang w:val="en-US" w:eastAsia="zh-CN"/>
        </w:rPr>
      </w:pPr>
      <w:r>
        <w:rPr>
          <w:rFonts w:hint="eastAsia" w:ascii="Times New Roman" w:hAnsi="Times New Roman"/>
          <w:sz w:val="21"/>
          <w:lang w:val="en-US" w:eastAsia="zh-CN"/>
        </w:rPr>
        <w:t>这种</w:t>
      </w:r>
      <w:r>
        <w:rPr>
          <w:rFonts w:hint="eastAsia" w:ascii="Times New Roman" w:hAnsi="Times New Roman"/>
          <w:sz w:val="21"/>
        </w:rPr>
        <w:t>困境</w:t>
      </w:r>
      <w:r>
        <w:rPr>
          <w:rFonts w:hint="eastAsia" w:ascii="Times New Roman" w:hAnsi="Times New Roman"/>
          <w:sz w:val="21"/>
          <w:lang w:val="en-US" w:eastAsia="zh-CN"/>
        </w:rPr>
        <w:t>的重要</w:t>
      </w:r>
      <w:r>
        <w:rPr>
          <w:rFonts w:hint="eastAsia" w:ascii="Times New Roman" w:hAnsi="Times New Roman"/>
          <w:sz w:val="21"/>
        </w:rPr>
        <w:t>根源在于</w:t>
      </w:r>
      <w:r>
        <w:rPr>
          <w:rFonts w:hint="eastAsia" w:ascii="Times New Roman" w:hAnsi="Times New Roman"/>
          <w:sz w:val="21"/>
          <w:lang w:eastAsia="zh-CN"/>
        </w:rPr>
        <w:t>，</w:t>
      </w:r>
      <w:r>
        <w:rPr>
          <w:rFonts w:hint="eastAsia" w:ascii="Times New Roman" w:hAnsi="Times New Roman"/>
          <w:sz w:val="21"/>
        </w:rPr>
        <w:t>域外法</w:t>
      </w:r>
      <w:r>
        <w:rPr>
          <w:rFonts w:hint="eastAsia" w:ascii="Times New Roman" w:hAnsi="Times New Roman"/>
          <w:sz w:val="21"/>
          <w:lang w:val="en-US" w:eastAsia="zh-CN"/>
        </w:rPr>
        <w:t>的</w:t>
      </w:r>
      <w:r>
        <w:rPr>
          <w:rFonts w:hint="eastAsia" w:ascii="Times New Roman" w:hAnsi="Times New Roman"/>
          <w:sz w:val="21"/>
        </w:rPr>
        <w:t>复杂性</w:t>
      </w:r>
      <w:r>
        <w:rPr>
          <w:rFonts w:hint="eastAsia" w:ascii="Times New Roman" w:hAnsi="Times New Roman"/>
          <w:sz w:val="21"/>
          <w:lang w:val="en-US" w:eastAsia="zh-CN"/>
        </w:rPr>
        <w:t>使得</w:t>
      </w:r>
      <w:r>
        <w:rPr>
          <w:rFonts w:hint="eastAsia" w:ascii="Times New Roman" w:hAnsi="Times New Roman"/>
          <w:sz w:val="21"/>
        </w:rPr>
        <w:t>其</w:t>
      </w:r>
      <w:r>
        <w:rPr>
          <w:rFonts w:hint="eastAsia" w:ascii="Times New Roman" w:hAnsi="Times New Roman"/>
          <w:sz w:val="21"/>
          <w:lang w:val="en-US" w:eastAsia="zh-CN"/>
        </w:rPr>
        <w:t>检索和</w:t>
      </w:r>
      <w:r>
        <w:rPr>
          <w:rFonts w:hint="eastAsia" w:ascii="Times New Roman" w:hAnsi="Times New Roman"/>
          <w:sz w:val="21"/>
        </w:rPr>
        <w:t>解读</w:t>
      </w:r>
      <w:r>
        <w:rPr>
          <w:rFonts w:hint="eastAsia" w:ascii="Times New Roman" w:hAnsi="Times New Roman"/>
          <w:sz w:val="21"/>
          <w:lang w:val="en-US" w:eastAsia="zh-CN"/>
        </w:rPr>
        <w:t>通常</w:t>
      </w:r>
      <w:r>
        <w:rPr>
          <w:rFonts w:hint="eastAsia" w:ascii="Times New Roman" w:hAnsi="Times New Roman"/>
          <w:sz w:val="21"/>
        </w:rPr>
        <w:t>依赖</w:t>
      </w:r>
      <w:r>
        <w:rPr>
          <w:rFonts w:hint="eastAsia" w:ascii="Times New Roman" w:hAnsi="Times New Roman"/>
          <w:sz w:val="21"/>
          <w:lang w:val="en-US" w:eastAsia="zh-CN"/>
        </w:rPr>
        <w:t>较为</w:t>
      </w:r>
      <w:r>
        <w:rPr>
          <w:rFonts w:hint="eastAsia" w:ascii="Times New Roman" w:hAnsi="Times New Roman"/>
          <w:sz w:val="21"/>
        </w:rPr>
        <w:t>稀缺的</w:t>
      </w:r>
      <w:r>
        <w:rPr>
          <w:rFonts w:hint="eastAsia" w:ascii="Times New Roman" w:hAnsi="Times New Roman"/>
          <w:sz w:val="21"/>
          <w:lang w:val="en-US" w:eastAsia="zh-CN"/>
        </w:rPr>
        <w:t>涉外</w:t>
      </w:r>
      <w:r>
        <w:rPr>
          <w:rFonts w:hint="eastAsia" w:ascii="Times New Roman" w:hAnsi="Times New Roman"/>
          <w:sz w:val="21"/>
        </w:rPr>
        <w:t>法律专家。</w:t>
      </w:r>
      <w:r>
        <w:rPr>
          <w:rFonts w:hint="eastAsia" w:ascii="Times New Roman" w:hAnsi="Times New Roman"/>
          <w:sz w:val="21"/>
          <w:lang w:val="en-US" w:eastAsia="zh-CN"/>
        </w:rPr>
        <w:t>而获取一份可信、完整、对案件有直接帮助的专家意见，通常需要较高的时间和经济成本。在各方提供的专家意见有冲突时，法庭可能还需要组织对专家的询问等程序。</w:t>
      </w:r>
    </w:p>
    <w:p w14:paraId="47C76BA6">
      <w:pPr>
        <w:ind w:firstLine="420" w:firstLineChars="0"/>
        <w:rPr>
          <w:rFonts w:hint="eastAsia" w:ascii="Times New Roman" w:hAnsi="Times New Roman"/>
          <w:sz w:val="21"/>
          <w:lang w:val="en-US" w:eastAsia="zh-CN"/>
        </w:rPr>
      </w:pPr>
      <w:r>
        <w:rPr>
          <w:rFonts w:hint="eastAsia" w:ascii="Times New Roman" w:hAnsi="Times New Roman"/>
          <w:sz w:val="21"/>
          <w:lang w:val="en-US" w:eastAsia="zh-CN"/>
        </w:rPr>
        <w:t>为了化解这种困境，中国在完善立法和司法解释的同时，</w:t>
      </w:r>
      <w:r>
        <w:rPr>
          <w:rFonts w:hint="eastAsia" w:ascii="Times New Roman" w:hAnsi="Times New Roman"/>
          <w:sz w:val="21"/>
        </w:rPr>
        <w:t>建立</w:t>
      </w:r>
      <w:r>
        <w:rPr>
          <w:rFonts w:hint="eastAsia" w:ascii="Times New Roman" w:hAnsi="Times New Roman"/>
          <w:sz w:val="21"/>
          <w:lang w:eastAsia="zh-CN"/>
        </w:rPr>
        <w:t>了</w:t>
      </w:r>
      <w:r>
        <w:rPr>
          <w:rFonts w:hint="eastAsia" w:ascii="Times New Roman" w:hAnsi="Times New Roman"/>
          <w:sz w:val="21"/>
        </w:rPr>
        <w:t>多种类型的域外法查明机构，搭建线上服务平台，整理汇总大量域外法律资料，本质上是人工查明模式的延伸，试图以技术弥补专家稀缺性，一定程度缓解了“查明难”。</w:t>
      </w:r>
      <w:r>
        <w:rPr>
          <w:rFonts w:hint="eastAsia" w:ascii="Times New Roman" w:hAnsi="Times New Roman"/>
          <w:sz w:val="21"/>
          <w:lang w:val="en-US" w:eastAsia="zh-CN"/>
        </w:rPr>
        <w:t>类似地，瑞士比较法研究所、德国汉堡比较私法和国际私法研究所等机构，也为该国法院提供专家意见并建立了相应的域外法查明在线数据库。</w:t>
      </w:r>
    </w:p>
    <w:p w14:paraId="5AF61751">
      <w:pPr>
        <w:ind w:firstLine="420" w:firstLineChars="0"/>
        <w:rPr>
          <w:rFonts w:hint="eastAsia" w:ascii="Times New Roman" w:hAnsi="Times New Roman"/>
          <w:sz w:val="21"/>
          <w:lang w:val="en-US" w:eastAsia="zh-CN"/>
        </w:rPr>
      </w:pPr>
      <w:r>
        <w:rPr>
          <w:rFonts w:hint="eastAsia" w:ascii="Times New Roman" w:hAnsi="Times New Roman"/>
          <w:sz w:val="21"/>
          <w:lang w:val="en-US" w:eastAsia="zh-CN"/>
        </w:rPr>
        <w:t>不过，</w:t>
      </w:r>
      <w:r>
        <w:rPr>
          <w:rFonts w:hint="eastAsia" w:ascii="Times New Roman" w:hAnsi="Times New Roman"/>
          <w:sz w:val="21"/>
        </w:rPr>
        <w:t>现有体系仍有明显局限，未能破解“适用难”核心痛点：</w:t>
      </w:r>
      <w:r>
        <w:rPr>
          <w:rFonts w:hint="eastAsia" w:ascii="Times New Roman" w:hAnsi="Times New Roman"/>
          <w:sz w:val="21"/>
          <w:lang w:val="en-US" w:eastAsia="zh-CN"/>
        </w:rPr>
        <w:t>一</w:t>
      </w:r>
      <w:r>
        <w:rPr>
          <w:rFonts w:hint="eastAsia" w:ascii="Times New Roman" w:hAnsi="Times New Roman"/>
          <w:sz w:val="21"/>
        </w:rPr>
        <w:t>是专家解读服务效率低、个案性强，无法形成可复用</w:t>
      </w:r>
      <w:r>
        <w:rPr>
          <w:rFonts w:hint="eastAsia" w:ascii="Times New Roman" w:hAnsi="Times New Roman"/>
          <w:sz w:val="21"/>
          <w:lang w:val="en-US" w:eastAsia="zh-CN"/>
        </w:rPr>
        <w:t>的工具</w:t>
      </w:r>
      <w:r>
        <w:rPr>
          <w:rFonts w:hint="eastAsia" w:ascii="Times New Roman" w:hAnsi="Times New Roman"/>
          <w:sz w:val="21"/>
        </w:rPr>
        <w:t>，难以满足</w:t>
      </w:r>
      <w:r>
        <w:rPr>
          <w:rFonts w:hint="eastAsia" w:ascii="Times New Roman" w:hAnsi="Times New Roman"/>
          <w:sz w:val="21"/>
          <w:lang w:val="en-US" w:eastAsia="zh-CN"/>
        </w:rPr>
        <w:t>高性价比解决国际民商事争议的</w:t>
      </w:r>
      <w:r>
        <w:rPr>
          <w:rFonts w:hint="eastAsia" w:ascii="Times New Roman" w:hAnsi="Times New Roman"/>
          <w:sz w:val="21"/>
        </w:rPr>
        <w:t>需求</w:t>
      </w:r>
      <w:r>
        <w:rPr>
          <w:rFonts w:hint="eastAsia" w:ascii="Times New Roman" w:hAnsi="Times New Roman"/>
          <w:sz w:val="21"/>
          <w:lang w:eastAsia="zh-CN"/>
        </w:rPr>
        <w:t>；</w:t>
      </w:r>
      <w:r>
        <w:rPr>
          <w:rFonts w:hint="eastAsia" w:ascii="Times New Roman" w:hAnsi="Times New Roman"/>
          <w:sz w:val="21"/>
          <w:lang w:val="en-US" w:eastAsia="zh-CN"/>
        </w:rPr>
        <w:t>二</w:t>
      </w:r>
      <w:r>
        <w:rPr>
          <w:rFonts w:hint="eastAsia" w:ascii="Times New Roman" w:hAnsi="Times New Roman"/>
          <w:sz w:val="21"/>
        </w:rPr>
        <w:t>是</w:t>
      </w:r>
      <w:r>
        <w:rPr>
          <w:rFonts w:hint="eastAsia" w:ascii="Times New Roman" w:hAnsi="Times New Roman"/>
          <w:sz w:val="21"/>
          <w:lang w:val="en-US" w:eastAsia="zh-CN"/>
        </w:rPr>
        <w:t>在线</w:t>
      </w:r>
      <w:r>
        <w:rPr>
          <w:rFonts w:hint="eastAsia" w:ascii="Times New Roman" w:hAnsi="Times New Roman"/>
          <w:sz w:val="21"/>
        </w:rPr>
        <w:t>数据库重收集、轻解读，</w:t>
      </w:r>
      <w:r>
        <w:rPr>
          <w:rFonts w:hint="eastAsia" w:ascii="Times New Roman" w:hAnsi="Times New Roman"/>
          <w:sz w:val="21"/>
          <w:lang w:val="en-US" w:eastAsia="zh-CN"/>
        </w:rPr>
        <w:t>而忽视从抽象规范到个案事实的“最后一公里”</w:t>
      </w:r>
      <w:r>
        <w:rPr>
          <w:rFonts w:hint="eastAsia" w:ascii="Times New Roman" w:hAnsi="Times New Roman"/>
          <w:sz w:val="21"/>
        </w:rPr>
        <w:t>。</w:t>
      </w:r>
      <w:r>
        <w:rPr>
          <w:rFonts w:hint="eastAsia" w:ascii="Times New Roman" w:hAnsi="Times New Roman"/>
          <w:sz w:val="21"/>
          <w:lang w:val="en-US" w:eastAsia="zh-CN"/>
        </w:rPr>
        <w:t>换言之，</w:t>
      </w:r>
      <w:r>
        <w:rPr>
          <w:rFonts w:hint="eastAsia" w:ascii="Times New Roman" w:hAnsi="Times New Roman"/>
          <w:sz w:val="21"/>
        </w:rPr>
        <w:t>现有体系</w:t>
      </w:r>
      <w:r>
        <w:rPr>
          <w:rFonts w:hint="eastAsia" w:ascii="Times New Roman" w:hAnsi="Times New Roman"/>
          <w:sz w:val="21"/>
          <w:lang w:val="en-US" w:eastAsia="zh-CN"/>
        </w:rPr>
        <w:t>主要</w:t>
      </w:r>
      <w:r>
        <w:rPr>
          <w:rFonts w:hint="eastAsia" w:ascii="Times New Roman" w:hAnsi="Times New Roman"/>
          <w:sz w:val="21"/>
        </w:rPr>
        <w:t>解决</w:t>
      </w:r>
      <w:r>
        <w:rPr>
          <w:rFonts w:hint="eastAsia" w:ascii="Times New Roman" w:hAnsi="Times New Roman"/>
          <w:sz w:val="21"/>
          <w:lang w:eastAsia="zh-CN"/>
        </w:rPr>
        <w:t>“</w:t>
      </w:r>
      <w:r>
        <w:rPr>
          <w:rFonts w:hint="eastAsia" w:ascii="Times New Roman" w:hAnsi="Times New Roman"/>
          <w:sz w:val="21"/>
          <w:lang w:val="en-US" w:eastAsia="zh-CN"/>
        </w:rPr>
        <w:t>谁来查</w:t>
      </w:r>
      <w:r>
        <w:rPr>
          <w:rFonts w:hint="eastAsia" w:ascii="Times New Roman" w:hAnsi="Times New Roman"/>
          <w:sz w:val="21"/>
          <w:lang w:eastAsia="zh-CN"/>
        </w:rPr>
        <w:t>”</w:t>
      </w:r>
      <w:r>
        <w:rPr>
          <w:rFonts w:hint="eastAsia" w:ascii="Times New Roman" w:hAnsi="Times New Roman"/>
          <w:sz w:val="21"/>
          <w:lang w:val="en-US" w:eastAsia="zh-CN"/>
        </w:rPr>
        <w:t>和</w:t>
      </w:r>
      <w:r>
        <w:rPr>
          <w:rFonts w:hint="eastAsia" w:ascii="Times New Roman" w:hAnsi="Times New Roman"/>
          <w:sz w:val="21"/>
        </w:rPr>
        <w:t>“能不能查到”，</w:t>
      </w:r>
      <w:r>
        <w:rPr>
          <w:rFonts w:hint="eastAsia" w:ascii="Times New Roman" w:hAnsi="Times New Roman"/>
          <w:sz w:val="21"/>
          <w:lang w:val="en-US" w:eastAsia="zh-CN"/>
        </w:rPr>
        <w:t>较少</w:t>
      </w:r>
      <w:r>
        <w:rPr>
          <w:rFonts w:hint="eastAsia" w:ascii="Times New Roman" w:hAnsi="Times New Roman"/>
          <w:sz w:val="21"/>
        </w:rPr>
        <w:t>解决“查到后怎么用”的核心症结，</w:t>
      </w:r>
      <w:r>
        <w:rPr>
          <w:rFonts w:hint="eastAsia" w:ascii="Times New Roman" w:hAnsi="Times New Roman"/>
          <w:sz w:val="21"/>
          <w:lang w:val="en-US" w:eastAsia="zh-CN"/>
        </w:rPr>
        <w:t>更未能触及“怎样查得可靠、高效和低价”等进阶问题</w:t>
      </w:r>
      <w:r>
        <w:rPr>
          <w:rFonts w:hint="eastAsia" w:ascii="Times New Roman" w:hAnsi="Times New Roman"/>
          <w:sz w:val="21"/>
        </w:rPr>
        <w:t>。</w:t>
      </w:r>
      <w:r>
        <w:rPr>
          <w:rFonts w:hint="eastAsia" w:ascii="Times New Roman" w:hAnsi="Times New Roman"/>
          <w:sz w:val="21"/>
          <w:lang w:val="en-US" w:eastAsia="zh-CN"/>
        </w:rPr>
        <w:t>对此，规则驱动的法律智能应用，或许可以成为数智时代的技术助力。</w:t>
      </w:r>
    </w:p>
    <w:p w14:paraId="5BB3FF02">
      <w:pPr>
        <w:rPr>
          <w:rFonts w:hint="eastAsia" w:ascii="Times New Roman" w:hAnsi="Times New Roman"/>
          <w:sz w:val="21"/>
        </w:rPr>
      </w:pPr>
    </w:p>
    <w:p w14:paraId="46758BF8">
      <w:pPr>
        <w:rPr>
          <w:rFonts w:hint="eastAsia" w:ascii="Times New Roman" w:hAnsi="Times New Roman"/>
          <w:sz w:val="21"/>
        </w:rPr>
      </w:pPr>
      <w:r>
        <w:rPr>
          <w:rFonts w:hint="eastAsia" w:ascii="Times New Roman" w:hAnsi="Times New Roman"/>
          <w:sz w:val="21"/>
          <w:lang w:val="en-US" w:eastAsia="zh-CN"/>
        </w:rPr>
        <w:t>二</w:t>
      </w:r>
      <w:r>
        <w:rPr>
          <w:rFonts w:hint="eastAsia" w:ascii="Times New Roman" w:hAnsi="Times New Roman"/>
          <w:sz w:val="21"/>
        </w:rPr>
        <w:t>、规则驱动</w:t>
      </w:r>
      <w:r>
        <w:rPr>
          <w:rFonts w:hint="eastAsia" w:ascii="Times New Roman" w:hAnsi="Times New Roman"/>
          <w:sz w:val="21"/>
          <w:lang w:val="en-US" w:eastAsia="zh-CN"/>
        </w:rPr>
        <w:t>的</w:t>
      </w:r>
      <w:r>
        <w:rPr>
          <w:rFonts w:hint="eastAsia" w:ascii="Times New Roman" w:hAnsi="Times New Roman"/>
          <w:sz w:val="21"/>
        </w:rPr>
        <w:t>法律智能</w:t>
      </w:r>
      <w:r>
        <w:rPr>
          <w:rFonts w:hint="eastAsia" w:ascii="Times New Roman" w:hAnsi="Times New Roman"/>
          <w:sz w:val="21"/>
          <w:lang w:val="en-US" w:eastAsia="zh-CN"/>
        </w:rPr>
        <w:t>方案</w:t>
      </w:r>
      <w:r>
        <w:rPr>
          <w:rFonts w:hint="eastAsia" w:ascii="Times New Roman" w:hAnsi="Times New Roman"/>
          <w:sz w:val="21"/>
        </w:rPr>
        <w:t>的独特优势</w:t>
      </w:r>
    </w:p>
    <w:p w14:paraId="74E92FE1">
      <w:pPr>
        <w:ind w:firstLine="420" w:firstLineChars="0"/>
        <w:rPr>
          <w:rFonts w:hint="eastAsia" w:ascii="Times New Roman" w:hAnsi="Times New Roman"/>
          <w:sz w:val="21"/>
          <w:lang w:val="en-US" w:eastAsia="zh-CN"/>
        </w:rPr>
      </w:pPr>
      <w:r>
        <w:rPr>
          <w:rFonts w:hint="eastAsia" w:ascii="Times New Roman" w:hAnsi="Times New Roman"/>
          <w:sz w:val="21"/>
          <w:lang w:val="en-US" w:eastAsia="zh-CN"/>
        </w:rPr>
        <w:t>在理论上，利用优秀的通用大模型作为基座，再收集现有涉外民商事案件中的常用域外法律规则和典型域外法查明案例，可以通过微调的方式做出垂直领域模型。然而，在输出稳定性和过程可解释性等尚待解决的问题之外，可供训练的数据量也是一个必须考虑的障碍。目前，中国的涉外诉讼总体上具有覆盖面广</w:t>
      </w:r>
      <w:r>
        <w:rPr>
          <w:rFonts w:hint="eastAsia" w:ascii="Times New Roman" w:hAnsi="Times New Roman"/>
          <w:sz w:val="21"/>
        </w:rPr>
        <w:t>、数据分散</w:t>
      </w:r>
      <w:r>
        <w:rPr>
          <w:rFonts w:hint="eastAsia" w:ascii="Times New Roman" w:hAnsi="Times New Roman"/>
          <w:sz w:val="21"/>
          <w:lang w:val="en-US" w:eastAsia="zh-CN"/>
        </w:rPr>
        <w:t>等特点。根据最高人民法院《关于人民法院涉外审判工作情况的报告》，从2013年到2022年，全国各级法院在民商事审判中最终适用域外法的案件共有542件（不含适用国际条约和国际惯例），涉及六大洲40余个国家和地区。而要全面收集整理其他法域的司法案例等资料作为补充数据，因其涉及数十个法域，可能是一个工作量较高的任务（至少高于建设同等水平的中国法模型）。</w:t>
      </w:r>
    </w:p>
    <w:p w14:paraId="4853232A">
      <w:pPr>
        <w:ind w:firstLine="420" w:firstLineChars="0"/>
        <w:rPr>
          <w:rFonts w:hint="default" w:ascii="Times New Roman" w:hAnsi="Times New Roman"/>
          <w:sz w:val="21"/>
          <w:lang w:val="en-US" w:eastAsia="zh-CN"/>
        </w:rPr>
      </w:pPr>
      <w:r>
        <w:rPr>
          <w:rFonts w:hint="eastAsia" w:ascii="Times New Roman" w:hAnsi="Times New Roman"/>
          <w:sz w:val="21"/>
          <w:lang w:val="en-US" w:eastAsia="zh-CN"/>
        </w:rPr>
        <w:t>我们认为，随着大模型的发展和信息收集整理水平的提高，数据驱动在未来仍然可能成为一种有效的技术路线。但是，在目前涉外审判“紧缺急用”的语境下，对一批常用的域外法律法规、国际条约和国际商事惯例进行专家规则表达，或许是当下较为务实的路线。这种标准化规则可快速构建、可稳定复用、可透明解释、可简便推广、可持续更新，叠加上大模型的文本处理能力和专家的审核确认，或许能够成为涉外审判的有效助力工具。</w:t>
      </w:r>
    </w:p>
    <w:p w14:paraId="7F3F3072">
      <w:pPr>
        <w:ind w:firstLine="420" w:firstLineChars="0"/>
        <w:rPr>
          <w:rFonts w:hint="eastAsia" w:ascii="Times New Roman" w:hAnsi="Times New Roman"/>
          <w:sz w:val="21"/>
          <w:lang w:val="en-US" w:eastAsia="zh-CN"/>
        </w:rPr>
      </w:pPr>
      <w:r>
        <w:rPr>
          <w:rFonts w:hint="eastAsia" w:ascii="Times New Roman" w:hAnsi="Times New Roman"/>
          <w:sz w:val="21"/>
          <w:lang w:val="en-US" w:eastAsia="zh-CN"/>
        </w:rPr>
        <w:t>对于上述思路，一个有利的客观因素是：各级法院发布的涉外审判典型案例和建立的检索数据库已经对涉外民商事审判中的常用和重要规则有初步统计和反映。例如，广东省高级人民法院主办的“域外法查明通”平台就总结了《联合国国际货物销售合同公约》、中国香港地区《放债人条例》、中国澳门地区《商法典》等二十余部“热门法律”。其中，《联合国国际货物销售合同公约》作为关键准据法，出现在最高人民法院指导案例107号（中化国际诉蒂森克虏伯）、2023年最高人民法院涉外民商事案件适用国际条约和国际惯例典型案例之一，以及多个地方法院近年来发布的涉外典型案例中。2026年初，</w:t>
      </w:r>
      <w:r>
        <w:rPr>
          <w:rFonts w:hint="default" w:ascii="Times New Roman" w:hAnsi="Times New Roman"/>
          <w:sz w:val="21"/>
          <w:lang w:val="en-US" w:eastAsia="zh-CN"/>
        </w:rPr>
        <w:t>上海国际商事法庭</w:t>
      </w:r>
      <w:r>
        <w:rPr>
          <w:rFonts w:hint="eastAsia" w:ascii="Times New Roman" w:hAnsi="Times New Roman"/>
          <w:sz w:val="21"/>
          <w:lang w:val="en-US" w:eastAsia="zh-CN"/>
        </w:rPr>
        <w:t>的</w:t>
      </w:r>
      <w:r>
        <w:rPr>
          <w:rFonts w:hint="default" w:ascii="Times New Roman" w:hAnsi="Times New Roman"/>
          <w:sz w:val="21"/>
          <w:lang w:val="en-US" w:eastAsia="zh-CN"/>
        </w:rPr>
        <w:t>2例案件</w:t>
      </w:r>
      <w:r>
        <w:rPr>
          <w:rFonts w:hint="eastAsia" w:ascii="Times New Roman" w:hAnsi="Times New Roman"/>
          <w:sz w:val="21"/>
          <w:lang w:val="en-US" w:eastAsia="zh-CN"/>
        </w:rPr>
        <w:t>还</w:t>
      </w:r>
      <w:r>
        <w:rPr>
          <w:rFonts w:hint="default" w:ascii="Times New Roman" w:hAnsi="Times New Roman"/>
          <w:sz w:val="21"/>
          <w:lang w:val="en-US" w:eastAsia="zh-CN"/>
        </w:rPr>
        <w:t>被收录于《联合国国际货物销售合同公约》咨询委员会</w:t>
      </w:r>
      <w:r>
        <w:rPr>
          <w:rFonts w:hint="eastAsia" w:ascii="Times New Roman" w:hAnsi="Times New Roman"/>
          <w:sz w:val="21"/>
          <w:lang w:val="en-US" w:eastAsia="zh-CN"/>
        </w:rPr>
        <w:t>（CISG Advisory Council）</w:t>
      </w:r>
      <w:r>
        <w:rPr>
          <w:rFonts w:hint="default" w:ascii="Times New Roman" w:hAnsi="Times New Roman"/>
          <w:sz w:val="21"/>
          <w:lang w:val="en-US" w:eastAsia="zh-CN"/>
        </w:rPr>
        <w:t>官网</w:t>
      </w:r>
      <w:r>
        <w:rPr>
          <w:rFonts w:hint="eastAsia" w:ascii="Times New Roman" w:hAnsi="Times New Roman"/>
          <w:sz w:val="21"/>
          <w:lang w:val="en-US" w:eastAsia="zh-CN"/>
        </w:rPr>
        <w:t>，体现出中国法院深度参与国际经贸规则制定的持续努力。</w:t>
      </w:r>
    </w:p>
    <w:p w14:paraId="5A24810A">
      <w:pPr>
        <w:ind w:firstLine="420" w:firstLineChars="0"/>
        <w:rPr>
          <w:rFonts w:hint="default" w:ascii="Times New Roman" w:hAnsi="Times New Roman"/>
          <w:sz w:val="21"/>
          <w:lang w:val="en-US" w:eastAsia="zh-CN"/>
        </w:rPr>
      </w:pPr>
      <w:r>
        <w:rPr>
          <w:rFonts w:hint="eastAsia" w:ascii="Times New Roman" w:hAnsi="Times New Roman"/>
          <w:sz w:val="21"/>
          <w:lang w:val="en-US" w:eastAsia="zh-CN"/>
        </w:rPr>
        <w:t>因此，我们认为，对《联合国国际货物销售合同公约》等在中国涉外民商事审判中高频出现且相关学理和实践相对成熟的关键规则进行计算机表达，可能有利于辅助涉外审判工作的提质增效。</w:t>
      </w:r>
    </w:p>
    <w:p w14:paraId="03F2E8ED">
      <w:pPr>
        <w:rPr>
          <w:rFonts w:hint="eastAsia" w:ascii="Times New Roman" w:hAnsi="Times New Roman"/>
          <w:sz w:val="21"/>
        </w:rPr>
      </w:pPr>
    </w:p>
    <w:p w14:paraId="1E8C2E54">
      <w:pPr>
        <w:rPr>
          <w:rFonts w:hint="default" w:ascii="Times New Roman" w:hAnsi="Times New Roman" w:eastAsiaTheme="minorEastAsia"/>
          <w:sz w:val="21"/>
          <w:lang w:val="en-US" w:eastAsia="zh-CN"/>
        </w:rPr>
      </w:pPr>
      <w:r>
        <w:rPr>
          <w:rFonts w:hint="eastAsia" w:ascii="Times New Roman" w:hAnsi="Times New Roman"/>
          <w:sz w:val="21"/>
          <w:lang w:val="en-US" w:eastAsia="zh-CN"/>
        </w:rPr>
        <w:t>三</w:t>
      </w:r>
      <w:r>
        <w:rPr>
          <w:rFonts w:hint="eastAsia" w:ascii="Times New Roman" w:hAnsi="Times New Roman"/>
          <w:sz w:val="21"/>
        </w:rPr>
        <w:t>、</w:t>
      </w:r>
      <w:r>
        <w:rPr>
          <w:rFonts w:hint="eastAsia" w:ascii="Times New Roman" w:hAnsi="Times New Roman"/>
          <w:sz w:val="21"/>
          <w:lang w:val="en-US" w:eastAsia="zh-CN"/>
        </w:rPr>
        <w:t>域外法查明：一项正在发生的中国实践</w:t>
      </w:r>
    </w:p>
    <w:p w14:paraId="15A243C4">
      <w:pPr>
        <w:ind w:firstLine="420" w:firstLineChars="0"/>
        <w:rPr>
          <w:rFonts w:hint="eastAsia" w:ascii="Times New Roman" w:hAnsi="Times New Roman"/>
          <w:sz w:val="21"/>
          <w:lang w:val="en-US" w:eastAsia="zh-CN"/>
        </w:rPr>
      </w:pPr>
      <w:r>
        <w:rPr>
          <w:rFonts w:hint="eastAsia" w:ascii="Times New Roman" w:hAnsi="Times New Roman"/>
          <w:sz w:val="21"/>
          <w:lang w:val="en-US" w:eastAsia="zh-CN"/>
        </w:rPr>
        <w:t>从比较视角看，传统国际私法教科书中关于域外法究竟是应由当事人证明的“事实”还是应由法官查明的“法律”的学理争议，在当代各国的诉讼实践中已经不太重要，取而代之的是多方协作和多元支持。</w:t>
      </w:r>
    </w:p>
    <w:p w14:paraId="0C7D395B">
      <w:pPr>
        <w:ind w:firstLine="420" w:firstLineChars="0"/>
        <w:rPr>
          <w:rFonts w:hint="default" w:ascii="Times New Roman" w:hAnsi="Times New Roman"/>
          <w:sz w:val="21"/>
          <w:lang w:val="en-US" w:eastAsia="zh-CN"/>
        </w:rPr>
      </w:pPr>
      <w:r>
        <w:rPr>
          <w:rFonts w:hint="eastAsia" w:ascii="Times New Roman" w:hAnsi="Times New Roman"/>
          <w:sz w:val="21"/>
          <w:lang w:val="en-US" w:eastAsia="zh-CN"/>
        </w:rPr>
        <w:t>大陆法系国家在传统上强调法官依职权查明域外法，但逐渐开始鼓励专家和当事人发表意见。例如，2023年比较私法和国际私法研究所发布了软法文件《汉堡指南》（Hamburger Leitlinien zur Ermittlung und Anwendung ausländischen Rechts in deutschen Verfahren），其中第3条和第4条就为专家和当事人的积极参与提供了指引。2022年，法国的国际私法编纂工作组发布的《国际私法法典草案》（Projet de Code de droit international prive）第9条和第14条，也改变旧有判例，增加了对寻求外部咨询机构支持的规定。奥地利《国际私法法典》（Bundesgesetz über das Internationale Privatrecht）第4条、瑞士《国际私法法典》（Bundesgesetz über das Internationale Privatrecht）第16条、土耳其2007年《关于国际私法与国际民事诉讼法的第5718号法律》（Law No. 5718 on International Private and Procedure Law）第2条第1款，以及在拉丁美洲有广泛影响力的《布斯塔曼特法典》（Bustamante Code）第408条至第411条、国际统一私法协会（Unidroit）2004年公布的《跨境民事诉讼示范原则》（The Principles of Transnational Civil Procedure）等文件，也采取了大体类似的思路。</w:t>
      </w:r>
    </w:p>
    <w:p w14:paraId="13704A79">
      <w:pPr>
        <w:ind w:firstLine="420" w:firstLineChars="0"/>
        <w:rPr>
          <w:rFonts w:hint="eastAsia" w:ascii="Times New Roman" w:hAnsi="Times New Roman"/>
          <w:sz w:val="21"/>
          <w:lang w:val="en-US" w:eastAsia="zh-CN"/>
        </w:rPr>
      </w:pPr>
      <w:r>
        <w:rPr>
          <w:rFonts w:hint="eastAsia" w:ascii="Times New Roman" w:hAnsi="Times New Roman"/>
          <w:sz w:val="21"/>
          <w:lang w:val="en-US" w:eastAsia="zh-CN"/>
        </w:rPr>
        <w:t>英美法系国家在传统上强调当事人证明域外法，参照适用专家证言的相关规则。早期的英国判例认为域外法属于事实，应由当事人主张，甚至禁止法官主动考虑当事人提供的证明材料和专家证言之外的任何域外法资料。1966年，美国</w:t>
      </w:r>
      <w:r>
        <w:rPr>
          <w:rFonts w:hint="eastAsia" w:ascii="Times New Roman" w:hAnsi="Times New Roman"/>
          <w:sz w:val="21"/>
        </w:rPr>
        <w:t>《联邦民事诉讼规则》（Federal Rules of Civil Procedure）第44.1条</w:t>
      </w:r>
      <w:r>
        <w:rPr>
          <w:rFonts w:hint="eastAsia" w:ascii="Times New Roman" w:hAnsi="Times New Roman"/>
          <w:sz w:val="21"/>
          <w:lang w:val="en-US" w:eastAsia="zh-CN"/>
        </w:rPr>
        <w:t>明确要求当事人主张并提供域外法，但允许法官主动检索任何可能相关的资料。近年来，英国法院的传统保守立场也在发生转变。</w:t>
      </w:r>
      <w:r>
        <w:rPr>
          <w:rFonts w:hint="eastAsia" w:ascii="Times New Roman" w:hAnsi="Times New Roman"/>
          <w:sz w:val="21"/>
        </w:rPr>
        <w:t>在2021年的布朗利案（FS Cairo v. Lady Brownlie）中，英国最高法院</w:t>
      </w:r>
      <w:r>
        <w:rPr>
          <w:rFonts w:hint="eastAsia" w:ascii="Times New Roman" w:hAnsi="Times New Roman"/>
          <w:sz w:val="21"/>
          <w:lang w:val="en-US" w:eastAsia="zh-CN"/>
        </w:rPr>
        <w:t>指出</w:t>
      </w:r>
      <w:r>
        <w:rPr>
          <w:rFonts w:hint="eastAsia" w:ascii="Times New Roman" w:hAnsi="Times New Roman"/>
          <w:sz w:val="21"/>
          <w:lang w:eastAsia="zh-CN"/>
        </w:rPr>
        <w:t>：“在</w:t>
      </w:r>
      <w:r>
        <w:rPr>
          <w:rFonts w:hint="eastAsia" w:ascii="Times New Roman" w:hAnsi="Times New Roman"/>
          <w:sz w:val="21"/>
          <w:lang w:val="en-US" w:eastAsia="zh-CN"/>
        </w:rPr>
        <w:t>通过</w:t>
      </w:r>
      <w:r>
        <w:rPr>
          <w:rFonts w:hint="eastAsia" w:ascii="Times New Roman" w:hAnsi="Times New Roman"/>
          <w:sz w:val="21"/>
          <w:lang w:eastAsia="zh-CN"/>
        </w:rPr>
        <w:t>网络</w:t>
      </w:r>
      <w:r>
        <w:rPr>
          <w:rFonts w:hint="eastAsia" w:ascii="Times New Roman" w:hAnsi="Times New Roman"/>
          <w:sz w:val="21"/>
          <w:lang w:val="en-US" w:eastAsia="zh-CN"/>
        </w:rPr>
        <w:t>可以便利</w:t>
      </w:r>
      <w:r>
        <w:rPr>
          <w:rFonts w:hint="eastAsia" w:ascii="Times New Roman" w:hAnsi="Times New Roman"/>
          <w:sz w:val="21"/>
          <w:lang w:eastAsia="zh-CN"/>
        </w:rPr>
        <w:t>获取</w:t>
      </w:r>
      <w:r>
        <w:rPr>
          <w:rFonts w:hint="eastAsia" w:ascii="Times New Roman" w:hAnsi="Times New Roman"/>
          <w:sz w:val="21"/>
          <w:lang w:val="en-US" w:eastAsia="zh-CN"/>
        </w:rPr>
        <w:t>大量信息</w:t>
      </w:r>
      <w:r>
        <w:rPr>
          <w:rFonts w:hint="eastAsia" w:ascii="Times New Roman" w:hAnsi="Times New Roman"/>
          <w:sz w:val="21"/>
          <w:lang w:eastAsia="zh-CN"/>
        </w:rPr>
        <w:t>的时代，</w:t>
      </w:r>
      <w:r>
        <w:rPr>
          <w:rFonts w:hint="eastAsia" w:ascii="Times New Roman" w:hAnsi="Times New Roman"/>
          <w:sz w:val="21"/>
          <w:lang w:val="en-US" w:eastAsia="zh-CN"/>
        </w:rPr>
        <w:t>查明</w:t>
      </w:r>
      <w:r>
        <w:rPr>
          <w:rFonts w:hint="eastAsia" w:ascii="Times New Roman" w:hAnsi="Times New Roman"/>
          <w:sz w:val="21"/>
          <w:lang w:eastAsia="zh-CN"/>
        </w:rPr>
        <w:t>域外法不</w:t>
      </w:r>
      <w:r>
        <w:rPr>
          <w:rFonts w:hint="eastAsia" w:ascii="Times New Roman" w:hAnsi="Times New Roman"/>
          <w:sz w:val="21"/>
          <w:lang w:val="en-US" w:eastAsia="zh-CN"/>
        </w:rPr>
        <w:t>必然需</w:t>
      </w:r>
      <w:r>
        <w:rPr>
          <w:rFonts w:hint="eastAsia" w:ascii="Times New Roman" w:hAnsi="Times New Roman"/>
          <w:sz w:val="21"/>
          <w:lang w:eastAsia="zh-CN"/>
        </w:rPr>
        <w:t>要咨询外国律师”。2022年更新的《英国商事法庭指南（第11版）》（The Commercial Court Guide, the 11th Edition）第H.3条</w:t>
      </w:r>
      <w:r>
        <w:rPr>
          <w:rFonts w:hint="eastAsia" w:ascii="Times New Roman" w:hAnsi="Times New Roman"/>
          <w:sz w:val="21"/>
          <w:lang w:val="en-US" w:eastAsia="zh-CN"/>
        </w:rPr>
        <w:t>细化了这项规则，允许法院进行主动查明。此外，南非1988年《证据法修正案》（Law of Evidence Amendment Act）第1条也采取类似的协作立场。</w:t>
      </w:r>
    </w:p>
    <w:p w14:paraId="4A608891">
      <w:pPr>
        <w:ind w:firstLine="420" w:firstLineChars="0"/>
        <w:rPr>
          <w:rFonts w:hint="eastAsia" w:ascii="Times New Roman" w:hAnsi="Times New Roman"/>
          <w:sz w:val="21"/>
          <w:lang w:val="en-US" w:eastAsia="zh-CN"/>
        </w:rPr>
      </w:pPr>
      <w:r>
        <w:rPr>
          <w:rFonts w:hint="eastAsia" w:ascii="Times New Roman" w:hAnsi="Times New Roman"/>
          <w:sz w:val="21"/>
          <w:lang w:val="en-US" w:eastAsia="zh-CN"/>
        </w:rPr>
        <w:t>在这种普遍走向法院、专家和当事人多方协作，不断强化司法合作、专家支持以及网络查询等多元支持的总体趋势下，中国的涉外民商事诉讼制度在参考大陆法系依职权查明的基本框架，并吸纳英美法系辩论原则的同时，也具有明显的特色。</w:t>
      </w:r>
    </w:p>
    <w:p w14:paraId="0239BD00">
      <w:pPr>
        <w:ind w:firstLine="420" w:firstLineChars="0"/>
        <w:rPr>
          <w:rFonts w:hint="eastAsia" w:ascii="Times New Roman" w:hAnsi="Times New Roman"/>
          <w:sz w:val="21"/>
          <w:lang w:val="en-US" w:eastAsia="zh-CN"/>
        </w:rPr>
      </w:pPr>
      <w:r>
        <w:rPr>
          <w:rFonts w:hint="eastAsia" w:ascii="Times New Roman" w:hAnsi="Times New Roman"/>
          <w:sz w:val="21"/>
          <w:lang w:val="en-US" w:eastAsia="zh-CN"/>
        </w:rPr>
        <w:t>一方面，在政策引导下，各地建立了民办非企业单位、高校内设研究机构，以及高校-法院合作机构等不同形式的二十余家域外法查明机构。这些机构通常还兼有商事调解、中立评估、投资尽调、课题研究等职能。和德国、瑞士的单一机构提供专家咨询的模式相比，此类机构参与一定程度的市场竞争并具有各自的专长领域（如港澳法律、东盟各国法律、中亚各国法等）；和英美法系依赖外国律师的专家证人制度相比，此类机构不仅在收费标准上有更高的性价比，且有望成为更加专精的法律查明服务提供者。另一方面，多个地方法院已经建立了域外法查明数据库网站和查明委托服务小程序，且多数平台都免费向公众或者向特定范围内的法律工作者开放。</w:t>
      </w:r>
    </w:p>
    <w:p w14:paraId="71D0EF68">
      <w:pPr>
        <w:ind w:firstLine="420" w:firstLineChars="0"/>
      </w:pPr>
      <w:r>
        <w:rPr>
          <w:rFonts w:hint="eastAsia" w:ascii="Times New Roman" w:hAnsi="Times New Roman"/>
          <w:sz w:val="21"/>
          <w:lang w:val="en-US" w:eastAsia="zh-CN"/>
        </w:rPr>
        <w:t>在此背景下，</w:t>
      </w:r>
      <w:r>
        <w:rPr>
          <w:rFonts w:hint="eastAsia" w:ascii="Times New Roman" w:hAnsi="Times New Roman"/>
          <w:sz w:val="21"/>
        </w:rPr>
        <w:t>规则驱动</w:t>
      </w:r>
      <w:r>
        <w:rPr>
          <w:rFonts w:hint="eastAsia" w:ascii="Times New Roman" w:hAnsi="Times New Roman"/>
          <w:sz w:val="21"/>
          <w:lang w:val="en-US" w:eastAsia="zh-CN"/>
        </w:rPr>
        <w:t>的法律智能</w:t>
      </w:r>
      <w:r>
        <w:rPr>
          <w:rFonts w:hint="eastAsia" w:ascii="Times New Roman" w:hAnsi="Times New Roman"/>
          <w:sz w:val="21"/>
        </w:rPr>
        <w:t>可与现有</w:t>
      </w:r>
      <w:r>
        <w:rPr>
          <w:rFonts w:hint="eastAsia" w:ascii="Times New Roman" w:hAnsi="Times New Roman"/>
          <w:sz w:val="21"/>
          <w:lang w:val="en-US" w:eastAsia="zh-CN"/>
        </w:rPr>
        <w:t>的组织</w:t>
      </w:r>
      <w:r>
        <w:rPr>
          <w:rFonts w:hint="eastAsia" w:ascii="Times New Roman" w:hAnsi="Times New Roman"/>
          <w:sz w:val="21"/>
        </w:rPr>
        <w:t>体系</w:t>
      </w:r>
      <w:r>
        <w:rPr>
          <w:rFonts w:hint="eastAsia" w:ascii="Times New Roman" w:hAnsi="Times New Roman"/>
          <w:sz w:val="21"/>
          <w:lang w:eastAsia="zh-CN"/>
        </w:rPr>
        <w:t>、</w:t>
      </w:r>
      <w:r>
        <w:rPr>
          <w:rFonts w:hint="eastAsia" w:ascii="Times New Roman" w:hAnsi="Times New Roman"/>
          <w:sz w:val="21"/>
          <w:lang w:val="en-US" w:eastAsia="zh-CN"/>
        </w:rPr>
        <w:t>技术体系形成</w:t>
      </w:r>
      <w:r>
        <w:rPr>
          <w:rFonts w:hint="eastAsia" w:ascii="Times New Roman" w:hAnsi="Times New Roman"/>
          <w:sz w:val="21"/>
        </w:rPr>
        <w:t>互补，</w:t>
      </w:r>
      <w:r>
        <w:rPr>
          <w:rFonts w:hint="eastAsia" w:ascii="Times New Roman" w:hAnsi="Times New Roman"/>
          <w:sz w:val="21"/>
          <w:lang w:val="en-US" w:eastAsia="zh-CN"/>
        </w:rPr>
        <w:t>赋能各地的域外法查明机构，</w:t>
      </w:r>
      <w:r>
        <w:rPr>
          <w:rFonts w:hint="eastAsia" w:ascii="Times New Roman" w:hAnsi="Times New Roman"/>
          <w:sz w:val="21"/>
        </w:rPr>
        <w:t>推动平台从“信息收集库”升级为“规则指引库”</w:t>
      </w:r>
      <w:r>
        <w:rPr>
          <w:rFonts w:hint="eastAsia" w:ascii="Times New Roman" w:hAnsi="Times New Roman"/>
          <w:sz w:val="21"/>
          <w:lang w:eastAsia="zh-CN"/>
        </w:rPr>
        <w:t>。</w:t>
      </w:r>
      <w:r>
        <w:rPr>
          <w:rFonts w:hint="eastAsia" w:ascii="Times New Roman" w:hAnsi="Times New Roman"/>
          <w:sz w:val="21"/>
          <w:lang w:val="en-US" w:eastAsia="zh-CN"/>
        </w:rPr>
        <w:t>我们相信，法律智能应用的发展，在辅助中国的涉外民商事诉讼的同时，也能</w:t>
      </w:r>
      <w:r>
        <w:rPr>
          <w:rFonts w:hint="eastAsia" w:ascii="Times New Roman" w:hAnsi="Times New Roman"/>
          <w:sz w:val="21"/>
        </w:rPr>
        <w:t>为全球</w:t>
      </w:r>
      <w:r>
        <w:rPr>
          <w:rFonts w:hint="eastAsia" w:ascii="Times New Roman" w:hAnsi="Times New Roman"/>
          <w:sz w:val="21"/>
          <w:lang w:val="en-US" w:eastAsia="zh-CN"/>
        </w:rPr>
        <w:t>的</w:t>
      </w:r>
      <w:r>
        <w:rPr>
          <w:rFonts w:hint="eastAsia" w:ascii="Times New Roman" w:hAnsi="Times New Roman"/>
          <w:sz w:val="21"/>
        </w:rPr>
        <w:t>法律智能发展</w:t>
      </w:r>
      <w:r>
        <w:rPr>
          <w:rFonts w:hint="eastAsia" w:ascii="Times New Roman" w:hAnsi="Times New Roman"/>
          <w:sz w:val="21"/>
          <w:lang w:val="en-US" w:eastAsia="zh-CN"/>
        </w:rPr>
        <w:t>和跨境争议解决</w:t>
      </w:r>
      <w:r>
        <w:rPr>
          <w:rFonts w:hint="eastAsia" w:ascii="Times New Roman" w:hAnsi="Times New Roman"/>
          <w:sz w:val="21"/>
        </w:rPr>
        <w:t>提供</w:t>
      </w:r>
      <w:r>
        <w:rPr>
          <w:rFonts w:hint="eastAsia" w:ascii="Times New Roman" w:hAnsi="Times New Roman"/>
          <w:sz w:val="21"/>
          <w:lang w:val="en-US" w:eastAsia="zh-CN"/>
        </w:rPr>
        <w:t>一种可能的示范</w:t>
      </w:r>
      <w:r>
        <w:rPr>
          <w:rFonts w:hint="eastAsia" w:ascii="Times New Roman" w:hAnsi="Times New Roman"/>
          <w:sz w:val="21"/>
        </w:rPr>
        <w:t>。</w:t>
      </w:r>
      <w:r>
        <w:rPr>
          <w:rFonts w:hint="eastAsia" w:ascii="Times New Roman" w:hAnsi="Times New Roman"/>
          <w:sz w:val="21"/>
        </w:rPr>
        <w:br w:type="textWrapping"/>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A8EE2">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E40F1B">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CE40F1B">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A618FD"/>
    <w:rsid w:val="04F5223F"/>
    <w:rsid w:val="18F558C8"/>
    <w:rsid w:val="1E590970"/>
    <w:rsid w:val="35292BD2"/>
    <w:rsid w:val="367F2B5F"/>
    <w:rsid w:val="464E7FAA"/>
    <w:rsid w:val="4D355A0C"/>
    <w:rsid w:val="584711D4"/>
    <w:rsid w:val="5C4E5647"/>
    <w:rsid w:val="683532D0"/>
    <w:rsid w:val="6A2E15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3184</Words>
  <Characters>3643</Characters>
  <Lines>0</Lines>
  <Paragraphs>0</Paragraphs>
  <TotalTime>56</TotalTime>
  <ScaleCrop>false</ScaleCrop>
  <LinksUpToDate>false</LinksUpToDate>
  <CharactersWithSpaces>3703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2026-02-08T05:37:00Z</dcterms:created>
  <dc:creator>17718</dc:creator>
  <cp:lastModifiedBy>张瀚元</cp:lastModifiedBy>
  <dcterms:modified xsi:type="dcterms:W3CDTF">2026-03-26T02:11:03Z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eyJoZGlkIjoiYmVjYzMwZDk0MWI2Y2Q2MmI5YWJhOTA1ZjRjODIyOTIiLCJ1c2VySWQiOiIxNjkxOTYxNzQ2In0=</vt:lpwstr>
  </property>
  <property fmtid="{D5CDD505-2E9C-101B-9397-08002B2CF9AE}" pid="4" name="ICV">
    <vt:lpwstr>C29F5B984D9A465A8DB60CFC3F19F940_13</vt:lpwstr>
  </property>
</Properties>
</file>