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77EE1">
      <w:pPr>
        <w:spacing w:line="360" w:lineRule="auto"/>
        <w:jc w:val="center"/>
        <w:rPr>
          <w:sz w:val="24"/>
          <w:szCs w:val="24"/>
        </w:rPr>
      </w:pPr>
      <w:r>
        <w:rPr>
          <w:sz w:val="24"/>
          <w:szCs w:val="24"/>
        </w:rPr>
        <w:t>蒙俄合资有色金属国有企业与西洲（上海）科技发展有限公司申请承认和执行外国仲裁裁决案</w:t>
      </w:r>
    </w:p>
    <w:p w14:paraId="26C8FD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0"/>
        <w:jc w:val="left"/>
        <w:textAlignment w:val="baseline"/>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vertAlign w:val="baseline"/>
          <w:lang w:val="en-US" w:eastAsia="zh-CN" w:bidi="ar"/>
        </w:rPr>
        <w:t>【</w:t>
      </w:r>
      <w:bookmarkStart w:id="0" w:name="anchor-0"/>
      <w:bookmarkEnd w:id="0"/>
      <w:r>
        <w:rPr>
          <w:rFonts w:hint="eastAsia" w:ascii="宋体" w:hAnsi="宋体" w:eastAsia="宋体" w:cs="宋体"/>
          <w:i w:val="0"/>
          <w:iCs w:val="0"/>
          <w:caps w:val="0"/>
          <w:color w:val="333333"/>
          <w:spacing w:val="0"/>
          <w:kern w:val="0"/>
          <w:sz w:val="24"/>
          <w:szCs w:val="24"/>
          <w:bdr w:val="none" w:color="auto" w:sz="0" w:space="0"/>
          <w:shd w:val="clear" w:fill="FFFFFF"/>
          <w:vertAlign w:val="baseline"/>
          <w:lang w:val="en-US" w:eastAsia="zh-CN" w:bidi="ar"/>
        </w:rPr>
        <w:t>基本案情】</w:t>
      </w:r>
    </w:p>
    <w:p w14:paraId="24005C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0"/>
        <w:jc w:val="left"/>
        <w:textAlignment w:val="baseline"/>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vertAlign w:val="baseline"/>
          <w:lang w:val="en-US" w:eastAsia="zh-CN" w:bidi="ar"/>
        </w:rPr>
        <w:t>  蒙俄合资有色金属国有企业（以下简称蒙俄金属企业）与西洲（上海）科技发展有限公司（以下简称西洲科技公司）于2020年5月5日签订《铁矿石出口协议》。后蒙俄金属企业与西洲科技公司因履行该协议产生争议，蒙俄金属企业依据协议约定向蒙古国国际仲裁中心申请仲裁。蒙古国国际仲裁中心受理后，向西洲科技公司的注册地址邮寄了蒙俄金属企业的申请书及仲裁程序文件，西洲科技公司签收，但未提交任何回复，蒙古国国际仲裁中心于2022年12月16日在西洲科技公司缺席的情况下进行审理，并作出终局仲裁裁决书，裁决西洲科技公司应向蒙俄金属企业支付剩余货款172702.10美元、违约金55782.78美元及仲裁费用7113美元。因西洲科技公司未履行仲裁裁决确定的义务，蒙俄金属企业向上海市第一中级人民法院申请承认与执行上述仲裁裁决。</w:t>
      </w:r>
    </w:p>
    <w:p w14:paraId="5A56F7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0"/>
        <w:jc w:val="left"/>
        <w:textAlignment w:val="baseline"/>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vertAlign w:val="baseline"/>
          <w:lang w:val="en-US" w:eastAsia="zh-CN" w:bidi="ar"/>
        </w:rPr>
        <w:t>  【</w:t>
      </w:r>
      <w:bookmarkStart w:id="1" w:name="anchor-1"/>
      <w:bookmarkEnd w:id="1"/>
      <w:r>
        <w:rPr>
          <w:rFonts w:hint="eastAsia" w:ascii="宋体" w:hAnsi="宋体" w:eastAsia="宋体" w:cs="宋体"/>
          <w:i w:val="0"/>
          <w:iCs w:val="0"/>
          <w:caps w:val="0"/>
          <w:color w:val="333333"/>
          <w:spacing w:val="0"/>
          <w:kern w:val="0"/>
          <w:sz w:val="24"/>
          <w:szCs w:val="24"/>
          <w:bdr w:val="none" w:color="auto" w:sz="0" w:space="0"/>
          <w:shd w:val="clear" w:fill="FFFFFF"/>
          <w:vertAlign w:val="baseline"/>
          <w:lang w:val="en-US" w:eastAsia="zh-CN" w:bidi="ar"/>
        </w:rPr>
        <w:t>裁判结果】</w:t>
      </w:r>
    </w:p>
    <w:p w14:paraId="717BED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0"/>
        <w:jc w:val="left"/>
        <w:textAlignment w:val="baseline"/>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kern w:val="0"/>
          <w:sz w:val="24"/>
          <w:szCs w:val="24"/>
          <w:bdr w:val="none" w:color="auto" w:sz="0" w:space="0"/>
          <w:shd w:val="clear" w:fill="FFFFFF"/>
          <w:vertAlign w:val="baseline"/>
          <w:lang w:val="en-US" w:eastAsia="zh-CN" w:bidi="ar"/>
        </w:rPr>
        <w:t>  上海市第一中级人民法院经审查认为，案涉仲裁裁决由蒙古国国际仲裁中心在蒙古国境内作出，系蒙古国仲裁裁决。我国与蒙古国均为《承认及执行外国仲裁裁决公约》（以下简称《纽约公约》）缔约国，亦签订《中华人民共和国和蒙古人民共和国关于民事和刑事司法协助的条约》（以下简称《中蒙双边司法协助条约》）。《纽约公约》第七条第一款规定：“本公约之规定不影响缔约国间所订关于承认与执行仲裁裁决之多边或双边协定之效力，亦不剥夺任何利害关系人可依援引裁决地所在国之法律或条约所认许之方式，在其许可范围内，援用仲裁裁决之任何权利。”根据《中蒙双边司法协助条约》第十七条关于“承认与执行裁决的范围”规定，条约的承认与执行范围包括法院或其他主管机关对财产性或非财产性民事案件作出的裁决。该条约第二条规定：“在该条约中，‘主管机关’系指法院、检察院和其他主管民事或刑事</w:t>
      </w:r>
      <w:bookmarkStart w:id="2" w:name="_GoBack"/>
      <w:bookmarkEnd w:id="2"/>
      <w:r>
        <w:rPr>
          <w:rFonts w:hint="eastAsia" w:ascii="宋体" w:hAnsi="宋体" w:eastAsia="宋体" w:cs="宋体"/>
          <w:i w:val="0"/>
          <w:iCs w:val="0"/>
          <w:caps w:val="0"/>
          <w:color w:val="333333"/>
          <w:spacing w:val="0"/>
          <w:kern w:val="0"/>
          <w:sz w:val="24"/>
          <w:szCs w:val="24"/>
          <w:bdr w:val="none" w:color="auto" w:sz="0" w:space="0"/>
          <w:shd w:val="clear" w:fill="FFFFFF"/>
          <w:vertAlign w:val="baseline"/>
          <w:lang w:val="en-US" w:eastAsia="zh-CN" w:bidi="ar"/>
        </w:rPr>
        <w:t>案件的机关。”该条内容未直接明确“主管机关”是否包含仲裁机构。经查阅相关谈判记录、条约草案等，可以确定“主管机关”不包含仲裁机构，故本案不适用《中蒙双边司法协助条约》，应当适用《纽约公约》进行审查。经审查，案涉仲裁裁决不存在《纽约公约》规定的不予承认与执行的情形，故法院裁定承认和执行蒙古国国际仲裁中心案涉仲裁裁决。</w:t>
      </w:r>
    </w:p>
    <w:p w14:paraId="02746F9F">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C11895"/>
    <w:rsid w:val="53C11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2026-09-14T14:21:00Z</dcterms:created>
  <dc:creator>赵瞳心</dc:creator>
  <cp:lastModifiedBy>赵瞳心</cp:lastModifiedBy>
  <dcterms:modified xsi:type="dcterms:W3CDTF">2026-09-14T14:23:04Z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F75F0C0DA6924F54BA6DABDECA6978DE_11</vt:lpwstr>
  </property>
  <property fmtid="{D5CDD505-2E9C-101B-9397-08002B2CF9AE}" pid="4" name="KSOTemplateDocerSaveRecord">
    <vt:lpwstr>eyJoZGlkIjoiZGJhMzcwODg3MjZhYjIwNGI3NDk0MjM3NjczM2EyN2EiLCJ1c2VySWQiOiIxNjUxODA1MzQ5In0=</vt:lpwstr>
  </property>
</Properties>
</file>