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A76B26">
      <w:pPr>
        <w:keepNext w:val="0"/>
        <w:keepLines w:val="0"/>
        <w:widowControl/>
        <w:suppressLineNumbers w:val="0"/>
        <w:jc w:val="center"/>
      </w:pPr>
      <w:r>
        <w:rPr>
          <w:rFonts w:hint="default" w:ascii="Times New Roman" w:hAnsi="Times New Roman" w:eastAsia="宋体" w:cs="Times New Roman"/>
          <w:color w:val="1F1F1F"/>
          <w:kern w:val="0"/>
          <w:sz w:val="16"/>
          <w:szCs w:val="16"/>
          <w:lang w:val="en-US" w:eastAsia="zh-CN" w:bidi="ar"/>
        </w:rPr>
        <w:t xml:space="preserve">Distinguished by </w:t>
      </w:r>
      <w:r>
        <w:rPr>
          <w:rFonts w:hint="default" w:ascii="Times New Roman" w:hAnsi="Times New Roman" w:eastAsia="宋体" w:cs="Times New Roman"/>
          <w:color w:val="006FC4"/>
          <w:kern w:val="0"/>
          <w:sz w:val="16"/>
          <w:szCs w:val="16"/>
          <w:lang w:val="en-US" w:eastAsia="zh-CN" w:bidi="ar"/>
        </w:rPr>
        <w:t xml:space="preserve">Gidding v. Fitz, </w:t>
      </w:r>
      <w:r>
        <w:rPr>
          <w:rFonts w:hint="default" w:ascii="Times New Roman" w:hAnsi="Times New Roman" w:eastAsia="宋体" w:cs="Times New Roman"/>
          <w:color w:val="1F1F1F"/>
          <w:kern w:val="0"/>
          <w:sz w:val="16"/>
          <w:szCs w:val="16"/>
          <w:lang w:val="en-US" w:eastAsia="zh-CN" w:bidi="ar"/>
        </w:rPr>
        <w:t>10th Cir.(Colo.), November 6, 2018</w:t>
      </w:r>
    </w:p>
    <w:p w14:paraId="11A73E99">
      <w:pPr>
        <w:keepNext w:val="0"/>
        <w:keepLines w:val="0"/>
        <w:widowControl/>
        <w:suppressLineNumbers w:val="0"/>
        <w:jc w:val="center"/>
      </w:pPr>
      <w:r>
        <w:rPr>
          <w:rFonts w:ascii="TimesLTStd-Roman" w:hAnsi="TimesLTStd-Roman" w:eastAsia="TimesLTStd-Roman" w:cs="TimesLTStd-Roman"/>
          <w:color w:val="1F1F1F"/>
          <w:kern w:val="0"/>
          <w:sz w:val="20"/>
          <w:szCs w:val="20"/>
          <w:lang w:val="en-US" w:eastAsia="zh-CN" w:bidi="ar"/>
        </w:rPr>
        <w:t>829 F.3d 1201</w:t>
      </w:r>
    </w:p>
    <w:p w14:paraId="1F24A02A">
      <w:pPr>
        <w:keepNext w:val="0"/>
        <w:keepLines w:val="0"/>
        <w:widowControl/>
        <w:suppressLineNumbers w:val="0"/>
        <w:jc w:val="center"/>
      </w:pPr>
      <w:r>
        <w:rPr>
          <w:rFonts w:hint="default" w:ascii="TimesLTStd-Roman" w:hAnsi="TimesLTStd-Roman" w:eastAsia="TimesLTStd-Roman" w:cs="TimesLTStd-Roman"/>
          <w:color w:val="1F1F1F"/>
          <w:kern w:val="0"/>
          <w:sz w:val="20"/>
          <w:szCs w:val="20"/>
          <w:lang w:val="en-US" w:eastAsia="zh-CN" w:bidi="ar"/>
        </w:rPr>
        <w:t>United States Court of Appeals, Tenth Circuit.</w:t>
      </w:r>
    </w:p>
    <w:p w14:paraId="70C9EB60">
      <w:pPr>
        <w:keepNext w:val="0"/>
        <w:keepLines w:val="0"/>
        <w:widowControl/>
        <w:suppressLineNumbers w:val="0"/>
        <w:jc w:val="center"/>
      </w:pPr>
      <w:r>
        <w:rPr>
          <w:rFonts w:hint="default" w:ascii="TimesLTStd-Roman" w:hAnsi="TimesLTStd-Roman" w:eastAsia="TimesLTStd-Roman" w:cs="TimesLTStd-Roman"/>
          <w:color w:val="006FC4"/>
          <w:kern w:val="0"/>
          <w:sz w:val="24"/>
          <w:szCs w:val="24"/>
          <w:lang w:val="en-US" w:eastAsia="zh-CN" w:bidi="ar"/>
        </w:rPr>
        <w:t>CEEG (SHANGHAI) SOLAR SCIENCE &amp; TECHNOLOGY CO., LTD</w:t>
      </w:r>
      <w:r>
        <w:rPr>
          <w:rFonts w:hint="default" w:ascii="TimesLTStd-Roman" w:hAnsi="TimesLTStd-Roman" w:eastAsia="TimesLTStd-Roman" w:cs="TimesLTStd-Roman"/>
          <w:color w:val="212121"/>
          <w:kern w:val="0"/>
          <w:sz w:val="24"/>
          <w:szCs w:val="24"/>
          <w:lang w:val="en-US" w:eastAsia="zh-CN" w:bidi="ar"/>
        </w:rPr>
        <w:t>, Plaintiff–Appellant, v. LUMOS LLC, n/k/a LUMOS Solar LLC,Defendant–Appellee.</w:t>
      </w:r>
    </w:p>
    <w:p w14:paraId="2AA95D6F">
      <w:pPr>
        <w:keepNext w:val="0"/>
        <w:keepLines w:val="0"/>
        <w:widowControl/>
        <w:suppressLineNumbers w:val="0"/>
        <w:jc w:val="center"/>
        <w:rPr>
          <w:rFonts w:hint="default" w:ascii="TimesLTStd-Roman" w:hAnsi="TimesLTStd-Roman" w:eastAsia="TimesLTStd-Roman" w:cs="TimesLTStd-Roman"/>
          <w:color w:val="1F1F1F"/>
          <w:kern w:val="0"/>
          <w:sz w:val="20"/>
          <w:szCs w:val="20"/>
          <w:lang w:val="en-US" w:eastAsia="zh-CN" w:bidi="ar"/>
        </w:rPr>
      </w:pPr>
      <w:r>
        <w:rPr>
          <w:rFonts w:hint="default" w:ascii="TimesLTStd-Roman" w:hAnsi="TimesLTStd-Roman" w:eastAsia="TimesLTStd-Roman" w:cs="TimesLTStd-Roman"/>
          <w:color w:val="1F1F1F"/>
          <w:kern w:val="0"/>
          <w:sz w:val="20"/>
          <w:szCs w:val="20"/>
          <w:lang w:val="en-US" w:eastAsia="zh-CN" w:bidi="ar"/>
        </w:rPr>
        <w:t>No. 15-1256</w:t>
      </w:r>
    </w:p>
    <w:p w14:paraId="34941047">
      <w:pPr>
        <w:keepNext w:val="0"/>
        <w:keepLines w:val="0"/>
        <w:widowControl/>
        <w:suppressLineNumbers w:val="0"/>
        <w:ind w:firstLine="400" w:firstLineChars="200"/>
        <w:jc w:val="center"/>
      </w:pPr>
      <w:bookmarkStart w:id="0" w:name="_GoBack"/>
      <w:bookmarkEnd w:id="0"/>
      <w:r>
        <w:rPr>
          <w:rFonts w:hint="default" w:ascii="TimesLTStd-Roman" w:hAnsi="TimesLTStd-Roman" w:eastAsia="TimesLTStd-Roman" w:cs="TimesLTStd-Roman"/>
          <w:color w:val="1F1F1F"/>
          <w:kern w:val="0"/>
          <w:sz w:val="20"/>
          <w:szCs w:val="20"/>
          <w:lang w:val="en-US" w:eastAsia="zh-CN" w:bidi="ar"/>
        </w:rPr>
        <w:t>|</w:t>
      </w:r>
    </w:p>
    <w:p w14:paraId="60EB2C9E">
      <w:pPr>
        <w:keepNext w:val="0"/>
        <w:keepLines w:val="0"/>
        <w:widowControl/>
        <w:suppressLineNumbers w:val="0"/>
        <w:jc w:val="center"/>
      </w:pPr>
      <w:r>
        <w:rPr>
          <w:rFonts w:hint="default" w:ascii="TimesLTStd-Roman" w:hAnsi="TimesLTStd-Roman" w:eastAsia="TimesLTStd-Roman" w:cs="TimesLTStd-Roman"/>
          <w:color w:val="1F1F1F"/>
          <w:kern w:val="0"/>
          <w:sz w:val="20"/>
          <w:szCs w:val="20"/>
          <w:lang w:val="en-US" w:eastAsia="zh-CN" w:bidi="ar"/>
        </w:rPr>
        <w:t>Filed July 19, 2016</w:t>
      </w:r>
    </w:p>
    <w:p w14:paraId="72398B49">
      <w:pPr>
        <w:keepNext w:val="0"/>
        <w:keepLines w:val="0"/>
        <w:widowControl/>
        <w:suppressLineNumbers w:val="0"/>
        <w:jc w:val="left"/>
      </w:pPr>
      <w:r>
        <w:rPr>
          <w:rFonts w:ascii="TimesNewRomanPS-BoldMT" w:hAnsi="TimesNewRomanPS-BoldMT" w:eastAsia="TimesNewRomanPS-BoldMT" w:cs="TimesNewRomanPS-BoldMT"/>
          <w:b/>
          <w:bCs/>
          <w:color w:val="212121"/>
          <w:kern w:val="0"/>
          <w:sz w:val="20"/>
          <w:szCs w:val="20"/>
          <w:lang w:val="en-US" w:eastAsia="zh-CN" w:bidi="ar"/>
        </w:rPr>
        <w:t xml:space="preserve">Synopsis </w:t>
      </w:r>
    </w:p>
    <w:p w14:paraId="04696AF3">
      <w:pPr>
        <w:keepNext w:val="0"/>
        <w:keepLines w:val="0"/>
        <w:widowControl/>
        <w:suppressLineNumbers w:val="0"/>
        <w:jc w:val="left"/>
      </w:pPr>
      <w:r>
        <w:rPr>
          <w:rFonts w:hint="default" w:ascii="TimesNewRomanPS-BoldMT" w:hAnsi="TimesNewRomanPS-BoldMT" w:eastAsia="TimesNewRomanPS-BoldMT" w:cs="TimesNewRomanPS-BoldMT"/>
          <w:b/>
          <w:bCs/>
          <w:color w:val="1F1F1F"/>
          <w:kern w:val="0"/>
          <w:sz w:val="20"/>
          <w:szCs w:val="20"/>
          <w:lang w:val="en-US" w:eastAsia="zh-CN" w:bidi="ar"/>
        </w:rPr>
        <w:t>Background:</w:t>
      </w:r>
      <w:r>
        <w:rPr>
          <w:rFonts w:hint="default" w:ascii="Times New Roman" w:hAnsi="Times New Roman" w:eastAsia="宋体" w:cs="Times New Roman"/>
          <w:color w:val="1F1F1F"/>
          <w:kern w:val="0"/>
          <w:sz w:val="20"/>
          <w:szCs w:val="20"/>
          <w:lang w:val="en-US" w:eastAsia="zh-CN" w:bidi="ar"/>
        </w:rPr>
        <w:t xml:space="preserve"> Chinese seller of solar energy products brought action against American buyer, seeking to confirm an arbitration award that was entered in China by arbitrators who were appointed without buyer's input. The District Court for the District of Colorado, </w:t>
      </w:r>
      <w:r>
        <w:rPr>
          <w:rFonts w:hint="default" w:ascii="Times New Roman" w:hAnsi="Times New Roman" w:eastAsia="宋体" w:cs="Times New Roman"/>
          <w:color w:val="006FC4"/>
          <w:kern w:val="0"/>
          <w:sz w:val="20"/>
          <w:szCs w:val="20"/>
          <w:lang w:val="en-US" w:eastAsia="zh-CN" w:bidi="ar"/>
        </w:rPr>
        <w:t>Wiley Y. Daniel</w:t>
      </w:r>
      <w:r>
        <w:rPr>
          <w:rFonts w:hint="default" w:ascii="Times New Roman" w:hAnsi="Times New Roman" w:eastAsia="宋体" w:cs="Times New Roman"/>
          <w:color w:val="1F1F1F"/>
          <w:kern w:val="0"/>
          <w:sz w:val="20"/>
          <w:szCs w:val="20"/>
          <w:lang w:val="en-US" w:eastAsia="zh-CN" w:bidi="ar"/>
        </w:rPr>
        <w:t xml:space="preserve">, Senior District Judge, </w:t>
      </w:r>
      <w:r>
        <w:rPr>
          <w:rFonts w:hint="default" w:ascii="Times New Roman" w:hAnsi="Times New Roman" w:eastAsia="宋体" w:cs="Times New Roman"/>
          <w:color w:val="006FC4"/>
          <w:kern w:val="0"/>
          <w:sz w:val="20"/>
          <w:szCs w:val="20"/>
          <w:lang w:val="en-US" w:eastAsia="zh-CN" w:bidi="ar"/>
        </w:rPr>
        <w:t>2015 WL 3457853</w:t>
      </w:r>
      <w:r>
        <w:rPr>
          <w:rFonts w:hint="default" w:ascii="Times New Roman" w:hAnsi="Times New Roman" w:eastAsia="宋体" w:cs="Times New Roman"/>
          <w:color w:val="1F1F1F"/>
          <w:kern w:val="0"/>
          <w:sz w:val="20"/>
          <w:szCs w:val="20"/>
          <w:lang w:val="en-US" w:eastAsia="zh-CN" w:bidi="ar"/>
        </w:rPr>
        <w:t xml:space="preserve">, denied seller's motion to confirm award and granted buyer's motion to dismiss. Seller appealed. </w:t>
      </w:r>
    </w:p>
    <w:p w14:paraId="2AED5FC2">
      <w:pPr>
        <w:keepNext w:val="0"/>
        <w:keepLines w:val="0"/>
        <w:widowControl/>
        <w:suppressLineNumbers w:val="0"/>
        <w:jc w:val="left"/>
      </w:pPr>
      <w:r>
        <w:rPr>
          <w:rFonts w:hint="default" w:ascii="TimesNewRomanPS-BoldMT" w:hAnsi="TimesNewRomanPS-BoldMT" w:eastAsia="TimesNewRomanPS-BoldMT" w:cs="TimesNewRomanPS-BoldMT"/>
          <w:b/>
          <w:bCs/>
          <w:color w:val="1F1F1F"/>
          <w:kern w:val="0"/>
          <w:sz w:val="20"/>
          <w:szCs w:val="20"/>
          <w:lang w:val="en-US" w:eastAsia="zh-CN" w:bidi="ar"/>
        </w:rPr>
        <w:t>Holdings:</w:t>
      </w:r>
      <w:r>
        <w:rPr>
          <w:rFonts w:hint="default" w:ascii="Times New Roman" w:hAnsi="Times New Roman" w:eastAsia="宋体" w:cs="Times New Roman"/>
          <w:color w:val="1F1F1F"/>
          <w:kern w:val="0"/>
          <w:sz w:val="20"/>
          <w:szCs w:val="20"/>
          <w:lang w:val="en-US" w:eastAsia="zh-CN" w:bidi="ar"/>
        </w:rPr>
        <w:t xml:space="preserve"> The Court of Appeals, </w:t>
      </w:r>
      <w:r>
        <w:rPr>
          <w:rFonts w:hint="default" w:ascii="Times New Roman" w:hAnsi="Times New Roman" w:eastAsia="宋体" w:cs="Times New Roman"/>
          <w:color w:val="006FC4"/>
          <w:kern w:val="0"/>
          <w:sz w:val="20"/>
          <w:szCs w:val="20"/>
          <w:lang w:val="en-US" w:eastAsia="zh-CN" w:bidi="ar"/>
        </w:rPr>
        <w:t>Lucero</w:t>
      </w:r>
      <w:r>
        <w:rPr>
          <w:rFonts w:hint="default" w:ascii="Times New Roman" w:hAnsi="Times New Roman" w:eastAsia="宋体" w:cs="Times New Roman"/>
          <w:color w:val="1F1F1F"/>
          <w:kern w:val="0"/>
          <w:sz w:val="20"/>
          <w:szCs w:val="20"/>
          <w:lang w:val="en-US" w:eastAsia="zh-CN" w:bidi="ar"/>
        </w:rPr>
        <w:t xml:space="preserve">, Circuit Judge, held that: </w:t>
      </w:r>
    </w:p>
    <w:p w14:paraId="11163298">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[1]</w:t>
      </w:r>
      <w:r>
        <w:rPr>
          <w:rFonts w:hint="default" w:ascii="Times New Roman" w:hAnsi="Times New Roman" w:eastAsia="宋体" w:cs="Times New Roman"/>
          <w:color w:val="1F1F1F"/>
          <w:kern w:val="0"/>
          <w:sz w:val="20"/>
          <w:szCs w:val="20"/>
          <w:lang w:val="en-US" w:eastAsia="zh-CN" w:bidi="ar"/>
        </w:rPr>
        <w:t xml:space="preserve"> the Chinese-language notice of arbitration was not reasonably calculated to apprise buyer of the arbitration proceedings, and </w:t>
      </w:r>
    </w:p>
    <w:p w14:paraId="7ED91D5E">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[2]</w:t>
      </w:r>
      <w:r>
        <w:rPr>
          <w:rFonts w:hint="default" w:ascii="Times New Roman" w:hAnsi="Times New Roman" w:eastAsia="宋体" w:cs="Times New Roman"/>
          <w:color w:val="1F1F1F"/>
          <w:kern w:val="0"/>
          <w:sz w:val="20"/>
          <w:szCs w:val="20"/>
          <w:lang w:val="en-US" w:eastAsia="zh-CN" w:bidi="ar"/>
        </w:rPr>
        <w:t xml:space="preserve"> buyer was prejudiced by the failure to receive proper notice of the arbitration proceedings. Affirmed. </w:t>
      </w:r>
    </w:p>
    <w:p w14:paraId="3A8EF582">
      <w:pPr>
        <w:keepNext w:val="0"/>
        <w:keepLines w:val="0"/>
        <w:widowControl/>
        <w:suppressLineNumbers w:val="0"/>
        <w:jc w:val="left"/>
      </w:pPr>
      <w:r>
        <w:rPr>
          <w:rFonts w:hint="default" w:ascii="Times New Roman" w:hAnsi="Times New Roman" w:eastAsia="宋体" w:cs="Times New Roman"/>
          <w:color w:val="252525"/>
          <w:kern w:val="0"/>
          <w:sz w:val="20"/>
          <w:szCs w:val="20"/>
          <w:lang w:val="en-US" w:eastAsia="zh-CN" w:bidi="ar"/>
        </w:rPr>
        <w:t xml:space="preserve">West Headnotes (12) </w:t>
      </w:r>
    </w:p>
    <w:p w14:paraId="5DBF0716">
      <w:pPr>
        <w:keepNext w:val="0"/>
        <w:keepLines w:val="0"/>
        <w:widowControl/>
        <w:suppressLineNumbers w:val="0"/>
        <w:jc w:val="left"/>
      </w:pPr>
      <w:r>
        <w:rPr>
          <w:rFonts w:hint="default" w:ascii="TimesNewRomanPS-BoldMT" w:hAnsi="TimesNewRomanPS-BoldMT" w:eastAsia="TimesNewRomanPS-BoldMT" w:cs="TimesNewRomanPS-BoldMT"/>
          <w:b/>
          <w:bCs/>
          <w:color w:val="006FC4"/>
          <w:kern w:val="0"/>
          <w:sz w:val="20"/>
          <w:szCs w:val="20"/>
          <w:lang w:val="en-US" w:eastAsia="zh-CN" w:bidi="ar"/>
        </w:rPr>
        <w:t xml:space="preserve">[1] Alternative Dispute Resolution </w:t>
      </w:r>
    </w:p>
    <w:p w14:paraId="2C1B357D">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 xml:space="preserve">Questions of law or fact </w:t>
      </w:r>
    </w:p>
    <w:p w14:paraId="696820D9">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In reviewing a district court's decision regarding confirmation of an arbitration award, the Court of Appeals reviews legal questions de novo and factual findings for clear error. </w:t>
      </w:r>
    </w:p>
    <w:p w14:paraId="559EA877">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 xml:space="preserve">5 Cases that cite this headnote </w:t>
      </w:r>
    </w:p>
    <w:p w14:paraId="4ADD7218">
      <w:pPr>
        <w:keepNext w:val="0"/>
        <w:keepLines w:val="0"/>
        <w:widowControl/>
        <w:suppressLineNumbers w:val="0"/>
        <w:jc w:val="left"/>
      </w:pPr>
      <w:r>
        <w:rPr>
          <w:rFonts w:hint="default" w:ascii="TimesNewRomanPS-BoldMT" w:hAnsi="TimesNewRomanPS-BoldMT" w:eastAsia="TimesNewRomanPS-BoldMT" w:cs="TimesNewRomanPS-BoldMT"/>
          <w:b/>
          <w:bCs/>
          <w:color w:val="006FC4"/>
          <w:kern w:val="0"/>
          <w:sz w:val="20"/>
          <w:szCs w:val="20"/>
          <w:lang w:val="en-US" w:eastAsia="zh-CN" w:bidi="ar"/>
        </w:rPr>
        <w:t xml:space="preserve">[2] Federal Courts </w:t>
      </w:r>
    </w:p>
    <w:p w14:paraId="614F0662">
      <w:pPr>
        <w:keepNext w:val="0"/>
        <w:keepLines w:val="0"/>
        <w:widowControl/>
        <w:suppressLineNumbers w:val="0"/>
        <w:jc w:val="left"/>
        <w:rPr>
          <w:rFonts w:hint="default" w:ascii="Times New Roman" w:hAnsi="Times New Roman" w:eastAsia="宋体" w:cs="Times New Roman"/>
          <w:color w:val="006FC4"/>
          <w:kern w:val="0"/>
          <w:sz w:val="20"/>
          <w:szCs w:val="20"/>
          <w:lang w:val="en-US" w:eastAsia="zh-CN" w:bidi="ar"/>
        </w:rPr>
      </w:pPr>
      <w:r>
        <w:rPr>
          <w:rFonts w:hint="default" w:ascii="Times New Roman" w:hAnsi="Times New Roman" w:eastAsia="宋体" w:cs="Times New Roman"/>
          <w:color w:val="006FC4"/>
          <w:kern w:val="0"/>
          <w:sz w:val="20"/>
          <w:szCs w:val="20"/>
          <w:lang w:val="en-US" w:eastAsia="zh-CN" w:bidi="ar"/>
        </w:rPr>
        <w:t xml:space="preserve">Definite and firm conviction of mistake </w:t>
      </w:r>
    </w:p>
    <w:p w14:paraId="5055D6BE">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An error is “clear,” as would warrant reversal on appeal, if the district court's findings lack factual support in the record or if, after reviewing all the evidence, the Court of Appeals has a definite and firm conviction that the district court erred. </w:t>
      </w:r>
    </w:p>
    <w:p w14:paraId="34C491E4">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 xml:space="preserve">1 Case that cites this headnote </w:t>
      </w:r>
    </w:p>
    <w:p w14:paraId="5C582588">
      <w:pPr>
        <w:keepNext w:val="0"/>
        <w:keepLines w:val="0"/>
        <w:widowControl/>
        <w:suppressLineNumbers w:val="0"/>
        <w:jc w:val="left"/>
      </w:pPr>
      <w:r>
        <w:rPr>
          <w:rFonts w:hint="default" w:ascii="TimesNewRomanPS-BoldMT" w:hAnsi="TimesNewRomanPS-BoldMT" w:eastAsia="TimesNewRomanPS-BoldMT" w:cs="TimesNewRomanPS-BoldMT"/>
          <w:b/>
          <w:bCs/>
          <w:color w:val="006FC4"/>
          <w:kern w:val="0"/>
          <w:sz w:val="20"/>
          <w:szCs w:val="20"/>
          <w:lang w:val="en-US" w:eastAsia="zh-CN" w:bidi="ar"/>
        </w:rPr>
        <w:t xml:space="preserve">[3] Alternative Dispute Resolution </w:t>
      </w:r>
    </w:p>
    <w:p w14:paraId="16A12B18">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 xml:space="preserve">Scope and Standards of Review </w:t>
      </w:r>
    </w:p>
    <w:p w14:paraId="3992B331">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The Court of Appeals does not owe deference to the district court's legal conclusions on review of an</w:t>
      </w:r>
      <w:r>
        <w:rPr>
          <w:rFonts w:hint="eastAsia"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1F1F1F"/>
          <w:kern w:val="0"/>
          <w:sz w:val="20"/>
          <w:szCs w:val="20"/>
          <w:lang w:val="en-US" w:eastAsia="zh-CN" w:bidi="ar"/>
        </w:rPr>
        <w:t xml:space="preserve">arbitration decision, but the Court affords maximum deference to the arbitrators' decisions. </w:t>
      </w:r>
    </w:p>
    <w:p w14:paraId="08E18E68">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 xml:space="preserve">8 Cases that cite this headnote </w:t>
      </w:r>
    </w:p>
    <w:p w14:paraId="098B38C9">
      <w:pPr>
        <w:keepNext w:val="0"/>
        <w:keepLines w:val="0"/>
        <w:widowControl/>
        <w:suppressLineNumbers w:val="0"/>
        <w:jc w:val="left"/>
      </w:pPr>
      <w:r>
        <w:rPr>
          <w:rFonts w:hint="default" w:ascii="TimesNewRomanPS-BoldMT" w:hAnsi="TimesNewRomanPS-BoldMT" w:eastAsia="TimesNewRomanPS-BoldMT" w:cs="TimesNewRomanPS-BoldMT"/>
          <w:b/>
          <w:bCs/>
          <w:color w:val="006FC4"/>
          <w:kern w:val="0"/>
          <w:sz w:val="20"/>
          <w:szCs w:val="20"/>
          <w:lang w:val="en-US" w:eastAsia="zh-CN" w:bidi="ar"/>
        </w:rPr>
        <w:t xml:space="preserve">[4] Alternative Dispute Resolution </w:t>
      </w:r>
    </w:p>
    <w:p w14:paraId="25149A12">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 xml:space="preserve">Scope and Standards of Review </w:t>
      </w:r>
    </w:p>
    <w:p w14:paraId="5F9B38AC">
      <w:pPr>
        <w:keepNext w:val="0"/>
        <w:keepLines w:val="0"/>
        <w:widowControl/>
        <w:suppressLineNumbers w:val="0"/>
        <w:jc w:val="left"/>
      </w:pPr>
      <w:r>
        <w:rPr>
          <w:rFonts w:hint="default" w:ascii="TimesNewRomanPS-BoldMT" w:hAnsi="TimesNewRomanPS-BoldMT" w:eastAsia="TimesNewRomanPS-BoldMT" w:cs="TimesNewRomanPS-BoldMT"/>
          <w:b/>
          <w:bCs/>
          <w:color w:val="006FC4"/>
          <w:kern w:val="0"/>
          <w:sz w:val="20"/>
          <w:szCs w:val="20"/>
          <w:lang w:val="en-US" w:eastAsia="zh-CN" w:bidi="ar"/>
        </w:rPr>
        <w:t xml:space="preserve">Alternative Dispute Resolution </w:t>
      </w:r>
    </w:p>
    <w:p w14:paraId="01A3D396">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 xml:space="preserve">Merits </w:t>
      </w:r>
    </w:p>
    <w:p w14:paraId="73FD6FED">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The standard of appellate review of arbitral</w:t>
      </w:r>
      <w:r>
        <w:rPr>
          <w:rFonts w:hint="eastAsia"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1F1F1F"/>
          <w:kern w:val="0"/>
          <w:sz w:val="20"/>
          <w:szCs w:val="20"/>
          <w:lang w:val="en-US" w:eastAsia="zh-CN" w:bidi="ar"/>
        </w:rPr>
        <w:t xml:space="preserve">awards is among the narrowest known to the law; the Court of Appeals is not authorized to reconsider the merits of an award even though the parties may allege that the award rests on errors of fact or on misinterpretation of the contract, and thus, an arbitrator's erroneous interpretations or applications of law are not reversible. </w:t>
      </w:r>
    </w:p>
    <w:p w14:paraId="6ABDC603">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 xml:space="preserve">7 Cases that cite this headnote </w:t>
      </w:r>
    </w:p>
    <w:p w14:paraId="4CFA9058">
      <w:pPr>
        <w:keepNext w:val="0"/>
        <w:keepLines w:val="0"/>
        <w:widowControl/>
        <w:suppressLineNumbers w:val="0"/>
        <w:jc w:val="left"/>
      </w:pPr>
      <w:r>
        <w:rPr>
          <w:rFonts w:hint="default" w:ascii="TimesNewRomanPS-BoldMT" w:hAnsi="TimesNewRomanPS-BoldMT" w:eastAsia="TimesNewRomanPS-BoldMT" w:cs="TimesNewRomanPS-BoldMT"/>
          <w:b/>
          <w:bCs/>
          <w:color w:val="006FC4"/>
          <w:kern w:val="0"/>
          <w:sz w:val="20"/>
          <w:szCs w:val="20"/>
          <w:lang w:val="en-US" w:eastAsia="zh-CN" w:bidi="ar"/>
        </w:rPr>
        <w:t xml:space="preserve">[5] Alternative Dispute Resolution </w:t>
      </w:r>
    </w:p>
    <w:p w14:paraId="0F203EB2">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 xml:space="preserve">Mistake or Error </w:t>
      </w:r>
    </w:p>
    <w:p w14:paraId="526A0908">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Although an arbitrator may not ignore the plain language of the contract, as long as the arbitrator is even arguably construing or applying the contract and acting within the scope of his</w:t>
      </w:r>
      <w:r>
        <w:rPr>
          <w:rFonts w:hint="eastAsia"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1F1F1F"/>
          <w:kern w:val="0"/>
          <w:sz w:val="20"/>
          <w:szCs w:val="20"/>
          <w:lang w:val="en-US" w:eastAsia="zh-CN" w:bidi="ar"/>
        </w:rPr>
        <w:t xml:space="preserve">authority, that a court is convinced he committed serious error does not suffice to overturn his decision. </w:t>
      </w:r>
    </w:p>
    <w:p w14:paraId="27B5E63C">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2 Cases that cite this headnote</w:t>
      </w:r>
    </w:p>
    <w:p w14:paraId="0515403E">
      <w:pPr>
        <w:keepNext w:val="0"/>
        <w:keepLines w:val="0"/>
        <w:widowControl/>
        <w:suppressLineNumbers w:val="0"/>
        <w:jc w:val="left"/>
      </w:pPr>
      <w:r>
        <w:rPr>
          <w:rFonts w:ascii="TimesNewRomanPS-BoldMT" w:hAnsi="TimesNewRomanPS-BoldMT" w:eastAsia="TimesNewRomanPS-BoldMT" w:cs="TimesNewRomanPS-BoldMT"/>
          <w:b/>
          <w:bCs/>
          <w:color w:val="006FC4"/>
          <w:kern w:val="0"/>
          <w:sz w:val="20"/>
          <w:szCs w:val="20"/>
          <w:lang w:val="en-US" w:eastAsia="zh-CN" w:bidi="ar"/>
        </w:rPr>
        <w:t xml:space="preserve">[6] </w:t>
      </w:r>
    </w:p>
    <w:p w14:paraId="78586754">
      <w:pPr>
        <w:keepNext w:val="0"/>
        <w:keepLines w:val="0"/>
        <w:widowControl/>
        <w:suppressLineNumbers w:val="0"/>
        <w:jc w:val="left"/>
      </w:pPr>
      <w:r>
        <w:rPr>
          <w:rFonts w:hint="default" w:ascii="TimesNewRomanPS-BoldMT" w:hAnsi="TimesNewRomanPS-BoldMT" w:eastAsia="TimesNewRomanPS-BoldMT" w:cs="TimesNewRomanPS-BoldMT"/>
          <w:b/>
          <w:bCs/>
          <w:color w:val="006FC4"/>
          <w:kern w:val="0"/>
          <w:sz w:val="20"/>
          <w:szCs w:val="20"/>
          <w:lang w:val="en-US" w:eastAsia="zh-CN" w:bidi="ar"/>
        </w:rPr>
        <w:t xml:space="preserve">Alternative Dispute Resolution </w:t>
      </w:r>
    </w:p>
    <w:p w14:paraId="1EA78067">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 xml:space="preserve">Enforcement and recognition of awards </w:t>
      </w:r>
    </w:p>
    <w:p w14:paraId="7931EA67">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r>
        <w:rPr>
          <w:rFonts w:hint="default" w:ascii="Times New Roman" w:hAnsi="Times New Roman" w:eastAsia="宋体" w:cs="Times New Roman"/>
          <w:color w:val="1F1F1F"/>
          <w:kern w:val="0"/>
          <w:sz w:val="20"/>
          <w:szCs w:val="20"/>
          <w:lang w:val="en-US" w:eastAsia="zh-CN" w:bidi="ar"/>
        </w:rPr>
        <w:t>Courts construe defenses to recognition or enforcement of an arbitration award under the Convention on the Recognition and Enforcement of Foreign Arbitral Awards narrowly, to encourage the</w:t>
      </w:r>
      <w:r>
        <w:rPr>
          <w:rFonts w:hint="eastAsia"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1F1F1F"/>
          <w:kern w:val="0"/>
          <w:sz w:val="20"/>
          <w:szCs w:val="20"/>
          <w:lang w:val="en-US" w:eastAsia="zh-CN" w:bidi="ar"/>
        </w:rPr>
        <w:t xml:space="preserve">recognition and enforcement of commercial arbitration agreements in international contracts. </w:t>
      </w:r>
      <w:r>
        <w:rPr>
          <w:rFonts w:hint="default" w:ascii="Times New Roman" w:hAnsi="Times New Roman" w:eastAsia="宋体" w:cs="Times New Roman"/>
          <w:color w:val="006FC4"/>
          <w:kern w:val="0"/>
          <w:sz w:val="20"/>
          <w:szCs w:val="20"/>
          <w:lang w:val="en-US" w:eastAsia="zh-CN" w:bidi="ar"/>
        </w:rPr>
        <w:t>9 U.S.C.A. § 207</w:t>
      </w:r>
      <w:r>
        <w:rPr>
          <w:rFonts w:hint="default" w:ascii="Times New Roman" w:hAnsi="Times New Roman" w:eastAsia="宋体" w:cs="Times New Roman"/>
          <w:color w:val="1F1F1F"/>
          <w:kern w:val="0"/>
          <w:sz w:val="20"/>
          <w:szCs w:val="20"/>
          <w:lang w:val="en-US" w:eastAsia="zh-CN" w:bidi="ar"/>
        </w:rPr>
        <w:t xml:space="preserve">. </w:t>
      </w:r>
    </w:p>
    <w:p w14:paraId="6E7F9C5A">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 xml:space="preserve">11 Cases that cite this headnote </w:t>
      </w:r>
    </w:p>
    <w:p w14:paraId="46683286">
      <w:pPr>
        <w:keepNext w:val="0"/>
        <w:keepLines w:val="0"/>
        <w:widowControl/>
        <w:suppressLineNumbers w:val="0"/>
        <w:jc w:val="left"/>
      </w:pPr>
      <w:r>
        <w:rPr>
          <w:rFonts w:hint="default" w:ascii="TimesNewRomanPS-BoldMT" w:hAnsi="TimesNewRomanPS-BoldMT" w:eastAsia="TimesNewRomanPS-BoldMT" w:cs="TimesNewRomanPS-BoldMT"/>
          <w:b/>
          <w:bCs/>
          <w:color w:val="006FC4"/>
          <w:kern w:val="0"/>
          <w:sz w:val="20"/>
          <w:szCs w:val="20"/>
          <w:lang w:val="en-US" w:eastAsia="zh-CN" w:bidi="ar"/>
        </w:rPr>
        <w:t xml:space="preserve">[7] Alternative Dispute Resolution </w:t>
      </w:r>
    </w:p>
    <w:p w14:paraId="11637143">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 xml:space="preserve">Enforcement and recognition of awards </w:t>
      </w:r>
    </w:p>
    <w:p w14:paraId="29FAA442">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r>
        <w:rPr>
          <w:rFonts w:hint="default" w:ascii="Times New Roman" w:hAnsi="Times New Roman" w:eastAsia="宋体" w:cs="Times New Roman"/>
          <w:color w:val="1F1F1F"/>
          <w:kern w:val="0"/>
          <w:sz w:val="20"/>
          <w:szCs w:val="20"/>
          <w:lang w:val="en-US" w:eastAsia="zh-CN" w:bidi="ar"/>
        </w:rPr>
        <w:t>The party opposing enforcement of the arbitral award bears the burden of proving that one of the defenses to recognition or enforcement of an arbitration award under the Convention on the Recognition and Enforcement of Foreign Arbitral Awards applies.</w:t>
      </w:r>
    </w:p>
    <w:p w14:paraId="7798E2C9">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9 U.S.C.A. § 207</w:t>
      </w:r>
      <w:r>
        <w:rPr>
          <w:rFonts w:hint="default" w:ascii="Times New Roman" w:hAnsi="Times New Roman" w:eastAsia="宋体" w:cs="Times New Roman"/>
          <w:color w:val="1F1F1F"/>
          <w:kern w:val="0"/>
          <w:sz w:val="20"/>
          <w:szCs w:val="20"/>
          <w:lang w:val="en-US" w:eastAsia="zh-CN" w:bidi="ar"/>
        </w:rPr>
        <w:t xml:space="preserve">. </w:t>
      </w:r>
    </w:p>
    <w:p w14:paraId="5F8A3FD8">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 xml:space="preserve">11 Cases that cite this headnote </w:t>
      </w:r>
    </w:p>
    <w:p w14:paraId="359B92AC">
      <w:pPr>
        <w:keepNext w:val="0"/>
        <w:keepLines w:val="0"/>
        <w:widowControl/>
        <w:suppressLineNumbers w:val="0"/>
        <w:jc w:val="left"/>
      </w:pPr>
      <w:r>
        <w:rPr>
          <w:rFonts w:hint="default" w:ascii="TimesNewRomanPS-BoldMT" w:hAnsi="TimesNewRomanPS-BoldMT" w:eastAsia="TimesNewRomanPS-BoldMT" w:cs="TimesNewRomanPS-BoldMT"/>
          <w:b/>
          <w:bCs/>
          <w:color w:val="006FC4"/>
          <w:kern w:val="0"/>
          <w:sz w:val="20"/>
          <w:szCs w:val="20"/>
          <w:lang w:val="en-US" w:eastAsia="zh-CN" w:bidi="ar"/>
        </w:rPr>
        <w:t xml:space="preserve">[8] Alternative Dispute Resolution </w:t>
      </w:r>
    </w:p>
    <w:p w14:paraId="525CBB8D">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 xml:space="preserve">Enforcement and recognition of awards </w:t>
      </w:r>
    </w:p>
    <w:p w14:paraId="648F24FC">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r>
        <w:rPr>
          <w:rFonts w:hint="default" w:ascii="Times New Roman" w:hAnsi="Times New Roman" w:eastAsia="宋体" w:cs="Times New Roman"/>
          <w:color w:val="1F1F1F"/>
          <w:kern w:val="0"/>
          <w:sz w:val="20"/>
          <w:szCs w:val="20"/>
          <w:lang w:val="en-US" w:eastAsia="zh-CN" w:bidi="ar"/>
        </w:rPr>
        <w:t xml:space="preserve">To judge compliance with the Convention on the Recognition and Enforcement of Foreign Arbitral Awards' proper notice requirement, courts look to the forum's standards of due process. </w:t>
      </w:r>
    </w:p>
    <w:p w14:paraId="32B26EB2">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U.S. Const. Amend. 5</w:t>
      </w:r>
      <w:r>
        <w:rPr>
          <w:rFonts w:hint="default"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006FC4"/>
          <w:kern w:val="0"/>
          <w:sz w:val="20"/>
          <w:szCs w:val="20"/>
          <w:lang w:val="en-US" w:eastAsia="zh-CN" w:bidi="ar"/>
        </w:rPr>
        <w:t xml:space="preserve">9 U.S.C.A. § 201 et seq. </w:t>
      </w:r>
    </w:p>
    <w:p w14:paraId="168D1D16">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 xml:space="preserve">1 Case that cites this headnote </w:t>
      </w:r>
    </w:p>
    <w:p w14:paraId="53BEC5B6">
      <w:pPr>
        <w:keepNext w:val="0"/>
        <w:keepLines w:val="0"/>
        <w:widowControl/>
        <w:suppressLineNumbers w:val="0"/>
        <w:jc w:val="left"/>
      </w:pPr>
      <w:r>
        <w:rPr>
          <w:rFonts w:hint="default" w:ascii="TimesNewRomanPS-BoldMT" w:hAnsi="TimesNewRomanPS-BoldMT" w:eastAsia="TimesNewRomanPS-BoldMT" w:cs="TimesNewRomanPS-BoldMT"/>
          <w:b/>
          <w:bCs/>
          <w:color w:val="006FC4"/>
          <w:kern w:val="0"/>
          <w:sz w:val="20"/>
          <w:szCs w:val="20"/>
          <w:lang w:val="en-US" w:eastAsia="zh-CN" w:bidi="ar"/>
        </w:rPr>
        <w:t xml:space="preserve">[9] Alternative Dispute Resolution </w:t>
      </w:r>
    </w:p>
    <w:p w14:paraId="3C124A7D">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 xml:space="preserve">Enforcement and recognition of awards </w:t>
      </w:r>
    </w:p>
    <w:p w14:paraId="5CD3A9D0">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r>
        <w:rPr>
          <w:rFonts w:hint="default" w:ascii="Times New Roman" w:hAnsi="Times New Roman" w:eastAsia="宋体" w:cs="Times New Roman"/>
          <w:color w:val="1F1F1F"/>
          <w:kern w:val="0"/>
          <w:sz w:val="20"/>
          <w:szCs w:val="20"/>
          <w:lang w:val="en-US" w:eastAsia="zh-CN" w:bidi="ar"/>
        </w:rPr>
        <w:t xml:space="preserve">Notice of an arbitration proceeding must be reasonably calculated, under all the circumstances, to apprise interested parties of the pendency of the action and afford them an opportunity to present their objections to comply with the Convention on the Recognition and Enforcement of Foreign Arbitral Awards' proper notice requirements. </w:t>
      </w:r>
    </w:p>
    <w:p w14:paraId="02A42A38">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 xml:space="preserve">9 U.S.C.A. § 201 et seq. </w:t>
      </w:r>
    </w:p>
    <w:p w14:paraId="3BFE8CA4">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 xml:space="preserve">4 Cases that cite this headnote </w:t>
      </w:r>
    </w:p>
    <w:p w14:paraId="424863DD">
      <w:pPr>
        <w:keepNext w:val="0"/>
        <w:keepLines w:val="0"/>
        <w:widowControl/>
        <w:suppressLineNumbers w:val="0"/>
        <w:jc w:val="left"/>
      </w:pPr>
      <w:r>
        <w:rPr>
          <w:rFonts w:hint="default" w:ascii="TimesNewRomanPS-BoldMT" w:hAnsi="TimesNewRomanPS-BoldMT" w:eastAsia="TimesNewRomanPS-BoldMT" w:cs="TimesNewRomanPS-BoldMT"/>
          <w:b/>
          <w:bCs/>
          <w:color w:val="006FC4"/>
          <w:kern w:val="0"/>
          <w:sz w:val="20"/>
          <w:szCs w:val="20"/>
          <w:lang w:val="en-US" w:eastAsia="zh-CN" w:bidi="ar"/>
        </w:rPr>
        <w:t xml:space="preserve">[10] Alternative Dispute Resolution </w:t>
      </w:r>
    </w:p>
    <w:p w14:paraId="6129A6AD">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r>
        <w:rPr>
          <w:rFonts w:hint="default" w:ascii="Times New Roman" w:hAnsi="Times New Roman" w:eastAsia="宋体" w:cs="Times New Roman"/>
          <w:color w:val="006FC4"/>
          <w:kern w:val="0"/>
          <w:sz w:val="20"/>
          <w:szCs w:val="20"/>
          <w:lang w:val="en-US" w:eastAsia="zh-CN" w:bidi="ar"/>
        </w:rPr>
        <w:t xml:space="preserve">Enforcement and recognition of awards </w:t>
      </w:r>
      <w:r>
        <w:rPr>
          <w:rFonts w:hint="default" w:ascii="Times New Roman" w:hAnsi="Times New Roman" w:eastAsia="宋体" w:cs="Times New Roman"/>
          <w:color w:val="1F1F1F"/>
          <w:kern w:val="0"/>
          <w:sz w:val="20"/>
          <w:szCs w:val="20"/>
          <w:lang w:val="en-US" w:eastAsia="zh-CN" w:bidi="ar"/>
        </w:rPr>
        <w:t>A Chinese-language notice of arbitration was not reasonably calculated to apprise American buyer of solar energy products of pending arbitration proceedings, and</w:t>
      </w:r>
      <w:r>
        <w:rPr>
          <w:rFonts w:hint="eastAsia"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1F1F1F"/>
          <w:kern w:val="0"/>
          <w:sz w:val="20"/>
          <w:szCs w:val="20"/>
          <w:lang w:val="en-US" w:eastAsia="zh-CN" w:bidi="ar"/>
        </w:rPr>
        <w:t>thus the notice failed to comply with the proper notice requirement of the Convention on the Recognition and Enforcement of Foreign Arbitral Awards, warranting nonrecognition of the resulting</w:t>
      </w:r>
      <w:r>
        <w:rPr>
          <w:rFonts w:hint="eastAsia"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1F1F1F"/>
          <w:kern w:val="0"/>
          <w:sz w:val="20"/>
          <w:szCs w:val="20"/>
          <w:lang w:val="en-US" w:eastAsia="zh-CN" w:bidi="ar"/>
        </w:rPr>
        <w:t xml:space="preserve">arbitration award, where all previous communications between the Chinese seller and American buyer were in English, and the arbitration agreement's requirement that the English language version of the agreement would control reinforced the parties' understanding that dispute resolution proceedings would be in English. </w:t>
      </w:r>
    </w:p>
    <w:p w14:paraId="234A1075">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9 U.S.C.A. § 207</w:t>
      </w:r>
      <w:r>
        <w:rPr>
          <w:rFonts w:hint="default" w:ascii="Times New Roman" w:hAnsi="Times New Roman" w:eastAsia="宋体" w:cs="Times New Roman"/>
          <w:color w:val="1F1F1F"/>
          <w:kern w:val="0"/>
          <w:sz w:val="20"/>
          <w:szCs w:val="20"/>
          <w:lang w:val="en-US" w:eastAsia="zh-CN" w:bidi="ar"/>
        </w:rPr>
        <w:t xml:space="preserve">. </w:t>
      </w:r>
    </w:p>
    <w:p w14:paraId="1D459127">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 xml:space="preserve">4 Cases that cite this headnote </w:t>
      </w:r>
    </w:p>
    <w:p w14:paraId="291B2933">
      <w:pPr>
        <w:keepNext w:val="0"/>
        <w:keepLines w:val="0"/>
        <w:widowControl/>
        <w:suppressLineNumbers w:val="0"/>
        <w:jc w:val="left"/>
      </w:pPr>
      <w:r>
        <w:rPr>
          <w:rFonts w:hint="default" w:ascii="TimesNewRomanPS-BoldMT" w:hAnsi="TimesNewRomanPS-BoldMT" w:eastAsia="TimesNewRomanPS-BoldMT" w:cs="TimesNewRomanPS-BoldMT"/>
          <w:b/>
          <w:bCs/>
          <w:color w:val="006FC4"/>
          <w:kern w:val="0"/>
          <w:sz w:val="20"/>
          <w:szCs w:val="20"/>
          <w:lang w:val="en-US" w:eastAsia="zh-CN" w:bidi="ar"/>
        </w:rPr>
        <w:t xml:space="preserve">[11] Alternative Dispute Resolution </w:t>
      </w:r>
    </w:p>
    <w:p w14:paraId="1813BAC9">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 xml:space="preserve">Enforcement and recognition of awards </w:t>
      </w:r>
    </w:p>
    <w:p w14:paraId="64283B0B">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Even assuming that a party opposing confirmation of an arbitral award under the Convention on the Recognition and Enforcement of Foreign Arbitral Awards must demonstrate prejudice from any deficient notice, American buyer of solar energy products was prejudiced by a Chinese-language notice of arbitration that failed to apprise buyer of pending arbitration proceedings, even though buyer later received notice of the arbitration by e-mail in English, where buyer diligently sought Chinese counsel </w:t>
      </w:r>
    </w:p>
    <w:p w14:paraId="7674F8F7">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r>
        <w:rPr>
          <w:rFonts w:hint="default" w:ascii="Times New Roman" w:hAnsi="Times New Roman" w:eastAsia="宋体" w:cs="Times New Roman"/>
          <w:color w:val="1F1F1F"/>
          <w:kern w:val="0"/>
          <w:sz w:val="20"/>
          <w:szCs w:val="20"/>
          <w:lang w:val="en-US" w:eastAsia="zh-CN" w:bidi="ar"/>
        </w:rPr>
        <w:t>to represent it in arbitration after learning of the arbitration, and the delay in securing counsel resulted in buyer being deprived of the right to</w:t>
      </w:r>
      <w:r>
        <w:rPr>
          <w:rFonts w:hint="eastAsia"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1F1F1F"/>
          <w:kern w:val="0"/>
          <w:sz w:val="20"/>
          <w:szCs w:val="20"/>
          <w:lang w:val="en-US" w:eastAsia="zh-CN" w:bidi="ar"/>
        </w:rPr>
        <w:t xml:space="preserve">participate in appointing the arbitral tribunal. </w:t>
      </w:r>
    </w:p>
    <w:p w14:paraId="588FC852">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9 U.S.C.A. § 207</w:t>
      </w:r>
      <w:r>
        <w:rPr>
          <w:rFonts w:hint="default" w:ascii="Times New Roman" w:hAnsi="Times New Roman" w:eastAsia="宋体" w:cs="Times New Roman"/>
          <w:color w:val="1F1F1F"/>
          <w:kern w:val="0"/>
          <w:sz w:val="20"/>
          <w:szCs w:val="20"/>
          <w:lang w:val="en-US" w:eastAsia="zh-CN" w:bidi="ar"/>
        </w:rPr>
        <w:t xml:space="preserve">. </w:t>
      </w:r>
    </w:p>
    <w:p w14:paraId="4D661517">
      <w:pPr>
        <w:keepNext w:val="0"/>
        <w:keepLines w:val="0"/>
        <w:widowControl/>
        <w:suppressLineNumbers w:val="0"/>
        <w:jc w:val="left"/>
        <w:rPr>
          <w:rFonts w:hint="default" w:ascii="Times New Roman" w:hAnsi="Times New Roman" w:eastAsia="宋体" w:cs="Times New Roman"/>
          <w:color w:val="006FC4"/>
          <w:kern w:val="0"/>
          <w:sz w:val="20"/>
          <w:szCs w:val="20"/>
          <w:lang w:val="en-US" w:eastAsia="zh-CN" w:bidi="ar"/>
        </w:rPr>
      </w:pPr>
      <w:r>
        <w:rPr>
          <w:rFonts w:hint="default" w:ascii="Times New Roman" w:hAnsi="Times New Roman" w:eastAsia="宋体" w:cs="Times New Roman"/>
          <w:color w:val="006FC4"/>
          <w:kern w:val="0"/>
          <w:sz w:val="20"/>
          <w:szCs w:val="20"/>
          <w:lang w:val="en-US" w:eastAsia="zh-CN" w:bidi="ar"/>
        </w:rPr>
        <w:t>3 Cases that cite this headnote</w:t>
      </w:r>
    </w:p>
    <w:p w14:paraId="1A53810A">
      <w:pPr>
        <w:keepNext w:val="0"/>
        <w:keepLines w:val="0"/>
        <w:widowControl/>
        <w:suppressLineNumbers w:val="0"/>
        <w:jc w:val="left"/>
      </w:pPr>
      <w:r>
        <w:rPr>
          <w:rFonts w:ascii="TimesNewRomanPS-BoldMT" w:hAnsi="TimesNewRomanPS-BoldMT" w:eastAsia="TimesNewRomanPS-BoldMT" w:cs="TimesNewRomanPS-BoldMT"/>
          <w:b/>
          <w:bCs/>
          <w:color w:val="006FC4"/>
          <w:kern w:val="0"/>
          <w:sz w:val="20"/>
          <w:szCs w:val="20"/>
          <w:lang w:val="en-US" w:eastAsia="zh-CN" w:bidi="ar"/>
        </w:rPr>
        <w:t xml:space="preserve">[12] Alternative Dispute </w:t>
      </w:r>
      <w:r>
        <w:rPr>
          <w:rFonts w:hint="default" w:ascii="TimesNewRomanPS-BoldMT" w:hAnsi="TimesNewRomanPS-BoldMT" w:eastAsia="TimesNewRomanPS-BoldMT" w:cs="TimesNewRomanPS-BoldMT"/>
          <w:b/>
          <w:bCs/>
          <w:color w:val="006FC4"/>
          <w:kern w:val="0"/>
          <w:sz w:val="20"/>
          <w:szCs w:val="20"/>
          <w:lang w:val="en-US" w:eastAsia="zh-CN" w:bidi="ar"/>
        </w:rPr>
        <w:t xml:space="preserve">Resolution </w:t>
      </w:r>
    </w:p>
    <w:p w14:paraId="45716DFF">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 xml:space="preserve">Proceedings </w:t>
      </w:r>
    </w:p>
    <w:p w14:paraId="42DCB65A">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r>
        <w:rPr>
          <w:rFonts w:hint="default" w:ascii="Times New Roman" w:hAnsi="Times New Roman" w:eastAsia="宋体" w:cs="Times New Roman"/>
          <w:color w:val="1F1F1F"/>
          <w:kern w:val="0"/>
          <w:sz w:val="20"/>
          <w:szCs w:val="20"/>
          <w:lang w:val="en-US" w:eastAsia="zh-CN" w:bidi="ar"/>
        </w:rPr>
        <w:t xml:space="preserve">In appellant's proceeding to confirm foreign arbitration award under Convention on the Recognition and Enforcement of Foreign Arbitral Awards, appellant waived for appellate review its claim that appellee failed to diligently pursue its rights during arbitration, where claim was first raised in appellant's reply brief. </w:t>
      </w:r>
    </w:p>
    <w:p w14:paraId="7AC718D4">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9 U.S.C.A. § 207</w:t>
      </w:r>
      <w:r>
        <w:rPr>
          <w:rFonts w:hint="default" w:ascii="Times New Roman" w:hAnsi="Times New Roman" w:eastAsia="宋体" w:cs="Times New Roman"/>
          <w:color w:val="1F1F1F"/>
          <w:kern w:val="0"/>
          <w:sz w:val="20"/>
          <w:szCs w:val="20"/>
          <w:lang w:val="en-US" w:eastAsia="zh-CN" w:bidi="ar"/>
        </w:rPr>
        <w:t xml:space="preserve">. </w:t>
      </w:r>
    </w:p>
    <w:p w14:paraId="25A96B75">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 xml:space="preserve">9 Cases that cite this headnote </w:t>
      </w:r>
    </w:p>
    <w:p w14:paraId="6C9FF9E3">
      <w:pPr>
        <w:keepNext w:val="0"/>
        <w:keepLines w:val="0"/>
        <w:widowControl/>
        <w:suppressLineNumbers w:val="0"/>
        <w:jc w:val="left"/>
      </w:pPr>
      <w:r>
        <w:rPr>
          <w:rFonts w:hint="default" w:ascii="TimesNewRomanPS-BoldMT" w:hAnsi="TimesNewRomanPS-BoldMT" w:eastAsia="TimesNewRomanPS-BoldMT" w:cs="TimesNewRomanPS-BoldMT"/>
          <w:b/>
          <w:bCs/>
          <w:color w:val="000000"/>
          <w:kern w:val="0"/>
          <w:sz w:val="20"/>
          <w:szCs w:val="20"/>
          <w:lang w:val="en-US" w:eastAsia="zh-CN" w:bidi="ar"/>
        </w:rPr>
        <w:t xml:space="preserve">*1202 </w:t>
      </w:r>
      <w:r>
        <w:rPr>
          <w:rFonts w:hint="default" w:ascii="TimesNewRomanPS-BoldMT" w:hAnsi="TimesNewRomanPS-BoldMT" w:eastAsia="TimesNewRomanPS-BoldMT" w:cs="TimesNewRomanPS-BoldMT"/>
          <w:b/>
          <w:bCs/>
          <w:color w:val="1F1F1F"/>
          <w:kern w:val="0"/>
          <w:sz w:val="20"/>
          <w:szCs w:val="20"/>
          <w:lang w:val="en-US" w:eastAsia="zh-CN" w:bidi="ar"/>
        </w:rPr>
        <w:t xml:space="preserve">Appeal from the United States District Court for the District of Colorado (D.C. No. 1:14-CV-03118-WYDMEH) </w:t>
      </w:r>
    </w:p>
    <w:p w14:paraId="70C6379C">
      <w:pPr>
        <w:keepNext w:val="0"/>
        <w:keepLines w:val="0"/>
        <w:widowControl/>
        <w:suppressLineNumbers w:val="0"/>
        <w:jc w:val="left"/>
      </w:pPr>
      <w:r>
        <w:rPr>
          <w:rFonts w:hint="default" w:ascii="TimesNewRomanPS-BoldMT" w:hAnsi="TimesNewRomanPS-BoldMT" w:eastAsia="TimesNewRomanPS-BoldMT" w:cs="TimesNewRomanPS-BoldMT"/>
          <w:b/>
          <w:bCs/>
          <w:color w:val="212121"/>
          <w:kern w:val="0"/>
          <w:sz w:val="20"/>
          <w:szCs w:val="20"/>
          <w:lang w:val="en-US" w:eastAsia="zh-CN" w:bidi="ar"/>
        </w:rPr>
        <w:t xml:space="preserve">Attorneys and Law Firms </w:t>
      </w:r>
    </w:p>
    <w:p w14:paraId="0D3315C8">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John S. Lutz</w:t>
      </w:r>
      <w:r>
        <w:rPr>
          <w:rFonts w:hint="default"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006FC4"/>
          <w:kern w:val="0"/>
          <w:sz w:val="20"/>
          <w:szCs w:val="20"/>
          <w:lang w:val="en-US" w:eastAsia="zh-CN" w:bidi="ar"/>
        </w:rPr>
        <w:t>Courtney P. Hirsekorn</w:t>
      </w:r>
      <w:r>
        <w:rPr>
          <w:rFonts w:hint="default" w:ascii="Times New Roman" w:hAnsi="Times New Roman" w:eastAsia="宋体" w:cs="Times New Roman"/>
          <w:color w:val="1F1F1F"/>
          <w:kern w:val="0"/>
          <w:sz w:val="20"/>
          <w:szCs w:val="20"/>
          <w:lang w:val="en-US" w:eastAsia="zh-CN" w:bidi="ar"/>
        </w:rPr>
        <w:t xml:space="preserve">, with him on the briefs), Fairfield and </w:t>
      </w:r>
      <w:r>
        <w:rPr>
          <w:rFonts w:hint="default" w:ascii="TimesNewRomanPS-BoldMT" w:hAnsi="TimesNewRomanPS-BoldMT" w:eastAsia="TimesNewRomanPS-BoldMT" w:cs="TimesNewRomanPS-BoldMT"/>
          <w:b/>
          <w:bCs/>
          <w:color w:val="000000"/>
          <w:kern w:val="0"/>
          <w:sz w:val="20"/>
          <w:szCs w:val="20"/>
          <w:lang w:val="en-US" w:eastAsia="zh-CN" w:bidi="ar"/>
        </w:rPr>
        <w:t>*1203</w:t>
      </w:r>
      <w:r>
        <w:rPr>
          <w:rFonts w:hint="default" w:ascii="Times New Roman" w:hAnsi="Times New Roman" w:eastAsia="宋体" w:cs="Times New Roman"/>
          <w:color w:val="1F1F1F"/>
          <w:kern w:val="0"/>
          <w:sz w:val="20"/>
          <w:szCs w:val="20"/>
          <w:lang w:val="en-US" w:eastAsia="zh-CN" w:bidi="ar"/>
        </w:rPr>
        <w:t xml:space="preserve"> Woods, Denver, Colorado, for Plaintiff– Appellant. </w:t>
      </w:r>
    </w:p>
    <w:p w14:paraId="6667298F">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r>
        <w:rPr>
          <w:rFonts w:hint="default" w:ascii="Times New Roman" w:hAnsi="Times New Roman" w:eastAsia="宋体" w:cs="Times New Roman"/>
          <w:color w:val="006FC4"/>
          <w:kern w:val="0"/>
          <w:sz w:val="20"/>
          <w:szCs w:val="20"/>
          <w:lang w:val="en-US" w:eastAsia="zh-CN" w:bidi="ar"/>
        </w:rPr>
        <w:t>Meghan Paulk Ingle</w:t>
      </w:r>
      <w:r>
        <w:rPr>
          <w:rFonts w:hint="default"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006FC4"/>
          <w:kern w:val="0"/>
          <w:sz w:val="20"/>
          <w:szCs w:val="20"/>
          <w:lang w:val="en-US" w:eastAsia="zh-CN" w:bidi="ar"/>
        </w:rPr>
        <w:t>James R. Nelson</w:t>
      </w:r>
      <w:r>
        <w:rPr>
          <w:rFonts w:hint="default" w:ascii="Times New Roman" w:hAnsi="Times New Roman" w:eastAsia="宋体" w:cs="Times New Roman"/>
          <w:color w:val="1F1F1F"/>
          <w:kern w:val="0"/>
          <w:sz w:val="20"/>
          <w:szCs w:val="20"/>
          <w:lang w:val="en-US" w:eastAsia="zh-CN" w:bidi="ar"/>
        </w:rPr>
        <w:t xml:space="preserve">, DLA Piper, Dallas, Texas, with her on the brief), DLA Piper, Austin, Texas, for Defendant–Appellee. </w:t>
      </w:r>
    </w:p>
    <w:p w14:paraId="079C2F49">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Before </w:t>
      </w:r>
      <w:r>
        <w:rPr>
          <w:rFonts w:hint="default" w:ascii="Times New Roman" w:hAnsi="Times New Roman" w:eastAsia="宋体" w:cs="Times New Roman"/>
          <w:color w:val="006FC4"/>
          <w:kern w:val="0"/>
          <w:sz w:val="20"/>
          <w:szCs w:val="20"/>
          <w:lang w:val="en-US" w:eastAsia="zh-CN" w:bidi="ar"/>
        </w:rPr>
        <w:t>LUCERO</w:t>
      </w:r>
      <w:r>
        <w:rPr>
          <w:rFonts w:hint="default"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006FC4"/>
          <w:kern w:val="0"/>
          <w:sz w:val="20"/>
          <w:szCs w:val="20"/>
          <w:lang w:val="en-US" w:eastAsia="zh-CN" w:bidi="ar"/>
        </w:rPr>
        <w:t>GORSUCH</w:t>
      </w:r>
      <w:r>
        <w:rPr>
          <w:rFonts w:hint="default" w:ascii="Times New Roman" w:hAnsi="Times New Roman" w:eastAsia="宋体" w:cs="Times New Roman"/>
          <w:color w:val="1F1F1F"/>
          <w:kern w:val="0"/>
          <w:sz w:val="20"/>
          <w:szCs w:val="20"/>
          <w:lang w:val="en-US" w:eastAsia="zh-CN" w:bidi="ar"/>
        </w:rPr>
        <w:t xml:space="preserve">, and </w:t>
      </w:r>
      <w:r>
        <w:rPr>
          <w:rFonts w:hint="default" w:ascii="Times New Roman" w:hAnsi="Times New Roman" w:eastAsia="宋体" w:cs="Times New Roman"/>
          <w:color w:val="006FC4"/>
          <w:kern w:val="0"/>
          <w:sz w:val="20"/>
          <w:szCs w:val="20"/>
          <w:lang w:val="en-US" w:eastAsia="zh-CN" w:bidi="ar"/>
        </w:rPr>
        <w:t>PHILLIPS</w:t>
      </w:r>
      <w:r>
        <w:rPr>
          <w:rFonts w:hint="default" w:ascii="Times New Roman" w:hAnsi="Times New Roman" w:eastAsia="宋体" w:cs="Times New Roman"/>
          <w:color w:val="1F1F1F"/>
          <w:kern w:val="0"/>
          <w:sz w:val="20"/>
          <w:szCs w:val="20"/>
          <w:lang w:val="en-US" w:eastAsia="zh-CN" w:bidi="ar"/>
        </w:rPr>
        <w:t xml:space="preserve">, Circuit Judges. </w:t>
      </w:r>
    </w:p>
    <w:p w14:paraId="2AA78A8B">
      <w:pPr>
        <w:keepNext w:val="0"/>
        <w:keepLines w:val="0"/>
        <w:widowControl/>
        <w:suppressLineNumbers w:val="0"/>
        <w:jc w:val="left"/>
      </w:pPr>
      <w:r>
        <w:rPr>
          <w:rFonts w:hint="default" w:ascii="TimesNewRomanPS-BoldMT" w:hAnsi="TimesNewRomanPS-BoldMT" w:eastAsia="TimesNewRomanPS-BoldMT" w:cs="TimesNewRomanPS-BoldMT"/>
          <w:b/>
          <w:bCs/>
          <w:color w:val="212121"/>
          <w:kern w:val="0"/>
          <w:sz w:val="20"/>
          <w:szCs w:val="20"/>
          <w:lang w:val="en-US" w:eastAsia="zh-CN" w:bidi="ar"/>
        </w:rPr>
        <w:t xml:space="preserve">Opinion </w:t>
      </w:r>
    </w:p>
    <w:p w14:paraId="7304AFFE">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LUCERO</w:t>
      </w:r>
      <w:r>
        <w:rPr>
          <w:rFonts w:hint="default" w:ascii="Times New Roman" w:hAnsi="Times New Roman" w:eastAsia="宋体" w:cs="Times New Roman"/>
          <w:color w:val="1F1F1F"/>
          <w:kern w:val="0"/>
          <w:sz w:val="20"/>
          <w:szCs w:val="20"/>
          <w:lang w:val="en-US" w:eastAsia="zh-CN" w:bidi="ar"/>
        </w:rPr>
        <w:t xml:space="preserve">, Circuit Judge. </w:t>
      </w:r>
    </w:p>
    <w:p w14:paraId="10724B45">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CEEG (Shanghai) Solar Science &amp; Technology Co., Ltd. (“CEEG”), a Chinese company, agreed to sell solar energy products to LUMOS, LLC, a United States company. After receiving certain shipments, LUMOS filed a warranty claim alleging workmanship defects, and refused to remit the balance due. After two years of fitful negotiations, CEEG filed an arbitration proceeding pursuant to the parties' agreements. Although the parties had communicated exclusively in English to that point, CEEG served LUMOS with a Chinese-language notice of the proceedings, and LUMOS did not immediately realize what the notice was. After the arbitration panel ruled in its favor, CEEG moved for the district court to confirm the award. LUMOS filed a motion to dismiss, arguing that the Chinese-language notice caused it to miss the deadline to participate in appointing the arbitration panel. The district court granted the motion, finding that the notice was not reasonably calculated to apprise LUMOS of the arbitration proceedings. We agree. Exercising jurisdiction under </w:t>
      </w:r>
      <w:r>
        <w:rPr>
          <w:rFonts w:hint="default" w:ascii="Times New Roman" w:hAnsi="Times New Roman" w:eastAsia="宋体" w:cs="Times New Roman"/>
          <w:color w:val="006FC4"/>
          <w:kern w:val="0"/>
          <w:sz w:val="20"/>
          <w:szCs w:val="20"/>
          <w:lang w:val="en-US" w:eastAsia="zh-CN" w:bidi="ar"/>
        </w:rPr>
        <w:t>28 U.S.C. § 1291</w:t>
      </w:r>
      <w:r>
        <w:rPr>
          <w:rFonts w:hint="default" w:ascii="Times New Roman" w:hAnsi="Times New Roman" w:eastAsia="宋体" w:cs="Times New Roman"/>
          <w:color w:val="1F1F1F"/>
          <w:kern w:val="0"/>
          <w:sz w:val="20"/>
          <w:szCs w:val="20"/>
          <w:lang w:val="en-US" w:eastAsia="zh-CN" w:bidi="ar"/>
        </w:rPr>
        <w:t xml:space="preserve">, we affirm. </w:t>
      </w:r>
    </w:p>
    <w:p w14:paraId="5890ECA0">
      <w:pPr>
        <w:keepNext w:val="0"/>
        <w:keepLines w:val="0"/>
        <w:widowControl/>
        <w:suppressLineNumbers w:val="0"/>
        <w:jc w:val="left"/>
      </w:pPr>
      <w:r>
        <w:rPr>
          <w:rFonts w:hint="default" w:ascii="TimesNewRomanPS-BoldMT" w:hAnsi="TimesNewRomanPS-BoldMT" w:eastAsia="TimesNewRomanPS-BoldMT" w:cs="TimesNewRomanPS-BoldMT"/>
          <w:b/>
          <w:bCs/>
          <w:color w:val="1F1F1F"/>
          <w:kern w:val="0"/>
          <w:sz w:val="20"/>
          <w:szCs w:val="20"/>
          <w:lang w:val="en-US" w:eastAsia="zh-CN" w:bidi="ar"/>
        </w:rPr>
        <w:t xml:space="preserve">I </w:t>
      </w:r>
    </w:p>
    <w:p w14:paraId="09745FFC">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CEEG is a solar panel manufacturer in China. LUMOS is headquartered in Colorado and sells solar energy products to consumers. On June 29, 2009, CEEG and LUMOS entered into a Co-Branding Agreement (the “Agreement”) under which LUMOS agreed to order a certain minimum quantity of solar products from CEEG over a period of three years. The Agreement set forth terms related to pricing, payment, packaging, and delivery. It also contained a warranty provision guaranteeing that CEEG would deliver conforming goods. Under the Agreement, details regarding individual orders were to be set forth in subsequent purchase contracts. The Agreement provided that “all documentation, notices, judicial proceedings, and dispute resolution and arbitration entered into, given, instituted pursuant to, or relating to, this Agreement be drawn up in the English language.” It also provided that any disputes would be subject to arbitration by the China International Economic and Trade Arbitration Commission (“CIETAC”). </w:t>
      </w:r>
    </w:p>
    <w:p w14:paraId="6A855E5B">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29E2789D">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r>
        <w:rPr>
          <w:rFonts w:hint="default" w:ascii="Times New Roman" w:hAnsi="Times New Roman" w:eastAsia="宋体" w:cs="Times New Roman"/>
          <w:color w:val="1F1F1F"/>
          <w:kern w:val="0"/>
          <w:sz w:val="20"/>
          <w:szCs w:val="20"/>
          <w:lang w:val="en-US" w:eastAsia="zh-CN" w:bidi="ar"/>
        </w:rPr>
        <w:t>On May 14, 2010, CEEG and LUMOS executed a Sales Contract (the “Contract”), which provided that after receiving a deposit payment, CEEG would deliver certain solar products to LUMOS. LUMOS was required to pay the remaining balance within sixty days of shipping. As did the Agreement, the Contract contained a provision that CIETAC would resolve any dispute. However, unlike the Agreement, the Contract did not stipulate that arbitration proceedings would be in English, and instead indicated only that any arbitration “shall be conducted in accordance with [CIETAC's] arbitration rules.” Under CIETAC's arbitration rules, if “the parties have agreed on the language of arbitration, their agreement shall prevail. In the absence of such agreement, the language of arbitration ... shall be Chinese or any other language designated by CIETAC having regard to the circumstances of the case.” CIETAC Rules art. 71 § 1. The Contract also stated if its Chinese</w:t>
      </w:r>
      <w:r>
        <w:rPr>
          <w:rFonts w:hint="eastAsia"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1F1F1F"/>
          <w:kern w:val="0"/>
          <w:sz w:val="20"/>
          <w:szCs w:val="20"/>
          <w:lang w:val="en-US" w:eastAsia="zh-CN" w:bidi="ar"/>
        </w:rPr>
        <w:t xml:space="preserve">and English versions conflicted, the English version would govern. Additionally, although the Contract did not contain a warranty provision, it did provide </w:t>
      </w:r>
      <w:r>
        <w:rPr>
          <w:rFonts w:ascii="TimesNewRomanPS-BoldMT" w:hAnsi="TimesNewRomanPS-BoldMT" w:eastAsia="TimesNewRomanPS-BoldMT" w:cs="TimesNewRomanPS-BoldMT"/>
          <w:b/>
          <w:bCs/>
          <w:color w:val="000000"/>
          <w:kern w:val="0"/>
          <w:sz w:val="20"/>
          <w:szCs w:val="20"/>
          <w:lang w:val="en-US" w:eastAsia="zh-CN" w:bidi="ar"/>
        </w:rPr>
        <w:t>*1204</w:t>
      </w:r>
      <w:r>
        <w:rPr>
          <w:rFonts w:hint="default" w:ascii="Times New Roman" w:hAnsi="Times New Roman" w:eastAsia="宋体" w:cs="Times New Roman"/>
          <w:color w:val="1F1F1F"/>
          <w:kern w:val="0"/>
          <w:sz w:val="20"/>
          <w:szCs w:val="20"/>
          <w:lang w:val="en-US" w:eastAsia="zh-CN" w:bidi="ar"/>
        </w:rPr>
        <w:t xml:space="preserve"> that LUMOS could file a “quality discrepancy” claim within thirty days of</w:t>
      </w:r>
      <w:r>
        <w:rPr>
          <w:rFonts w:hint="eastAsia"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1F1F1F"/>
          <w:kern w:val="0"/>
          <w:sz w:val="20"/>
          <w:szCs w:val="20"/>
          <w:lang w:val="en-US" w:eastAsia="zh-CN" w:bidi="ar"/>
        </w:rPr>
        <w:t>receiving the goods.</w:t>
      </w:r>
    </w:p>
    <w:p w14:paraId="375986E6">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78FF0561">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LUMOS made the deposit payment and CEEG delivered solar products in two shipments. LUMOS alleged that the delivered goods were defective. LUMOS thus filed a warranty claim with CEEG, stating that it would not pay the outstanding balance of $1,372,445.10 until the warranty claim was </w:t>
      </w:r>
    </w:p>
    <w:p w14:paraId="547B627F">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addressed. A CEEG manager advised LUMOS to replace defective panels using LUMOS' existing inventory, indicated “there is no problem for replacing,” and explained that “[r]eplacing panels definitely need [sic] to be done ASAP, no matter what is the final settlement.” Based on these comments, LUMOS used product from its inventory and requested replacement product, but never received substitutes from CEEG. </w:t>
      </w:r>
    </w:p>
    <w:p w14:paraId="37E40135">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492203F0">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Over the following two years, the companies exchanged numerous emails about the allegedly defective goods. In May 2011, CEEG performed an on-site inspection. The inspector confirmed the modules were defective, but CEEG did not act to remedy the defects. Instead, on December 19, 2012, CEEG </w:t>
      </w:r>
    </w:p>
    <w:p w14:paraId="1C84397B">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sent a letter demanding payment and threatening legal action. LUMOS responded that it was withholding payment pending resolution of the warranty claim. In a January 24, 2013 letter, </w:t>
      </w:r>
    </w:p>
    <w:p w14:paraId="6527A92F">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CEEG stated its belief that the warranty claim arose under a different purchase contract and could not excuse a payment obligation under the Contract. The January 24 letter again demanded payment and asserted that failure to pay would result in an arbitration claim filed with CIETAC. On the same day, LUMOS responded with an email in which it again declined to pay and requested good-faith efforts to resolve the warranty claims outside of arbitration. The email also stated that it would “fight to protect [LUMOS'] interests ... with the full the [sic] force of our legal council [sic] and the resources available to us from the US Department of Commerce and the International Trade Commission.” CEEG filed its arbitration claim with CIETAC on March 22, 2013. </w:t>
      </w:r>
    </w:p>
    <w:p w14:paraId="2B21E1D7">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4F54D304">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On April 4, 2013, an arbitration notice and other documents were delivered to LUMOS. The documents were entirely in Chinese, except that the name of CEEG's counsel appeared in English and the numerical value of the outstanding payment ($1,372,445.10) appeared in Arabic numerals. Although the shipping label identified CIETAC as the sender in English, LUMOS claims its executives never viewed the label. Thus, LUMOS did not realize that the documents purported to constitute notice of arbitration. Scott Franklin, LUMOS' CEO, set the Chinese letter aside and made a note to follow up with CEEG. </w:t>
      </w:r>
    </w:p>
    <w:p w14:paraId="1B3159F6">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06017FB6">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LUMOS had fifteen days after receiving notice to appoint an arbitrator. CIETAC Rules art. 25. But because LUMOS did not realize the documents were a notice of arbitration, it did not respond within that window. On May 7, 2013—after the appointment window had closed—Franklin sent an email to CEEG offering to settle the dispute, and attaching a copy of the Chinese documents with a note that LUMOS could not understand the documents. CEEG's counsel responded in an email, stating: the letter you received was from CIETAC, the arbitration institution to which Lumos [sic] agreed in its sales contracts with CEEG.... The contractual arbitration clause did not specify a language for the arbitration and the CIETAC default language is Chinese. Your company has been sued in arbitration in China. I recommend you seek counsel and avoid the risk of an adverse award for failure to defend your company in the arbitration. </w:t>
      </w:r>
    </w:p>
    <w:p w14:paraId="562900A1">
      <w:pPr>
        <w:keepNext w:val="0"/>
        <w:keepLines w:val="0"/>
        <w:widowControl/>
        <w:suppressLineNumbers w:val="0"/>
        <w:jc w:val="left"/>
      </w:pPr>
      <w:r>
        <w:rPr>
          <w:rFonts w:ascii="TimesNewRomanPS-BoldMT" w:hAnsi="TimesNewRomanPS-BoldMT" w:eastAsia="TimesNewRomanPS-BoldMT" w:cs="TimesNewRomanPS-BoldMT"/>
          <w:b/>
          <w:bCs/>
          <w:color w:val="000000"/>
          <w:kern w:val="0"/>
          <w:sz w:val="20"/>
          <w:szCs w:val="20"/>
          <w:lang w:val="en-US" w:eastAsia="zh-CN" w:bidi="ar"/>
        </w:rPr>
        <w:t>*1205</w:t>
      </w:r>
      <w:r>
        <w:rPr>
          <w:rFonts w:hint="default" w:ascii="Times New Roman" w:hAnsi="Times New Roman" w:eastAsia="宋体" w:cs="Times New Roman"/>
          <w:color w:val="1F1F1F"/>
          <w:kern w:val="0"/>
          <w:sz w:val="20"/>
          <w:szCs w:val="20"/>
          <w:lang w:val="en-US" w:eastAsia="zh-CN" w:bidi="ar"/>
        </w:rPr>
        <w:t xml:space="preserve"> In the email, counsel stated she would send the settlement proposal to CEEG for consideration. On May 20, Franklin asked for a response regarding the settlement proposal. CEEG rejected the offer. </w:t>
      </w:r>
    </w:p>
    <w:p w14:paraId="4D4DEC8C">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41F98907">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After receiving actual notice of the arbitration, LUMOS worked diligently to secure Chinese counsel for the arbitration proceedings. The process of securing counsel was complicated, and took several weeks to complete. Meanwhile, on May 27, 2013, CIETAC and CEEG appointed arbitrators without input from LUMOS. </w:t>
      </w:r>
    </w:p>
    <w:p w14:paraId="1D42B22E">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49CBEC9F">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On June 20, 2013—a week prior to the scheduled arbitration —LUMOS' counsel recommended that Franklin request a two-month extension to prepare for the arbitration. The arbitrators granted the extension, rescheduling the hearing for September 14, 2013. At the hearing, which was conducted in Chinese, LUMOS argued that the defects in delivered goods relieved LUMOS of its payment obligation under the Agreement's warranty provision, which should be read to apply to the Contract. However, the arbitration panel disagreed that the Agreement's warranty provision applied, holding that the two contracts “are not consistent in terms of such important clauses as quantity, delivery, [and] payment of the contractual subject matters” and thus “[i]t cannot be concluded that the Sales Contract refers to a contract for a certain batch under the Co-Branding Agreement.”It held, “the stipulations concerning quality assurance and warranty period under the Co-Branding Agreement quoted by [LUMOS] have no binding force on the Sales Contract.” The panel also observed that CIETAC had jurisdiction under the arbitration clauses in the Contract, not the Agreement, and thus the Agreement did “not fall within the scope of trial of this case.” Accordingly, it concluded LUMOS could not raise its warranty defenses. On June 13, 2014, the panel determined that LUMOS had breached its payment obligations and ordered it to pay the outstanding principal plus interest, costs, and attorneys' fees. </w:t>
      </w:r>
    </w:p>
    <w:p w14:paraId="027EA85F">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64B84716">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CEEG then moved for confirmation of the arbitration award under the Federal Arbitration Act, </w:t>
      </w:r>
      <w:r>
        <w:rPr>
          <w:rFonts w:hint="default" w:ascii="Times New Roman" w:hAnsi="Times New Roman" w:eastAsia="宋体" w:cs="Times New Roman"/>
          <w:color w:val="006FC4"/>
          <w:kern w:val="0"/>
          <w:sz w:val="20"/>
          <w:szCs w:val="20"/>
          <w:lang w:val="en-US" w:eastAsia="zh-CN" w:bidi="ar"/>
        </w:rPr>
        <w:t xml:space="preserve">9 U.S.C. § 1 et seq., </w:t>
      </w:r>
      <w:r>
        <w:rPr>
          <w:rFonts w:hint="default" w:ascii="Times New Roman" w:hAnsi="Times New Roman" w:eastAsia="宋体" w:cs="Times New Roman"/>
          <w:color w:val="1F1F1F"/>
          <w:kern w:val="0"/>
          <w:sz w:val="20"/>
          <w:szCs w:val="20"/>
          <w:lang w:val="en-US" w:eastAsia="zh-CN" w:bidi="ar"/>
        </w:rPr>
        <w:t>and the Convention on the Recognition and Enforcement of Foreign Arbitral Awards (the “</w:t>
      </w:r>
      <w:r>
        <w:rPr>
          <w:rFonts w:hint="default" w:ascii="TimesNewRomanPS-BoldMT" w:hAnsi="TimesNewRomanPS-BoldMT" w:eastAsia="TimesNewRomanPS-BoldMT" w:cs="TimesNewRomanPS-BoldMT"/>
          <w:b/>
          <w:bCs/>
          <w:color w:val="252525"/>
          <w:kern w:val="0"/>
          <w:sz w:val="20"/>
          <w:szCs w:val="20"/>
          <w:lang w:val="en-US" w:eastAsia="zh-CN" w:bidi="ar"/>
        </w:rPr>
        <w:t>New York Convention</w:t>
      </w:r>
      <w:r>
        <w:rPr>
          <w:rFonts w:hint="default" w:ascii="Times New Roman" w:hAnsi="Times New Roman" w:eastAsia="宋体" w:cs="Times New Roman"/>
          <w:color w:val="1F1F1F"/>
          <w:kern w:val="0"/>
          <w:sz w:val="20"/>
          <w:szCs w:val="20"/>
          <w:lang w:val="en-US" w:eastAsia="zh-CN" w:bidi="ar"/>
        </w:rPr>
        <w:t xml:space="preserve">”). See </w:t>
      </w:r>
      <w:r>
        <w:rPr>
          <w:rFonts w:hint="default" w:ascii="TimesNewRomanPS-BoldMT" w:hAnsi="TimesNewRomanPS-BoldMT" w:eastAsia="TimesNewRomanPS-BoldMT" w:cs="TimesNewRomanPS-BoldMT"/>
          <w:b/>
          <w:bCs/>
          <w:color w:val="252525"/>
          <w:kern w:val="0"/>
          <w:sz w:val="20"/>
          <w:szCs w:val="20"/>
          <w:lang w:val="en-US" w:eastAsia="zh-CN" w:bidi="ar"/>
        </w:rPr>
        <w:t>New York Convention</w:t>
      </w:r>
      <w:r>
        <w:rPr>
          <w:rFonts w:hint="default" w:ascii="Times New Roman" w:hAnsi="Times New Roman" w:eastAsia="宋体" w:cs="Times New Roman"/>
          <w:color w:val="006FC4"/>
          <w:kern w:val="0"/>
          <w:sz w:val="20"/>
          <w:szCs w:val="20"/>
          <w:lang w:val="en-US" w:eastAsia="zh-CN" w:bidi="ar"/>
        </w:rPr>
        <w:t>, art. IV, June 10, 1958, 21 U.S.T. 2517</w:t>
      </w:r>
      <w:r>
        <w:rPr>
          <w:rFonts w:hint="default" w:ascii="Times New Roman" w:hAnsi="Times New Roman" w:eastAsia="宋体" w:cs="Times New Roman"/>
          <w:color w:val="1F1F1F"/>
          <w:kern w:val="0"/>
          <w:sz w:val="20"/>
          <w:szCs w:val="20"/>
          <w:lang w:val="en-US" w:eastAsia="zh-CN" w:bidi="ar"/>
        </w:rPr>
        <w:t xml:space="preserve"> (a party may apply “for recognition and enforcement” of an arbitral award subject to the Convention). LUMOS filed a motion to dismiss, arguing, inter alia, that the notice of the arbitration proceedings was insufficient and violated the due process exception to enforcement under the </w:t>
      </w:r>
      <w:r>
        <w:rPr>
          <w:rFonts w:hint="default" w:ascii="TimesNewRomanPS-BoldMT" w:hAnsi="TimesNewRomanPS-BoldMT" w:eastAsia="TimesNewRomanPS-BoldMT" w:cs="TimesNewRomanPS-BoldMT"/>
          <w:b/>
          <w:bCs/>
          <w:color w:val="252525"/>
          <w:kern w:val="0"/>
          <w:sz w:val="20"/>
          <w:szCs w:val="20"/>
          <w:lang w:val="en-US" w:eastAsia="zh-CN" w:bidi="ar"/>
        </w:rPr>
        <w:t>New York Convention</w:t>
      </w:r>
      <w:r>
        <w:rPr>
          <w:rFonts w:hint="default" w:ascii="Times New Roman" w:hAnsi="Times New Roman" w:eastAsia="宋体" w:cs="Times New Roman"/>
          <w:color w:val="1F1F1F"/>
          <w:kern w:val="0"/>
          <w:sz w:val="20"/>
          <w:szCs w:val="20"/>
          <w:lang w:val="en-US" w:eastAsia="zh-CN" w:bidi="ar"/>
        </w:rPr>
        <w:t xml:space="preserve">. The district court agreed that the Chineselanguage notice was not reasonably calculated to apprise LUMOS of the proceedings because all interactions between CEEG and LUMOS up to the point of the arbitration notice had been in English, and both the Agreement and the Contract reinforced that interactions between the parties were to proceed in English. The court also observed that the Agreement's choice of language provision should have governed the arbitration because that document was the “master agreement” which served as an “umbrella” setting forth the terms for LUMOS' and CEEG's business relationship. Thus, the district court denied the motion to confirm the arbitration award, and granted the motion to dismiss with prejudice. This appeal followed. </w:t>
      </w:r>
    </w:p>
    <w:p w14:paraId="735E5248">
      <w:pPr>
        <w:keepNext w:val="0"/>
        <w:keepLines w:val="0"/>
        <w:widowControl/>
        <w:suppressLineNumbers w:val="0"/>
        <w:jc w:val="left"/>
        <w:rPr>
          <w:rFonts w:hint="default" w:ascii="TimesNewRomanPS-BoldMT" w:hAnsi="TimesNewRomanPS-BoldMT" w:eastAsia="TimesNewRomanPS-BoldMT" w:cs="TimesNewRomanPS-BoldMT"/>
          <w:b/>
          <w:bCs/>
          <w:color w:val="1F1F1F"/>
          <w:kern w:val="0"/>
          <w:sz w:val="20"/>
          <w:szCs w:val="20"/>
          <w:lang w:val="en-US" w:eastAsia="zh-CN" w:bidi="ar"/>
        </w:rPr>
      </w:pPr>
    </w:p>
    <w:p w14:paraId="2493B905">
      <w:pPr>
        <w:keepNext w:val="0"/>
        <w:keepLines w:val="0"/>
        <w:widowControl/>
        <w:suppressLineNumbers w:val="0"/>
        <w:jc w:val="left"/>
      </w:pPr>
      <w:r>
        <w:rPr>
          <w:rFonts w:hint="default" w:ascii="TimesNewRomanPS-BoldMT" w:hAnsi="TimesNewRomanPS-BoldMT" w:eastAsia="TimesNewRomanPS-BoldMT" w:cs="TimesNewRomanPS-BoldMT"/>
          <w:b/>
          <w:bCs/>
          <w:color w:val="1F1F1F"/>
          <w:kern w:val="0"/>
          <w:sz w:val="20"/>
          <w:szCs w:val="20"/>
          <w:lang w:val="en-US" w:eastAsia="zh-CN" w:bidi="ar"/>
        </w:rPr>
        <w:t xml:space="preserve">II </w:t>
      </w:r>
    </w:p>
    <w:p w14:paraId="7DABB39C">
      <w:pPr>
        <w:keepNext w:val="0"/>
        <w:keepLines w:val="0"/>
        <w:widowControl/>
        <w:suppressLineNumbers w:val="0"/>
        <w:jc w:val="left"/>
      </w:pPr>
      <w:r>
        <w:rPr>
          <w:rFonts w:hint="default" w:ascii="TimesNewRomanPS-BoldMT" w:hAnsi="TimesNewRomanPS-BoldMT" w:eastAsia="TimesNewRomanPS-BoldMT" w:cs="TimesNewRomanPS-BoldMT"/>
          <w:b/>
          <w:bCs/>
          <w:color w:val="252525"/>
          <w:kern w:val="0"/>
          <w:sz w:val="20"/>
          <w:szCs w:val="20"/>
          <w:lang w:val="en-US" w:eastAsia="zh-CN" w:bidi="ar"/>
        </w:rPr>
        <w:t xml:space="preserve">[1] [2] </w:t>
      </w:r>
      <w:r>
        <w:rPr>
          <w:rFonts w:hint="default" w:ascii="Times New Roman" w:hAnsi="Times New Roman" w:eastAsia="宋体" w:cs="Times New Roman"/>
          <w:color w:val="1F1F1F"/>
          <w:kern w:val="0"/>
          <w:sz w:val="20"/>
          <w:szCs w:val="20"/>
          <w:lang w:val="en-US" w:eastAsia="zh-CN" w:bidi="ar"/>
        </w:rPr>
        <w:t xml:space="preserve">In reviewing a district court's decision regarding confirmation of an arbitration award, we review legal questions de novo and factual findings for clear error. </w:t>
      </w:r>
      <w:r>
        <w:rPr>
          <w:rFonts w:hint="default" w:ascii="Times New Roman" w:hAnsi="Times New Roman" w:eastAsia="宋体" w:cs="Times New Roman"/>
          <w:color w:val="006FC4"/>
          <w:kern w:val="0"/>
          <w:sz w:val="20"/>
          <w:szCs w:val="20"/>
          <w:lang w:val="en-US" w:eastAsia="zh-CN" w:bidi="ar"/>
        </w:rPr>
        <w:t>Dominion Video Satellite, Inc. v. Echostar Satellite L.L.C., 430 F.3d 1269, 1275 (10th Cir. 2005)</w:t>
      </w:r>
      <w:r>
        <w:rPr>
          <w:rFonts w:hint="default" w:ascii="Times New Roman" w:hAnsi="Times New Roman" w:eastAsia="宋体" w:cs="Times New Roman"/>
          <w:color w:val="1F1F1F"/>
          <w:kern w:val="0"/>
          <w:sz w:val="20"/>
          <w:szCs w:val="20"/>
          <w:lang w:val="en-US" w:eastAsia="zh-CN" w:bidi="ar"/>
        </w:rPr>
        <w:t xml:space="preserve">. An error is clear “if the district court's findings lack factual support </w:t>
      </w:r>
      <w:r>
        <w:rPr>
          <w:rFonts w:hint="default" w:ascii="TimesNewRomanPS-BoldMT" w:hAnsi="TimesNewRomanPS-BoldMT" w:eastAsia="TimesNewRomanPS-BoldMT" w:cs="TimesNewRomanPS-BoldMT"/>
          <w:b/>
          <w:bCs/>
          <w:color w:val="000000"/>
          <w:kern w:val="0"/>
          <w:sz w:val="20"/>
          <w:szCs w:val="20"/>
          <w:lang w:val="en-US" w:eastAsia="zh-CN" w:bidi="ar"/>
        </w:rPr>
        <w:t>*1206</w:t>
      </w:r>
      <w:r>
        <w:rPr>
          <w:rFonts w:hint="default" w:ascii="Times New Roman" w:hAnsi="Times New Roman" w:eastAsia="宋体" w:cs="Times New Roman"/>
          <w:color w:val="1F1F1F"/>
          <w:kern w:val="0"/>
          <w:sz w:val="20"/>
          <w:szCs w:val="20"/>
          <w:lang w:val="en-US" w:eastAsia="zh-CN" w:bidi="ar"/>
        </w:rPr>
        <w:t xml:space="preserve"> in the record or if, after reviewing all the evidence, we have a definite and firm conviction that the district court erred.” See </w:t>
      </w:r>
      <w:r>
        <w:rPr>
          <w:rFonts w:hint="default" w:ascii="Times New Roman" w:hAnsi="Times New Roman" w:eastAsia="宋体" w:cs="Times New Roman"/>
          <w:color w:val="006FC4"/>
          <w:kern w:val="0"/>
          <w:sz w:val="20"/>
          <w:szCs w:val="20"/>
          <w:lang w:val="en-US" w:eastAsia="zh-CN" w:bidi="ar"/>
        </w:rPr>
        <w:t>Middleton v. Stephenson, 749 F.3d 1197, 1201 (10th Cir. 2014)</w:t>
      </w:r>
      <w:r>
        <w:rPr>
          <w:rFonts w:hint="default" w:ascii="Times New Roman" w:hAnsi="Times New Roman" w:eastAsia="宋体" w:cs="Times New Roman"/>
          <w:color w:val="1F1F1F"/>
          <w:kern w:val="0"/>
          <w:sz w:val="20"/>
          <w:szCs w:val="20"/>
          <w:lang w:val="en-US" w:eastAsia="zh-CN" w:bidi="ar"/>
        </w:rPr>
        <w:t xml:space="preserve">. </w:t>
      </w:r>
    </w:p>
    <w:p w14:paraId="16AEC0E6">
      <w:pPr>
        <w:keepNext w:val="0"/>
        <w:keepLines w:val="0"/>
        <w:widowControl/>
        <w:suppressLineNumbers w:val="0"/>
        <w:jc w:val="left"/>
        <w:rPr>
          <w:rFonts w:hint="default" w:ascii="TimesNewRomanPS-BoldMT" w:hAnsi="TimesNewRomanPS-BoldMT" w:eastAsia="TimesNewRomanPS-BoldMT" w:cs="TimesNewRomanPS-BoldMT"/>
          <w:b/>
          <w:bCs/>
          <w:color w:val="252525"/>
          <w:kern w:val="0"/>
          <w:sz w:val="20"/>
          <w:szCs w:val="20"/>
          <w:lang w:val="en-US" w:eastAsia="zh-CN" w:bidi="ar"/>
        </w:rPr>
      </w:pPr>
    </w:p>
    <w:p w14:paraId="53DA48CE">
      <w:pPr>
        <w:keepNext w:val="0"/>
        <w:keepLines w:val="0"/>
        <w:widowControl/>
        <w:suppressLineNumbers w:val="0"/>
        <w:jc w:val="left"/>
      </w:pPr>
      <w:r>
        <w:rPr>
          <w:rFonts w:hint="default" w:ascii="TimesNewRomanPS-BoldMT" w:hAnsi="TimesNewRomanPS-BoldMT" w:eastAsia="TimesNewRomanPS-BoldMT" w:cs="TimesNewRomanPS-BoldMT"/>
          <w:b/>
          <w:bCs/>
          <w:color w:val="252525"/>
          <w:kern w:val="0"/>
          <w:sz w:val="20"/>
          <w:szCs w:val="20"/>
          <w:lang w:val="en-US" w:eastAsia="zh-CN" w:bidi="ar"/>
        </w:rPr>
        <w:t xml:space="preserve">[3] [4] [5] </w:t>
      </w:r>
      <w:r>
        <w:rPr>
          <w:rFonts w:hint="default" w:ascii="Times New Roman" w:hAnsi="Times New Roman" w:eastAsia="宋体" w:cs="Times New Roman"/>
          <w:color w:val="1F1F1F"/>
          <w:kern w:val="0"/>
          <w:sz w:val="20"/>
          <w:szCs w:val="20"/>
          <w:lang w:val="en-US" w:eastAsia="zh-CN" w:bidi="ar"/>
        </w:rPr>
        <w:t xml:space="preserve">We do not owe deference to the district court's legal conclusions, but we afford “maximum deference” to the arbitrators' decisions. See </w:t>
      </w:r>
      <w:r>
        <w:rPr>
          <w:rFonts w:hint="default" w:ascii="Times New Roman" w:hAnsi="Times New Roman" w:eastAsia="宋体" w:cs="Times New Roman"/>
          <w:color w:val="006FC4"/>
          <w:kern w:val="0"/>
          <w:sz w:val="20"/>
          <w:szCs w:val="20"/>
          <w:lang w:val="en-US" w:eastAsia="zh-CN" w:bidi="ar"/>
        </w:rPr>
        <w:t>ARW Expl. Corp. v. Aguirre, 45 F.3d 1455, 1462 (10th Cir. 1995)</w:t>
      </w:r>
      <w:r>
        <w:rPr>
          <w:rFonts w:hint="default" w:ascii="Times New Roman" w:hAnsi="Times New Roman" w:eastAsia="宋体" w:cs="Times New Roman"/>
          <w:color w:val="1F1F1F"/>
          <w:kern w:val="0"/>
          <w:sz w:val="20"/>
          <w:szCs w:val="20"/>
          <w:lang w:val="en-US" w:eastAsia="zh-CN" w:bidi="ar"/>
        </w:rPr>
        <w:t xml:space="preserve">. Our standard of review of arbitral awards “is among the narrowest known to the law.” </w:t>
      </w:r>
      <w:r>
        <w:rPr>
          <w:rFonts w:hint="default" w:ascii="Times New Roman" w:hAnsi="Times New Roman" w:eastAsia="宋体" w:cs="Times New Roman"/>
          <w:color w:val="006FC4"/>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(quotation omitted). We are “not authorized to reconsider the merits of an award even though the parties may allege that the award rests on errors of fact or on misinterpretation of the contract.” </w:t>
      </w:r>
      <w:r>
        <w:rPr>
          <w:rFonts w:hint="default" w:ascii="Times New Roman" w:hAnsi="Times New Roman" w:eastAsia="宋体" w:cs="Times New Roman"/>
          <w:color w:val="006FC4"/>
          <w:kern w:val="0"/>
          <w:sz w:val="20"/>
          <w:szCs w:val="20"/>
          <w:lang w:val="en-US" w:eastAsia="zh-CN" w:bidi="ar"/>
        </w:rPr>
        <w:t>United Paperworkers Int'l Union, AFL–CIO v. Misco, Inc., 484 U.S. 29, 36, 108 S.Ct. 364, 98 L.Ed.2d 286 (1987)</w:t>
      </w:r>
      <w:r>
        <w:rPr>
          <w:rFonts w:hint="default" w:ascii="Times New Roman" w:hAnsi="Times New Roman" w:eastAsia="宋体" w:cs="Times New Roman"/>
          <w:color w:val="1F1F1F"/>
          <w:kern w:val="0"/>
          <w:sz w:val="20"/>
          <w:szCs w:val="20"/>
          <w:lang w:val="en-US" w:eastAsia="zh-CN" w:bidi="ar"/>
        </w:rPr>
        <w:t xml:space="preserve">. Thus, “[a]n arbitrator's erroneous interpretations or applications of law are not reversible.” </w:t>
      </w:r>
      <w:r>
        <w:rPr>
          <w:rFonts w:hint="default" w:ascii="Times New Roman" w:hAnsi="Times New Roman" w:eastAsia="宋体" w:cs="Times New Roman"/>
          <w:color w:val="006FC4"/>
          <w:kern w:val="0"/>
          <w:sz w:val="20"/>
          <w:szCs w:val="20"/>
          <w:lang w:val="en-US" w:eastAsia="zh-CN" w:bidi="ar"/>
        </w:rPr>
        <w:t>ARW Expl. Corp., 45 F.3d at 1463</w:t>
      </w:r>
      <w:r>
        <w:rPr>
          <w:rFonts w:hint="default" w:ascii="Times New Roman" w:hAnsi="Times New Roman" w:eastAsia="宋体" w:cs="Times New Roman"/>
          <w:color w:val="1F1F1F"/>
          <w:kern w:val="0"/>
          <w:sz w:val="20"/>
          <w:szCs w:val="20"/>
          <w:lang w:val="en-US" w:eastAsia="zh-CN" w:bidi="ar"/>
        </w:rPr>
        <w:t xml:space="preserve">. Although </w:t>
      </w:r>
    </w:p>
    <w:p w14:paraId="5D31F721">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6D6B17CA">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[t]he arbitrator may not ignore the plain language of the contract ...[,] as long as the arbitrator is even arguably construing or applying the contract and acting within the scope of his authority, that a court is convinced he committed serious error does not suffice to overturn his decision. </w:t>
      </w:r>
    </w:p>
    <w:p w14:paraId="66D8F3CC">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United Paperworkers Int'l Union, 484 U.S. at 38, 108 S.Ct. 364</w:t>
      </w:r>
      <w:r>
        <w:rPr>
          <w:rFonts w:hint="default" w:ascii="Times New Roman" w:hAnsi="Times New Roman" w:eastAsia="宋体" w:cs="Times New Roman"/>
          <w:color w:val="1F1F1F"/>
          <w:kern w:val="0"/>
          <w:sz w:val="20"/>
          <w:szCs w:val="20"/>
          <w:lang w:val="en-US" w:eastAsia="zh-CN" w:bidi="ar"/>
        </w:rPr>
        <w:t xml:space="preserve">. </w:t>
      </w:r>
    </w:p>
    <w:p w14:paraId="0766AFA5">
      <w:pPr>
        <w:keepNext w:val="0"/>
        <w:keepLines w:val="0"/>
        <w:widowControl/>
        <w:suppressLineNumbers w:val="0"/>
        <w:jc w:val="left"/>
        <w:rPr>
          <w:rFonts w:hint="default" w:ascii="TimesNewRomanPS-BoldMT" w:hAnsi="TimesNewRomanPS-BoldMT" w:eastAsia="TimesNewRomanPS-BoldMT" w:cs="TimesNewRomanPS-BoldMT"/>
          <w:b/>
          <w:bCs/>
          <w:color w:val="252525"/>
          <w:kern w:val="0"/>
          <w:sz w:val="20"/>
          <w:szCs w:val="20"/>
          <w:lang w:val="en-US" w:eastAsia="zh-CN" w:bidi="ar"/>
        </w:rPr>
      </w:pPr>
    </w:p>
    <w:p w14:paraId="365E382C">
      <w:pPr>
        <w:keepNext w:val="0"/>
        <w:keepLines w:val="0"/>
        <w:widowControl/>
        <w:suppressLineNumbers w:val="0"/>
        <w:jc w:val="left"/>
      </w:pPr>
      <w:r>
        <w:rPr>
          <w:rFonts w:hint="default" w:ascii="TimesNewRomanPS-BoldMT" w:hAnsi="TimesNewRomanPS-BoldMT" w:eastAsia="TimesNewRomanPS-BoldMT" w:cs="TimesNewRomanPS-BoldMT"/>
          <w:b/>
          <w:bCs/>
          <w:color w:val="252525"/>
          <w:kern w:val="0"/>
          <w:sz w:val="20"/>
          <w:szCs w:val="20"/>
          <w:lang w:val="en-US" w:eastAsia="zh-CN" w:bidi="ar"/>
        </w:rPr>
        <w:t xml:space="preserve">[6] [7] </w:t>
      </w:r>
      <w:r>
        <w:rPr>
          <w:rFonts w:hint="default" w:ascii="Times New Roman" w:hAnsi="Times New Roman" w:eastAsia="宋体" w:cs="Times New Roman"/>
          <w:color w:val="1F1F1F"/>
          <w:kern w:val="0"/>
          <w:sz w:val="20"/>
          <w:szCs w:val="20"/>
          <w:lang w:val="en-US" w:eastAsia="zh-CN" w:bidi="ar"/>
        </w:rPr>
        <w:t xml:space="preserve">Under the </w:t>
      </w:r>
      <w:r>
        <w:rPr>
          <w:rFonts w:hint="default" w:ascii="TimesNewRomanPS-BoldMT" w:hAnsi="TimesNewRomanPS-BoldMT" w:eastAsia="TimesNewRomanPS-BoldMT" w:cs="TimesNewRomanPS-BoldMT"/>
          <w:b/>
          <w:bCs/>
          <w:color w:val="252525"/>
          <w:kern w:val="0"/>
          <w:sz w:val="20"/>
          <w:szCs w:val="20"/>
          <w:lang w:val="en-US" w:eastAsia="zh-CN" w:bidi="ar"/>
        </w:rPr>
        <w:t>New York Convention</w:t>
      </w:r>
      <w:r>
        <w:rPr>
          <w:rFonts w:hint="default" w:ascii="Times New Roman" w:hAnsi="Times New Roman" w:eastAsia="宋体" w:cs="Times New Roman"/>
          <w:color w:val="1F1F1F"/>
          <w:kern w:val="0"/>
          <w:sz w:val="20"/>
          <w:szCs w:val="20"/>
          <w:lang w:val="en-US" w:eastAsia="zh-CN" w:bidi="ar"/>
        </w:rPr>
        <w:t xml:space="preserve">, a court must “confirm the award unless it finds one of the grounds for refusal or deferral of recognition or enforcement of the award specified in the said Convention.” </w:t>
      </w:r>
      <w:r>
        <w:rPr>
          <w:rFonts w:hint="default" w:ascii="Times New Roman" w:hAnsi="Times New Roman" w:eastAsia="宋体" w:cs="Times New Roman"/>
          <w:color w:val="006FC4"/>
          <w:kern w:val="0"/>
          <w:sz w:val="20"/>
          <w:szCs w:val="20"/>
          <w:lang w:val="en-US" w:eastAsia="zh-CN" w:bidi="ar"/>
        </w:rPr>
        <w:t>9 U.S.C. § 207</w:t>
      </w:r>
      <w:r>
        <w:rPr>
          <w:rFonts w:hint="default" w:ascii="Times New Roman" w:hAnsi="Times New Roman" w:eastAsia="宋体" w:cs="Times New Roman"/>
          <w:color w:val="1F1F1F"/>
          <w:kern w:val="0"/>
          <w:sz w:val="20"/>
          <w:szCs w:val="20"/>
          <w:lang w:val="en-US" w:eastAsia="zh-CN" w:bidi="ar"/>
        </w:rPr>
        <w:t xml:space="preserve">; see also </w:t>
      </w:r>
      <w:r>
        <w:rPr>
          <w:rFonts w:hint="default" w:ascii="Times New Roman" w:hAnsi="Times New Roman" w:eastAsia="宋体" w:cs="Times New Roman"/>
          <w:color w:val="006FC4"/>
          <w:kern w:val="0"/>
          <w:sz w:val="20"/>
          <w:szCs w:val="20"/>
          <w:lang w:val="en-US" w:eastAsia="zh-CN" w:bidi="ar"/>
        </w:rPr>
        <w:t>Encyclopaedia Universalis S.A. v. Encyclopaedia Britannica, Inc., 403 F.3d 85, 90 (2d Cir. 2005)</w:t>
      </w:r>
      <w:r>
        <w:rPr>
          <w:rFonts w:hint="default" w:ascii="Times New Roman" w:hAnsi="Times New Roman" w:eastAsia="宋体" w:cs="Times New Roman"/>
          <w:color w:val="1F1F1F"/>
          <w:kern w:val="0"/>
          <w:sz w:val="20"/>
          <w:szCs w:val="20"/>
          <w:lang w:val="en-US" w:eastAsia="zh-CN" w:bidi="ar"/>
        </w:rPr>
        <w:t xml:space="preserve">. The defenses specified in the </w:t>
      </w:r>
      <w:r>
        <w:rPr>
          <w:rFonts w:hint="default" w:ascii="TimesNewRomanPS-BoldMT" w:hAnsi="TimesNewRomanPS-BoldMT" w:eastAsia="TimesNewRomanPS-BoldMT" w:cs="TimesNewRomanPS-BoldMT"/>
          <w:b/>
          <w:bCs/>
          <w:color w:val="252525"/>
          <w:kern w:val="0"/>
          <w:sz w:val="20"/>
          <w:szCs w:val="20"/>
          <w:lang w:val="en-US" w:eastAsia="zh-CN" w:bidi="ar"/>
        </w:rPr>
        <w:t>New York Convention</w:t>
      </w:r>
      <w:r>
        <w:rPr>
          <w:rFonts w:hint="default" w:ascii="Times New Roman" w:hAnsi="Times New Roman" w:eastAsia="宋体" w:cs="Times New Roman"/>
          <w:color w:val="1F1F1F"/>
          <w:kern w:val="0"/>
          <w:sz w:val="20"/>
          <w:szCs w:val="20"/>
          <w:lang w:val="en-US" w:eastAsia="zh-CN" w:bidi="ar"/>
        </w:rPr>
        <w:t xml:space="preserve"> include: (1) “[t]he party against whom the award is invoked did not receive proper notice ... of the arbitration proceedings”; and (2) “[t]he composition of the arbitral authority or the arbitral procedure was not in accordance with the agreement of the parties.” </w:t>
      </w:r>
      <w:r>
        <w:rPr>
          <w:rFonts w:hint="default" w:ascii="TimesNewRomanPS-BoldMT" w:hAnsi="TimesNewRomanPS-BoldMT" w:eastAsia="TimesNewRomanPS-BoldMT" w:cs="TimesNewRomanPS-BoldMT"/>
          <w:b/>
          <w:bCs/>
          <w:color w:val="252525"/>
          <w:kern w:val="0"/>
          <w:sz w:val="20"/>
          <w:szCs w:val="20"/>
          <w:lang w:val="en-US" w:eastAsia="zh-CN" w:bidi="ar"/>
        </w:rPr>
        <w:t>New York Convention</w:t>
      </w:r>
      <w:r>
        <w:rPr>
          <w:rFonts w:hint="default" w:ascii="Times New Roman" w:hAnsi="Times New Roman" w:eastAsia="宋体" w:cs="Times New Roman"/>
          <w:color w:val="1F1F1F"/>
          <w:kern w:val="0"/>
          <w:sz w:val="20"/>
          <w:szCs w:val="20"/>
          <w:lang w:val="en-US" w:eastAsia="zh-CN" w:bidi="ar"/>
        </w:rPr>
        <w:t xml:space="preserve"> art. </w:t>
      </w:r>
      <w:r>
        <w:rPr>
          <w:rFonts w:hint="default" w:ascii="TimesNewRomanPS-BoldMT" w:hAnsi="TimesNewRomanPS-BoldMT" w:eastAsia="TimesNewRomanPS-BoldMT" w:cs="TimesNewRomanPS-BoldMT"/>
          <w:b/>
          <w:bCs/>
          <w:color w:val="252525"/>
          <w:kern w:val="0"/>
          <w:sz w:val="20"/>
          <w:szCs w:val="20"/>
          <w:lang w:val="en-US" w:eastAsia="zh-CN" w:bidi="ar"/>
        </w:rPr>
        <w:t>V</w:t>
      </w:r>
      <w:r>
        <w:rPr>
          <w:rFonts w:hint="default" w:ascii="Times New Roman" w:hAnsi="Times New Roman" w:eastAsia="宋体" w:cs="Times New Roman"/>
          <w:color w:val="1F1F1F"/>
          <w:kern w:val="0"/>
          <w:sz w:val="20"/>
          <w:szCs w:val="20"/>
          <w:lang w:val="en-US" w:eastAsia="zh-CN" w:bidi="ar"/>
        </w:rPr>
        <w:t>(</w:t>
      </w:r>
      <w:r>
        <w:rPr>
          <w:rFonts w:hint="default" w:ascii="TimesNewRomanPS-BoldMT" w:hAnsi="TimesNewRomanPS-BoldMT" w:eastAsia="TimesNewRomanPS-BoldMT" w:cs="TimesNewRomanPS-BoldMT"/>
          <w:b/>
          <w:bCs/>
          <w:color w:val="252525"/>
          <w:kern w:val="0"/>
          <w:sz w:val="20"/>
          <w:szCs w:val="20"/>
          <w:lang w:val="en-US" w:eastAsia="zh-CN" w:bidi="ar"/>
        </w:rPr>
        <w:t>1</w:t>
      </w:r>
      <w:r>
        <w:rPr>
          <w:rFonts w:hint="default" w:ascii="Times New Roman" w:hAnsi="Times New Roman" w:eastAsia="宋体" w:cs="Times New Roman"/>
          <w:color w:val="1F1F1F"/>
          <w:kern w:val="0"/>
          <w:sz w:val="20"/>
          <w:szCs w:val="20"/>
          <w:lang w:val="en-US" w:eastAsia="zh-CN" w:bidi="ar"/>
        </w:rPr>
        <w:t>)(</w:t>
      </w:r>
      <w:r>
        <w:rPr>
          <w:rFonts w:hint="default" w:ascii="TimesNewRomanPS-BoldMT" w:hAnsi="TimesNewRomanPS-BoldMT" w:eastAsia="TimesNewRomanPS-BoldMT" w:cs="TimesNewRomanPS-BoldMT"/>
          <w:b/>
          <w:bCs/>
          <w:color w:val="252525"/>
          <w:kern w:val="0"/>
          <w:sz w:val="20"/>
          <w:szCs w:val="20"/>
          <w:lang w:val="en-US" w:eastAsia="zh-CN" w:bidi="ar"/>
        </w:rPr>
        <w:t>b</w:t>
      </w:r>
      <w:r>
        <w:rPr>
          <w:rFonts w:hint="default" w:ascii="Times New Roman" w:hAnsi="Times New Roman" w:eastAsia="宋体" w:cs="Times New Roman"/>
          <w:color w:val="1F1F1F"/>
          <w:kern w:val="0"/>
          <w:sz w:val="20"/>
          <w:szCs w:val="20"/>
          <w:lang w:val="en-US" w:eastAsia="zh-CN" w:bidi="ar"/>
        </w:rPr>
        <w:t xml:space="preserve">) &amp; (d). Courts construe these defenses “narrowly, to encourage the recognition and enforcement of commercial arbitration agreements in international contracts.” See </w:t>
      </w:r>
      <w:r>
        <w:rPr>
          <w:rFonts w:hint="default" w:ascii="Times New Roman" w:hAnsi="Times New Roman" w:eastAsia="宋体" w:cs="Times New Roman"/>
          <w:color w:val="006FC4"/>
          <w:kern w:val="0"/>
          <w:sz w:val="20"/>
          <w:szCs w:val="20"/>
          <w:lang w:val="en-US" w:eastAsia="zh-CN" w:bidi="ar"/>
        </w:rPr>
        <w:t>Karaha Bodas Co. v. Perusahaan, 364 F.3d 274, 288 (5th Cir. 2004)</w:t>
      </w:r>
      <w:r>
        <w:rPr>
          <w:rFonts w:hint="default" w:ascii="Times New Roman" w:hAnsi="Times New Roman" w:eastAsia="宋体" w:cs="Times New Roman"/>
          <w:color w:val="1F1F1F"/>
          <w:kern w:val="0"/>
          <w:sz w:val="20"/>
          <w:szCs w:val="20"/>
          <w:lang w:val="en-US" w:eastAsia="zh-CN" w:bidi="ar"/>
        </w:rPr>
        <w:t xml:space="preserve">(quotation omitted). As the party opposing enforcement of the arbitral award, LUMOS bears the burden of proving that one of the defenses applies. </w:t>
      </w:r>
      <w:r>
        <w:rPr>
          <w:rFonts w:hint="default" w:ascii="Times New Roman" w:hAnsi="Times New Roman" w:eastAsia="宋体" w:cs="Times New Roman"/>
          <w:color w:val="006FC4"/>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Moreover, CEEG argues that to overcome the strong presumption in favor of enforceability under the Convention, LUMOS must also show prejudice from any procedural error. Accord </w:t>
      </w:r>
      <w:r>
        <w:rPr>
          <w:rFonts w:hint="default" w:ascii="Times New Roman" w:hAnsi="Times New Roman" w:eastAsia="宋体" w:cs="Times New Roman"/>
          <w:color w:val="006FC4"/>
          <w:kern w:val="0"/>
          <w:sz w:val="20"/>
          <w:szCs w:val="20"/>
          <w:lang w:val="en-US" w:eastAsia="zh-CN" w:bidi="ar"/>
        </w:rPr>
        <w:t>id. at 296</w:t>
      </w:r>
      <w:r>
        <w:rPr>
          <w:rFonts w:hint="default" w:ascii="Times New Roman" w:hAnsi="Times New Roman" w:eastAsia="宋体" w:cs="Times New Roman"/>
          <w:color w:val="1F1F1F"/>
          <w:kern w:val="0"/>
          <w:sz w:val="20"/>
          <w:szCs w:val="20"/>
          <w:lang w:val="en-US" w:eastAsia="zh-CN" w:bidi="ar"/>
        </w:rPr>
        <w:t xml:space="preserve">. The district court held that LUMOS had carried its “heavy burden” because CEEG's insufficient notice deprived LUMOS of the opportunity to designate the arbitration panel, and the panel's composition was therefore not in accordance with the parties' agreement. This appeal thus turns on the first defense— adequacy of notice. </w:t>
      </w:r>
    </w:p>
    <w:p w14:paraId="3775C6CF">
      <w:pPr>
        <w:keepNext w:val="0"/>
        <w:keepLines w:val="0"/>
        <w:widowControl/>
        <w:suppressLineNumbers w:val="0"/>
        <w:jc w:val="left"/>
        <w:rPr>
          <w:rFonts w:ascii="TimesNewRomanPS-BoldMT" w:hAnsi="TimesNewRomanPS-BoldMT" w:eastAsia="TimesNewRomanPS-BoldMT" w:cs="TimesNewRomanPS-BoldMT"/>
          <w:b/>
          <w:bCs/>
          <w:color w:val="252525"/>
          <w:kern w:val="0"/>
          <w:sz w:val="20"/>
          <w:szCs w:val="20"/>
          <w:lang w:val="en-US" w:eastAsia="zh-CN" w:bidi="ar"/>
        </w:rPr>
      </w:pPr>
    </w:p>
    <w:p w14:paraId="1F01242D">
      <w:pPr>
        <w:keepNext w:val="0"/>
        <w:keepLines w:val="0"/>
        <w:widowControl/>
        <w:suppressLineNumbers w:val="0"/>
        <w:jc w:val="left"/>
      </w:pPr>
      <w:r>
        <w:rPr>
          <w:rFonts w:ascii="TimesNewRomanPS-BoldMT" w:hAnsi="TimesNewRomanPS-BoldMT" w:eastAsia="TimesNewRomanPS-BoldMT" w:cs="TimesNewRomanPS-BoldMT"/>
          <w:b/>
          <w:bCs/>
          <w:color w:val="252525"/>
          <w:kern w:val="0"/>
          <w:sz w:val="20"/>
          <w:szCs w:val="20"/>
          <w:lang w:val="en-US" w:eastAsia="zh-CN" w:bidi="ar"/>
        </w:rPr>
        <w:t xml:space="preserve">[8] [9] </w:t>
      </w:r>
      <w:r>
        <w:rPr>
          <w:rFonts w:hint="default" w:ascii="Times New Roman" w:hAnsi="Times New Roman" w:eastAsia="宋体" w:cs="Times New Roman"/>
          <w:color w:val="1F1F1F"/>
          <w:kern w:val="0"/>
          <w:sz w:val="20"/>
          <w:szCs w:val="20"/>
          <w:lang w:val="en-US" w:eastAsia="zh-CN" w:bidi="ar"/>
        </w:rPr>
        <w:t xml:space="preserve">To judge compliance with the </w:t>
      </w:r>
      <w:r>
        <w:rPr>
          <w:rFonts w:hint="default" w:ascii="TimesNewRomanPS-BoldMT" w:hAnsi="TimesNewRomanPS-BoldMT" w:eastAsia="TimesNewRomanPS-BoldMT" w:cs="TimesNewRomanPS-BoldMT"/>
          <w:b/>
          <w:bCs/>
          <w:color w:val="252525"/>
          <w:kern w:val="0"/>
          <w:sz w:val="20"/>
          <w:szCs w:val="20"/>
          <w:lang w:val="en-US" w:eastAsia="zh-CN" w:bidi="ar"/>
        </w:rPr>
        <w:t>New York Convention's</w:t>
      </w:r>
      <w:r>
        <w:rPr>
          <w:rFonts w:hint="default" w:ascii="Times New Roman" w:hAnsi="Times New Roman" w:eastAsia="宋体" w:cs="Times New Roman"/>
          <w:color w:val="1F1F1F"/>
          <w:kern w:val="0"/>
          <w:sz w:val="20"/>
          <w:szCs w:val="20"/>
          <w:lang w:val="en-US" w:eastAsia="zh-CN" w:bidi="ar"/>
        </w:rPr>
        <w:t xml:space="preserve"> “proper notice” requirement, courts look to the forum's standards of due process. See </w:t>
      </w:r>
      <w:r>
        <w:rPr>
          <w:rFonts w:hint="default" w:ascii="Times New Roman" w:hAnsi="Times New Roman" w:eastAsia="宋体" w:cs="Times New Roman"/>
          <w:color w:val="006FC4"/>
          <w:kern w:val="0"/>
          <w:sz w:val="20"/>
          <w:szCs w:val="20"/>
          <w:lang w:val="en-US" w:eastAsia="zh-CN" w:bidi="ar"/>
        </w:rPr>
        <w:t>Iran Aircraft Indus. v. Avco Corp., 980 F.2d 141, 145 (2d Cir. 1992)</w:t>
      </w:r>
      <w:r>
        <w:rPr>
          <w:rFonts w:hint="default" w:ascii="Times New Roman" w:hAnsi="Times New Roman" w:eastAsia="宋体" w:cs="Times New Roman"/>
          <w:color w:val="1F1F1F"/>
          <w:kern w:val="0"/>
          <w:sz w:val="20"/>
          <w:szCs w:val="20"/>
          <w:lang w:val="en-US" w:eastAsia="zh-CN" w:bidi="ar"/>
        </w:rPr>
        <w:t>. Notice must be “reasonably calculated, under all the circumstances, to apprise</w:t>
      </w:r>
      <w:r>
        <w:rPr>
          <w:rFonts w:hint="eastAsia"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1F1F1F"/>
          <w:kern w:val="0"/>
          <w:sz w:val="20"/>
          <w:szCs w:val="20"/>
          <w:lang w:val="en-US" w:eastAsia="zh-CN" w:bidi="ar"/>
        </w:rPr>
        <w:t xml:space="preserve">interested parties of the pendency of the action and afford them an opportunity to present their objections.” </w:t>
      </w:r>
      <w:r>
        <w:rPr>
          <w:rFonts w:hint="default" w:ascii="Times New Roman" w:hAnsi="Times New Roman" w:eastAsia="宋体" w:cs="Times New Roman"/>
          <w:color w:val="006FC4"/>
          <w:kern w:val="0"/>
          <w:sz w:val="20"/>
          <w:szCs w:val="20"/>
          <w:lang w:val="en-US" w:eastAsia="zh-CN" w:bidi="ar"/>
        </w:rPr>
        <w:t>Mullane v. Cent. Hanover Bank &amp; Tr. Co., 339 U.S. 306, 314, 70 S.Ct. 652, 94 L.Ed. 865 (1950)</w:t>
      </w:r>
      <w:r>
        <w:rPr>
          <w:rFonts w:hint="default"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006FC4"/>
          <w:kern w:val="0"/>
          <w:sz w:val="16"/>
          <w:szCs w:val="16"/>
          <w:lang w:val="en-US" w:eastAsia="zh-CN" w:bidi="ar"/>
        </w:rPr>
        <w:t xml:space="preserve">1 </w:t>
      </w:r>
    </w:p>
    <w:p w14:paraId="67F50717">
      <w:pPr>
        <w:keepNext w:val="0"/>
        <w:keepLines w:val="0"/>
        <w:widowControl/>
        <w:suppressLineNumbers w:val="0"/>
        <w:jc w:val="left"/>
      </w:pPr>
      <w:r>
        <w:rPr>
          <w:rFonts w:hint="default" w:ascii="TimesNewRomanPS-BoldMT" w:hAnsi="TimesNewRomanPS-BoldMT" w:eastAsia="TimesNewRomanPS-BoldMT" w:cs="TimesNewRomanPS-BoldMT"/>
          <w:b/>
          <w:bCs/>
          <w:color w:val="000000"/>
          <w:kern w:val="0"/>
          <w:sz w:val="20"/>
          <w:szCs w:val="20"/>
          <w:lang w:val="en-US" w:eastAsia="zh-CN" w:bidi="ar"/>
        </w:rPr>
        <w:t xml:space="preserve">*1207 </w:t>
      </w:r>
      <w:r>
        <w:rPr>
          <w:rFonts w:hint="default" w:ascii="TimesNewRomanPS-BoldMT" w:hAnsi="TimesNewRomanPS-BoldMT" w:eastAsia="TimesNewRomanPS-BoldMT" w:cs="TimesNewRomanPS-BoldMT"/>
          <w:b/>
          <w:bCs/>
          <w:color w:val="252525"/>
          <w:kern w:val="0"/>
          <w:sz w:val="20"/>
          <w:szCs w:val="20"/>
          <w:lang w:val="en-US" w:eastAsia="zh-CN" w:bidi="ar"/>
        </w:rPr>
        <w:t xml:space="preserve">[10] </w:t>
      </w:r>
      <w:r>
        <w:rPr>
          <w:rFonts w:hint="default" w:ascii="Times New Roman" w:hAnsi="Times New Roman" w:eastAsia="宋体" w:cs="Times New Roman"/>
          <w:color w:val="1F1F1F"/>
          <w:kern w:val="0"/>
          <w:sz w:val="20"/>
          <w:szCs w:val="20"/>
          <w:lang w:val="en-US" w:eastAsia="zh-CN" w:bidi="ar"/>
        </w:rPr>
        <w:t>We conclude that the Chinese-language notice was not reasonably calculated to apprise LUMOS of the proceedings. All previous communications between CEEG and LUMOS had been in English, the Contract reinforced that English would govern the relationship by requiring that the English language version of the Contract would control, and the Agreement memorialized the parties' understanding that all interactions and dispute resolution proceedings would be in English.</w:t>
      </w:r>
      <w:r>
        <w:rPr>
          <w:rFonts w:hint="default" w:ascii="Times New Roman" w:hAnsi="Times New Roman" w:eastAsia="宋体" w:cs="Times New Roman"/>
          <w:color w:val="006FC4"/>
          <w:kern w:val="0"/>
          <w:sz w:val="16"/>
          <w:szCs w:val="16"/>
          <w:lang w:val="en-US" w:eastAsia="zh-CN" w:bidi="ar"/>
        </w:rPr>
        <w:t xml:space="preserve">2 </w:t>
      </w:r>
      <w:r>
        <w:rPr>
          <w:rFonts w:hint="default" w:ascii="Times New Roman" w:hAnsi="Times New Roman" w:eastAsia="宋体" w:cs="Times New Roman"/>
          <w:color w:val="1F1F1F"/>
          <w:kern w:val="0"/>
          <w:sz w:val="20"/>
          <w:szCs w:val="20"/>
          <w:lang w:val="en-US" w:eastAsia="zh-CN" w:bidi="ar"/>
        </w:rPr>
        <w:t>Nearly a month after the notice had been sent, CEEG responded to an email from LUMOS with a short English-language explanation that the Chinese documents constituted notice. Thus, CEEG</w:t>
      </w:r>
      <w:r>
        <w:rPr>
          <w:rFonts w:hint="eastAsia"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1F1F1F"/>
          <w:kern w:val="0"/>
          <w:sz w:val="20"/>
          <w:szCs w:val="20"/>
          <w:lang w:val="en-US" w:eastAsia="zh-CN" w:bidi="ar"/>
        </w:rPr>
        <w:t xml:space="preserve">demonstrated the ease with which it could have sent notice in a language it knew LUMOS would understand. Simply, CEEG could not have reasonably calculated that notice in a language it knew </w:t>
      </w:r>
    </w:p>
    <w:p w14:paraId="641C7539">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LUMOS' executives would be unable to comprehend would apprise LUMOS of the arbitration proceedings.</w:t>
      </w:r>
      <w:r>
        <w:rPr>
          <w:rFonts w:hint="default" w:ascii="Times New Roman" w:hAnsi="Times New Roman" w:eastAsia="宋体" w:cs="Times New Roman"/>
          <w:color w:val="006FC4"/>
          <w:kern w:val="0"/>
          <w:sz w:val="16"/>
          <w:szCs w:val="16"/>
          <w:lang w:val="en-US" w:eastAsia="zh-CN" w:bidi="ar"/>
        </w:rPr>
        <w:t xml:space="preserve">3 </w:t>
      </w:r>
      <w:r>
        <w:rPr>
          <w:rFonts w:hint="default" w:ascii="Times New Roman" w:hAnsi="Times New Roman" w:eastAsia="宋体" w:cs="Times New Roman"/>
          <w:color w:val="1F1F1F"/>
          <w:kern w:val="0"/>
          <w:sz w:val="20"/>
          <w:szCs w:val="20"/>
          <w:lang w:val="en-US" w:eastAsia="zh-CN" w:bidi="ar"/>
        </w:rPr>
        <w:t xml:space="preserve">On these facts, we conclude that notice in Chinese was not reasonably calculated to apprise LUMOS of the CIETAC proceedings. </w:t>
      </w:r>
    </w:p>
    <w:p w14:paraId="7B13D755">
      <w:pPr>
        <w:keepNext w:val="0"/>
        <w:keepLines w:val="0"/>
        <w:widowControl/>
        <w:suppressLineNumbers w:val="0"/>
        <w:jc w:val="left"/>
        <w:rPr>
          <w:rFonts w:hint="default" w:ascii="TimesNewRomanPS-BoldMT" w:hAnsi="TimesNewRomanPS-BoldMT" w:eastAsia="TimesNewRomanPS-BoldMT" w:cs="TimesNewRomanPS-BoldMT"/>
          <w:b/>
          <w:bCs/>
          <w:color w:val="252525"/>
          <w:kern w:val="0"/>
          <w:sz w:val="20"/>
          <w:szCs w:val="20"/>
          <w:lang w:val="en-US" w:eastAsia="zh-CN" w:bidi="ar"/>
        </w:rPr>
      </w:pPr>
    </w:p>
    <w:p w14:paraId="69E71960">
      <w:pPr>
        <w:keepNext w:val="0"/>
        <w:keepLines w:val="0"/>
        <w:widowControl/>
        <w:suppressLineNumbers w:val="0"/>
        <w:jc w:val="left"/>
      </w:pPr>
      <w:r>
        <w:rPr>
          <w:rFonts w:hint="default" w:ascii="TimesNewRomanPS-BoldMT" w:hAnsi="TimesNewRomanPS-BoldMT" w:eastAsia="TimesNewRomanPS-BoldMT" w:cs="TimesNewRomanPS-BoldMT"/>
          <w:b/>
          <w:bCs/>
          <w:color w:val="252525"/>
          <w:kern w:val="0"/>
          <w:sz w:val="20"/>
          <w:szCs w:val="20"/>
          <w:lang w:val="en-US" w:eastAsia="zh-CN" w:bidi="ar"/>
        </w:rPr>
        <w:t xml:space="preserve">[11] </w:t>
      </w:r>
      <w:r>
        <w:rPr>
          <w:rFonts w:hint="default" w:ascii="Times New Roman" w:hAnsi="Times New Roman" w:eastAsia="宋体" w:cs="Times New Roman"/>
          <w:color w:val="1F1F1F"/>
          <w:kern w:val="0"/>
          <w:sz w:val="20"/>
          <w:szCs w:val="20"/>
          <w:lang w:val="en-US" w:eastAsia="zh-CN" w:bidi="ar"/>
        </w:rPr>
        <w:t xml:space="preserve">CEEG contends LUMOS must demonstrate prejudice from any deficient notice. In support of a prejudice requirement in the context of the </w:t>
      </w:r>
      <w:r>
        <w:rPr>
          <w:rFonts w:hint="default" w:ascii="TimesNewRomanPS-BoldMT" w:hAnsi="TimesNewRomanPS-BoldMT" w:eastAsia="TimesNewRomanPS-BoldMT" w:cs="TimesNewRomanPS-BoldMT"/>
          <w:b/>
          <w:bCs/>
          <w:color w:val="252525"/>
          <w:kern w:val="0"/>
          <w:sz w:val="20"/>
          <w:szCs w:val="20"/>
          <w:lang w:val="en-US" w:eastAsia="zh-CN" w:bidi="ar"/>
        </w:rPr>
        <w:t>New York Convention</w:t>
      </w:r>
      <w:r>
        <w:rPr>
          <w:rFonts w:hint="default" w:ascii="Times New Roman" w:hAnsi="Times New Roman" w:eastAsia="宋体" w:cs="Times New Roman"/>
          <w:color w:val="1F1F1F"/>
          <w:kern w:val="0"/>
          <w:sz w:val="20"/>
          <w:szCs w:val="20"/>
          <w:lang w:val="en-US" w:eastAsia="zh-CN" w:bidi="ar"/>
        </w:rPr>
        <w:t xml:space="preserve">, CEEG cites several out-of-circuit cases. See </w:t>
      </w:r>
      <w:r>
        <w:rPr>
          <w:rFonts w:hint="default" w:ascii="Times New Roman" w:hAnsi="Times New Roman" w:eastAsia="宋体" w:cs="Times New Roman"/>
          <w:color w:val="006FC4"/>
          <w:kern w:val="0"/>
          <w:sz w:val="20"/>
          <w:szCs w:val="20"/>
          <w:lang w:val="en-US" w:eastAsia="zh-CN" w:bidi="ar"/>
        </w:rPr>
        <w:t>Karaha Bodas Co., 364 F.3d at 296</w:t>
      </w:r>
      <w:r>
        <w:rPr>
          <w:rFonts w:hint="default"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006FC4"/>
          <w:kern w:val="0"/>
          <w:sz w:val="20"/>
          <w:szCs w:val="20"/>
          <w:lang w:val="en-US" w:eastAsia="zh-CN" w:bidi="ar"/>
        </w:rPr>
        <w:t xml:space="preserve">Calbex Mineral Ltd. v. ACC Res. Co., </w:t>
      </w:r>
    </w:p>
    <w:p w14:paraId="32682D9D">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90 F.Supp.3d 442, 459 (W.D. Pa. 2015)</w:t>
      </w:r>
      <w:r>
        <w:rPr>
          <w:rFonts w:hint="default"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006FC4"/>
          <w:kern w:val="0"/>
          <w:sz w:val="20"/>
          <w:szCs w:val="20"/>
          <w:lang w:val="en-US" w:eastAsia="zh-CN" w:bidi="ar"/>
        </w:rPr>
        <w:t>Compagnie des Bauxites de Guinee v. Hammermills, Inc., 1992 WL 122712, at *5 (D.D.C. May 29, 1992)</w:t>
      </w:r>
      <w:r>
        <w:rPr>
          <w:rFonts w:hint="default" w:ascii="Times New Roman" w:hAnsi="Times New Roman" w:eastAsia="宋体" w:cs="Times New Roman"/>
          <w:color w:val="1F1F1F"/>
          <w:kern w:val="0"/>
          <w:sz w:val="20"/>
          <w:szCs w:val="20"/>
          <w:lang w:val="en-US" w:eastAsia="zh-CN" w:bidi="ar"/>
        </w:rPr>
        <w:t>. LUMOS does not contest that a prejudice requirement applies. We thus assume without deciding that a party opposing confirmation of an arbitral award</w:t>
      </w:r>
      <w:r>
        <w:rPr>
          <w:rFonts w:hint="eastAsia"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1F1F1F"/>
          <w:kern w:val="0"/>
          <w:sz w:val="20"/>
          <w:szCs w:val="20"/>
          <w:lang w:val="en-US" w:eastAsia="zh-CN" w:bidi="ar"/>
        </w:rPr>
        <w:t xml:space="preserve">under the </w:t>
      </w:r>
      <w:r>
        <w:rPr>
          <w:rFonts w:hint="default" w:ascii="TimesNewRomanPS-BoldMT" w:hAnsi="TimesNewRomanPS-BoldMT" w:eastAsia="TimesNewRomanPS-BoldMT" w:cs="TimesNewRomanPS-BoldMT"/>
          <w:b/>
          <w:bCs/>
          <w:color w:val="252525"/>
          <w:kern w:val="0"/>
          <w:sz w:val="20"/>
          <w:szCs w:val="20"/>
          <w:lang w:val="en-US" w:eastAsia="zh-CN" w:bidi="ar"/>
        </w:rPr>
        <w:t>New York Convention</w:t>
      </w:r>
      <w:r>
        <w:rPr>
          <w:rFonts w:hint="default" w:ascii="Times New Roman" w:hAnsi="Times New Roman" w:eastAsia="宋体" w:cs="Times New Roman"/>
          <w:color w:val="1F1F1F"/>
          <w:kern w:val="0"/>
          <w:sz w:val="20"/>
          <w:szCs w:val="20"/>
          <w:lang w:val="en-US" w:eastAsia="zh-CN" w:bidi="ar"/>
        </w:rPr>
        <w:t xml:space="preserve"> must demonstrate prejudice in order for a defense to apply. </w:t>
      </w:r>
    </w:p>
    <w:p w14:paraId="5E8ED035">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3728B655">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The district court found that the Chinese-language notice caused LUMOS to remain unaware that arbitration proceedings had commenced, thereby depriving it of the opportunity to participate in selecting arbitrators. But CEEG contends that CIETAC's appointed arbitrators were “neutral,” and thus the proceedings did not prejudice LUMOS. This argument is unconvincing. The </w:t>
      </w:r>
      <w:r>
        <w:rPr>
          <w:rFonts w:hint="default" w:ascii="TimesNewRomanPS-BoldMT" w:hAnsi="TimesNewRomanPS-BoldMT" w:eastAsia="TimesNewRomanPS-BoldMT" w:cs="TimesNewRomanPS-BoldMT"/>
          <w:b/>
          <w:bCs/>
          <w:color w:val="252525"/>
          <w:kern w:val="0"/>
          <w:sz w:val="20"/>
          <w:szCs w:val="20"/>
          <w:lang w:val="en-US" w:eastAsia="zh-CN" w:bidi="ar"/>
        </w:rPr>
        <w:t>New York Convention</w:t>
      </w:r>
      <w:r>
        <w:rPr>
          <w:rFonts w:hint="default" w:ascii="Times New Roman" w:hAnsi="Times New Roman" w:eastAsia="宋体" w:cs="Times New Roman"/>
          <w:color w:val="1F1F1F"/>
          <w:kern w:val="0"/>
          <w:sz w:val="20"/>
          <w:szCs w:val="20"/>
          <w:lang w:val="en-US" w:eastAsia="zh-CN" w:bidi="ar"/>
        </w:rPr>
        <w:t xml:space="preserve"> itself provides improper composition of the arbitral tribunal as a defense to confirmation of an arbitration award. </w:t>
      </w:r>
      <w:r>
        <w:rPr>
          <w:rFonts w:hint="default" w:ascii="TimesNewRomanPS-BoldMT" w:hAnsi="TimesNewRomanPS-BoldMT" w:eastAsia="TimesNewRomanPS-BoldMT" w:cs="TimesNewRomanPS-BoldMT"/>
          <w:b/>
          <w:bCs/>
          <w:color w:val="252525"/>
          <w:kern w:val="0"/>
          <w:sz w:val="20"/>
          <w:szCs w:val="20"/>
          <w:lang w:val="en-US" w:eastAsia="zh-CN" w:bidi="ar"/>
        </w:rPr>
        <w:t>New York Convention</w:t>
      </w:r>
      <w:r>
        <w:rPr>
          <w:rFonts w:hint="default" w:ascii="Times New Roman" w:hAnsi="Times New Roman" w:eastAsia="宋体" w:cs="Times New Roman"/>
          <w:color w:val="1F1F1F"/>
          <w:kern w:val="0"/>
          <w:sz w:val="20"/>
          <w:szCs w:val="20"/>
          <w:lang w:val="en-US" w:eastAsia="zh-CN" w:bidi="ar"/>
        </w:rPr>
        <w:t xml:space="preserve"> art. V; see also </w:t>
      </w:r>
      <w:r>
        <w:rPr>
          <w:rFonts w:hint="default" w:ascii="Times New Roman" w:hAnsi="Times New Roman" w:eastAsia="宋体" w:cs="Times New Roman"/>
          <w:color w:val="006FC4"/>
          <w:kern w:val="0"/>
          <w:sz w:val="20"/>
          <w:szCs w:val="20"/>
          <w:lang w:val="en-US" w:eastAsia="zh-CN" w:bidi="ar"/>
        </w:rPr>
        <w:t>Encyclopaedia Universalis S.A., 403 F.3d at 91–92</w:t>
      </w:r>
      <w:r>
        <w:rPr>
          <w:rFonts w:hint="default" w:ascii="Times New Roman" w:hAnsi="Times New Roman" w:eastAsia="宋体" w:cs="Times New Roman"/>
          <w:color w:val="1F1F1F"/>
          <w:kern w:val="0"/>
          <w:sz w:val="20"/>
          <w:szCs w:val="20"/>
          <w:lang w:val="en-US" w:eastAsia="zh-CN" w:bidi="ar"/>
        </w:rPr>
        <w:t xml:space="preserve"> (affirming refusal to confirm arbitral award because the “composition of the arbitral authority was not in accordance with the parties' agreement”). Hindering the right </w:t>
      </w:r>
    </w:p>
    <w:p w14:paraId="7691A5FC">
      <w:pPr>
        <w:keepNext w:val="0"/>
        <w:keepLines w:val="0"/>
        <w:widowControl/>
        <w:suppressLineNumbers w:val="0"/>
        <w:jc w:val="left"/>
      </w:pPr>
      <w:r>
        <w:rPr>
          <w:rFonts w:hint="default" w:ascii="TimesNewRomanPS-BoldMT" w:hAnsi="TimesNewRomanPS-BoldMT" w:eastAsia="TimesNewRomanPS-BoldMT" w:cs="TimesNewRomanPS-BoldMT"/>
          <w:b/>
          <w:bCs/>
          <w:color w:val="000000"/>
          <w:kern w:val="0"/>
          <w:sz w:val="20"/>
          <w:szCs w:val="20"/>
          <w:lang w:val="en-US" w:eastAsia="zh-CN" w:bidi="ar"/>
        </w:rPr>
        <w:t>*1208</w:t>
      </w:r>
      <w:r>
        <w:rPr>
          <w:rFonts w:hint="default" w:ascii="Times New Roman" w:hAnsi="Times New Roman" w:eastAsia="宋体" w:cs="Times New Roman"/>
          <w:color w:val="1F1F1F"/>
          <w:kern w:val="0"/>
          <w:sz w:val="20"/>
          <w:szCs w:val="20"/>
          <w:lang w:val="en-US" w:eastAsia="zh-CN" w:bidi="ar"/>
        </w:rPr>
        <w:t xml:space="preserve"> to participate in the panel-selection process is not a minor procedural misstep. The arbitral tribunal determines the parties' rights with virtually no possibility of appeal or review. See </w:t>
      </w:r>
      <w:r>
        <w:rPr>
          <w:rFonts w:hint="default" w:ascii="Times New Roman" w:hAnsi="Times New Roman" w:eastAsia="宋体" w:cs="Times New Roman"/>
          <w:color w:val="006FC4"/>
          <w:kern w:val="0"/>
          <w:sz w:val="20"/>
          <w:szCs w:val="20"/>
          <w:lang w:val="en-US" w:eastAsia="zh-CN" w:bidi="ar"/>
        </w:rPr>
        <w:t>ARW Expl. Corp., 45 F.3d at 1462</w:t>
      </w:r>
      <w:r>
        <w:rPr>
          <w:rFonts w:hint="default" w:ascii="Times New Roman" w:hAnsi="Times New Roman" w:eastAsia="宋体" w:cs="Times New Roman"/>
          <w:color w:val="1F1F1F"/>
          <w:kern w:val="0"/>
          <w:sz w:val="20"/>
          <w:szCs w:val="20"/>
          <w:lang w:val="en-US" w:eastAsia="zh-CN" w:bidi="ar"/>
        </w:rPr>
        <w:t xml:space="preserve"> (our standard of review of arbitral awards “is among the narrowest known to the </w:t>
      </w:r>
    </w:p>
    <w:p w14:paraId="14F1519C">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law” (quotation omitted)). We agree with the district court that depriving LUMOS of the right to participate in appointing the arbitral tribunal itself evidences substantial prejudice. CEEG further argues that LUMOS was not prejudiced because LUMOS received actual notice in the May 7, 2013 </w:t>
      </w:r>
    </w:p>
    <w:p w14:paraId="109FB170">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r>
        <w:rPr>
          <w:rFonts w:hint="default" w:ascii="Times New Roman" w:hAnsi="Times New Roman" w:eastAsia="宋体" w:cs="Times New Roman"/>
          <w:color w:val="1F1F1F"/>
          <w:kern w:val="0"/>
          <w:sz w:val="20"/>
          <w:szCs w:val="20"/>
          <w:lang w:val="en-US" w:eastAsia="zh-CN" w:bidi="ar"/>
        </w:rPr>
        <w:t>email, but CIETAC did not “officially appoint” the threeperson arbitral tribunal until twenty days later. During that period, LUMOS did not enter an appearance in the arbitration, and specifically did not request that the appointment deadline be extended.</w:t>
      </w:r>
    </w:p>
    <w:p w14:paraId="5F3784A3">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 CEEG argues that LUMOS has not provided a reasonable explanation for its failure to appear in the </w:t>
      </w:r>
    </w:p>
    <w:p w14:paraId="28BE22F9">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proceedings until June 20, 2013. CEEG contends that LUMOS' unreasonable inattentiveness—and not insufficient notice—caused any inability to select an arbitrator. </w:t>
      </w:r>
    </w:p>
    <w:p w14:paraId="539B1F03">
      <w:pPr>
        <w:keepNext w:val="0"/>
        <w:keepLines w:val="0"/>
        <w:widowControl/>
        <w:suppressLineNumbers w:val="0"/>
        <w:jc w:val="left"/>
        <w:rPr>
          <w:rFonts w:hint="default" w:ascii="TimesNewRomanPS-BoldMT" w:hAnsi="TimesNewRomanPS-BoldMT" w:eastAsia="TimesNewRomanPS-BoldMT" w:cs="TimesNewRomanPS-BoldMT"/>
          <w:b/>
          <w:bCs/>
          <w:color w:val="252525"/>
          <w:kern w:val="0"/>
          <w:sz w:val="20"/>
          <w:szCs w:val="20"/>
          <w:lang w:val="en-US" w:eastAsia="zh-CN" w:bidi="ar"/>
        </w:rPr>
      </w:pPr>
    </w:p>
    <w:p w14:paraId="48262959">
      <w:pPr>
        <w:keepNext w:val="0"/>
        <w:keepLines w:val="0"/>
        <w:widowControl/>
        <w:suppressLineNumbers w:val="0"/>
        <w:jc w:val="left"/>
      </w:pPr>
      <w:r>
        <w:rPr>
          <w:rFonts w:hint="default" w:ascii="TimesNewRomanPS-BoldMT" w:hAnsi="TimesNewRomanPS-BoldMT" w:eastAsia="TimesNewRomanPS-BoldMT" w:cs="TimesNewRomanPS-BoldMT"/>
          <w:b/>
          <w:bCs/>
          <w:color w:val="252525"/>
          <w:kern w:val="0"/>
          <w:sz w:val="20"/>
          <w:szCs w:val="20"/>
          <w:lang w:val="en-US" w:eastAsia="zh-CN" w:bidi="ar"/>
        </w:rPr>
        <w:t xml:space="preserve">[12] </w:t>
      </w:r>
      <w:r>
        <w:rPr>
          <w:rFonts w:hint="default" w:ascii="Times New Roman" w:hAnsi="Times New Roman" w:eastAsia="宋体" w:cs="Times New Roman"/>
          <w:color w:val="1F1F1F"/>
          <w:kern w:val="0"/>
          <w:sz w:val="20"/>
          <w:szCs w:val="20"/>
          <w:lang w:val="en-US" w:eastAsia="zh-CN" w:bidi="ar"/>
        </w:rPr>
        <w:t xml:space="preserve">This argument suffers two fatal flaws. CEEG did not argue that LUMOS failed to diligently pursue its rights until its reply brief. The argument is therefore waived. </w:t>
      </w:r>
      <w:r>
        <w:rPr>
          <w:rFonts w:hint="default" w:ascii="Times New Roman" w:hAnsi="Times New Roman" w:eastAsia="宋体" w:cs="Times New Roman"/>
          <w:color w:val="006FC4"/>
          <w:kern w:val="0"/>
          <w:sz w:val="20"/>
          <w:szCs w:val="20"/>
          <w:lang w:val="en-US" w:eastAsia="zh-CN" w:bidi="ar"/>
        </w:rPr>
        <w:t xml:space="preserve">Adler v. Wal–Mart Stores, Inc., 144 F.3d 664, 679 (10th Cir. 1998) </w:t>
      </w:r>
      <w:r>
        <w:rPr>
          <w:rFonts w:hint="default" w:ascii="Times New Roman" w:hAnsi="Times New Roman" w:eastAsia="宋体" w:cs="Times New Roman"/>
          <w:color w:val="1F1F1F"/>
          <w:kern w:val="0"/>
          <w:sz w:val="20"/>
          <w:szCs w:val="20"/>
          <w:lang w:val="en-US" w:eastAsia="zh-CN" w:bidi="ar"/>
        </w:rPr>
        <w:t xml:space="preserve">(“Arguments inadequately briefed in the opening brief are </w:t>
      </w:r>
    </w:p>
    <w:p w14:paraId="3C66CF92">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waived.”). Even were the argument not waived, we review the district court's factual findings for clear error. </w:t>
      </w:r>
      <w:r>
        <w:rPr>
          <w:rFonts w:hint="default" w:ascii="Times New Roman" w:hAnsi="Times New Roman" w:eastAsia="宋体" w:cs="Times New Roman"/>
          <w:color w:val="006FC4"/>
          <w:kern w:val="0"/>
          <w:sz w:val="20"/>
          <w:szCs w:val="20"/>
          <w:lang w:val="en-US" w:eastAsia="zh-CN" w:bidi="ar"/>
        </w:rPr>
        <w:t>Dominion Video Satellite, Inc., 430 F.3d at 1275</w:t>
      </w:r>
      <w:r>
        <w:rPr>
          <w:rFonts w:hint="default" w:ascii="Times New Roman" w:hAnsi="Times New Roman" w:eastAsia="宋体" w:cs="Times New Roman"/>
          <w:color w:val="1F1F1F"/>
          <w:kern w:val="0"/>
          <w:sz w:val="20"/>
          <w:szCs w:val="20"/>
          <w:lang w:val="en-US" w:eastAsia="zh-CN" w:bidi="ar"/>
        </w:rPr>
        <w:t xml:space="preserve">. The district court found that LUMOS diligently engaged the services of a translator to translate the Chinese-language notice to English. However, because the process of retaining Chinese counsel to represent LUMOS in the arbitration was “surprisingly” complicated, the court found credible Franklin's testimony that it took “weeks” to secure representation. Rather than offering evidence to refute the district court's conclusions,CEEG relies on a conclusory argument that LUMOS should bear the burden of providing additional support for the district court's findings. We reject this argument. Record evidence supports, rather than refutes, the district court's factual findings, and we are not left with “a definite and firm conviction that the district court erred.” See </w:t>
      </w:r>
      <w:r>
        <w:rPr>
          <w:rFonts w:hint="default" w:ascii="Times New Roman" w:hAnsi="Times New Roman" w:eastAsia="宋体" w:cs="Times New Roman"/>
          <w:color w:val="006FC4"/>
          <w:kern w:val="0"/>
          <w:sz w:val="20"/>
          <w:szCs w:val="20"/>
          <w:lang w:val="en-US" w:eastAsia="zh-CN" w:bidi="ar"/>
        </w:rPr>
        <w:t>Middleton, 749 F.3d at 1201</w:t>
      </w:r>
      <w:r>
        <w:rPr>
          <w:rFonts w:hint="default"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006FC4"/>
          <w:kern w:val="0"/>
          <w:sz w:val="16"/>
          <w:szCs w:val="16"/>
          <w:lang w:val="en-US" w:eastAsia="zh-CN" w:bidi="ar"/>
        </w:rPr>
        <w:t xml:space="preserve">4 </w:t>
      </w:r>
      <w:r>
        <w:rPr>
          <w:rFonts w:hint="default" w:ascii="Times New Roman" w:hAnsi="Times New Roman" w:eastAsia="宋体" w:cs="Times New Roman"/>
          <w:color w:val="1F1F1F"/>
          <w:kern w:val="0"/>
          <w:sz w:val="20"/>
          <w:szCs w:val="20"/>
          <w:lang w:val="en-US" w:eastAsia="zh-CN" w:bidi="ar"/>
        </w:rPr>
        <w:t xml:space="preserve">On these facts, we agree with the district court that LUMOS met its heavy burden of demonstrating that insufficient notice caused prejudice by rendering LUMOS unable to participate in appointing the arbitration panel,rendering the remaining proceedings invalid under the </w:t>
      </w:r>
      <w:r>
        <w:rPr>
          <w:rFonts w:ascii="TimesNewRomanPS-BoldMT" w:hAnsi="TimesNewRomanPS-BoldMT" w:eastAsia="TimesNewRomanPS-BoldMT" w:cs="TimesNewRomanPS-BoldMT"/>
          <w:b/>
          <w:bCs/>
          <w:color w:val="252525"/>
          <w:kern w:val="0"/>
          <w:sz w:val="20"/>
          <w:szCs w:val="20"/>
          <w:lang w:val="en-US" w:eastAsia="zh-CN" w:bidi="ar"/>
        </w:rPr>
        <w:t xml:space="preserve">New </w:t>
      </w:r>
      <w:r>
        <w:rPr>
          <w:rFonts w:hint="default" w:ascii="TimesNewRomanPS-BoldMT" w:hAnsi="TimesNewRomanPS-BoldMT" w:eastAsia="TimesNewRomanPS-BoldMT" w:cs="TimesNewRomanPS-BoldMT"/>
          <w:b/>
          <w:bCs/>
          <w:color w:val="252525"/>
          <w:kern w:val="0"/>
          <w:sz w:val="20"/>
          <w:szCs w:val="20"/>
          <w:lang w:val="en-US" w:eastAsia="zh-CN" w:bidi="ar"/>
        </w:rPr>
        <w:t>York Convention</w:t>
      </w:r>
      <w:r>
        <w:rPr>
          <w:rFonts w:hint="default" w:ascii="Times New Roman" w:hAnsi="Times New Roman" w:eastAsia="宋体" w:cs="Times New Roman"/>
          <w:color w:val="1F1F1F"/>
          <w:kern w:val="0"/>
          <w:sz w:val="20"/>
          <w:szCs w:val="20"/>
          <w:lang w:val="en-US" w:eastAsia="zh-CN" w:bidi="ar"/>
        </w:rPr>
        <w:t xml:space="preserve">. </w:t>
      </w:r>
    </w:p>
    <w:p w14:paraId="56A03201">
      <w:pPr>
        <w:keepNext w:val="0"/>
        <w:keepLines w:val="0"/>
        <w:widowControl/>
        <w:suppressLineNumbers w:val="0"/>
        <w:jc w:val="left"/>
      </w:pPr>
      <w:r>
        <w:rPr>
          <w:rFonts w:hint="default" w:ascii="TimesNewRomanPS-BoldMT" w:hAnsi="TimesNewRomanPS-BoldMT" w:eastAsia="TimesNewRomanPS-BoldMT" w:cs="TimesNewRomanPS-BoldMT"/>
          <w:b/>
          <w:bCs/>
          <w:color w:val="1F1F1F"/>
          <w:kern w:val="0"/>
          <w:sz w:val="20"/>
          <w:szCs w:val="20"/>
          <w:lang w:val="en-US" w:eastAsia="zh-CN" w:bidi="ar"/>
        </w:rPr>
        <w:t xml:space="preserve">III </w:t>
      </w:r>
    </w:p>
    <w:p w14:paraId="2F331F28">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The district court's dismissal with prejudice is </w:t>
      </w:r>
      <w:r>
        <w:rPr>
          <w:rFonts w:hint="default" w:ascii="TimesNewRomanPS-BoldMT" w:hAnsi="TimesNewRomanPS-BoldMT" w:eastAsia="TimesNewRomanPS-BoldMT" w:cs="TimesNewRomanPS-BoldMT"/>
          <w:b/>
          <w:bCs/>
          <w:color w:val="1F1F1F"/>
          <w:kern w:val="0"/>
          <w:sz w:val="20"/>
          <w:szCs w:val="20"/>
          <w:lang w:val="en-US" w:eastAsia="zh-CN" w:bidi="ar"/>
        </w:rPr>
        <w:t>AFFIRMED</w:t>
      </w:r>
      <w:r>
        <w:rPr>
          <w:rFonts w:hint="default" w:ascii="Times New Roman" w:hAnsi="Times New Roman" w:eastAsia="宋体" w:cs="Times New Roman"/>
          <w:color w:val="1F1F1F"/>
          <w:kern w:val="0"/>
          <w:sz w:val="20"/>
          <w:szCs w:val="20"/>
          <w:lang w:val="en-US" w:eastAsia="zh-CN" w:bidi="ar"/>
        </w:rPr>
        <w:t xml:space="preserve">. </w:t>
      </w:r>
    </w:p>
    <w:p w14:paraId="33FA6FD4">
      <w:pPr>
        <w:keepNext w:val="0"/>
        <w:keepLines w:val="0"/>
        <w:widowControl/>
        <w:suppressLineNumbers w:val="0"/>
        <w:jc w:val="left"/>
      </w:pPr>
      <w:r>
        <w:rPr>
          <w:rFonts w:hint="default" w:ascii="TimesNewRomanPS-BoldMT" w:hAnsi="TimesNewRomanPS-BoldMT" w:eastAsia="TimesNewRomanPS-BoldMT" w:cs="TimesNewRomanPS-BoldMT"/>
          <w:b/>
          <w:bCs/>
          <w:color w:val="212121"/>
          <w:kern w:val="0"/>
          <w:sz w:val="20"/>
          <w:szCs w:val="20"/>
          <w:lang w:val="en-US" w:eastAsia="zh-CN" w:bidi="ar"/>
        </w:rPr>
        <w:t xml:space="preserve">All Citations </w:t>
      </w:r>
    </w:p>
    <w:p w14:paraId="5F3EB502">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r>
        <w:rPr>
          <w:rFonts w:hint="default" w:ascii="Times New Roman" w:hAnsi="Times New Roman" w:eastAsia="宋体" w:cs="Times New Roman"/>
          <w:color w:val="1F1F1F"/>
          <w:kern w:val="0"/>
          <w:sz w:val="20"/>
          <w:szCs w:val="20"/>
          <w:lang w:val="en-US" w:eastAsia="zh-CN" w:bidi="ar"/>
        </w:rPr>
        <w:t>829 F.3d 1201</w:t>
      </w:r>
    </w:p>
    <w:p w14:paraId="36366166">
      <w:pPr>
        <w:keepNext w:val="0"/>
        <w:keepLines w:val="0"/>
        <w:widowControl/>
        <w:suppressLineNumbers w:val="0"/>
        <w:jc w:val="left"/>
      </w:pPr>
      <w:r>
        <w:rPr>
          <w:rFonts w:ascii="Helvetica" w:hAnsi="Helvetica" w:eastAsia="Helvetica" w:cs="Helvetica"/>
          <w:color w:val="000000"/>
          <w:kern w:val="0"/>
          <w:sz w:val="20"/>
          <w:szCs w:val="20"/>
          <w:lang w:val="en-US" w:eastAsia="zh-CN" w:bidi="ar"/>
        </w:rPr>
        <w:t xml:space="preserve">Footnotes </w:t>
      </w:r>
    </w:p>
    <w:p w14:paraId="298AEC75">
      <w:pPr>
        <w:keepNext w:val="0"/>
        <w:keepLines w:val="0"/>
        <w:widowControl/>
        <w:suppressLineNumbers w:val="0"/>
        <w:jc w:val="left"/>
      </w:pPr>
      <w:r>
        <w:rPr>
          <w:rFonts w:hint="default" w:ascii="Helvetica" w:hAnsi="Helvetica" w:eastAsia="Helvetica" w:cs="Helvetica"/>
          <w:color w:val="006FC4"/>
          <w:kern w:val="0"/>
          <w:sz w:val="24"/>
          <w:szCs w:val="24"/>
          <w:lang w:val="en-US" w:eastAsia="zh-CN" w:bidi="ar"/>
        </w:rPr>
        <w:t xml:space="preserve">1 </w:t>
      </w:r>
      <w:r>
        <w:rPr>
          <w:rFonts w:hint="default" w:ascii="Helvetica" w:hAnsi="Helvetica" w:eastAsia="Helvetica" w:cs="Helvetica"/>
          <w:color w:val="000000"/>
          <w:kern w:val="0"/>
          <w:sz w:val="18"/>
          <w:szCs w:val="18"/>
          <w:lang w:val="en-US" w:eastAsia="zh-CN" w:bidi="ar"/>
        </w:rPr>
        <w:t>Because our analysis concerns only whether notice in Chinese was reasonably calculated to apprise LUMOS of the arbitration proceedings, we do not consider CEEG's arguments that LUMOS should have</w:t>
      </w:r>
      <w:r>
        <w:rPr>
          <w:rFonts w:hint="eastAsia" w:ascii="Helvetica" w:hAnsi="Helvetica" w:eastAsia="Helvetica" w:cs="Helvetica"/>
          <w:color w:val="000000"/>
          <w:kern w:val="0"/>
          <w:sz w:val="18"/>
          <w:szCs w:val="18"/>
          <w:lang w:val="en-US" w:eastAsia="zh-CN" w:bidi="ar"/>
        </w:rPr>
        <w:t xml:space="preserve"> </w:t>
      </w:r>
      <w:r>
        <w:rPr>
          <w:rFonts w:hint="default" w:ascii="Helvetica" w:hAnsi="Helvetica" w:eastAsia="Helvetica" w:cs="Helvetica"/>
          <w:color w:val="000000"/>
          <w:kern w:val="0"/>
          <w:sz w:val="18"/>
          <w:szCs w:val="18"/>
          <w:lang w:val="en-US" w:eastAsia="zh-CN" w:bidi="ar"/>
        </w:rPr>
        <w:t xml:space="preserve">known that the documents constituted notice. </w:t>
      </w:r>
    </w:p>
    <w:p w14:paraId="3833638A">
      <w:pPr>
        <w:keepNext w:val="0"/>
        <w:keepLines w:val="0"/>
        <w:widowControl/>
        <w:suppressLineNumbers w:val="0"/>
        <w:jc w:val="left"/>
        <w:rPr>
          <w:rFonts w:hint="default" w:ascii="Helvetica" w:hAnsi="Helvetica" w:eastAsia="Helvetica" w:cs="Helvetica"/>
          <w:color w:val="006FC4"/>
          <w:kern w:val="0"/>
          <w:sz w:val="24"/>
          <w:szCs w:val="24"/>
          <w:lang w:val="en-US" w:eastAsia="zh-CN" w:bidi="ar"/>
        </w:rPr>
      </w:pPr>
    </w:p>
    <w:p w14:paraId="09C42DD0">
      <w:pPr>
        <w:keepNext w:val="0"/>
        <w:keepLines w:val="0"/>
        <w:widowControl/>
        <w:suppressLineNumbers w:val="0"/>
        <w:jc w:val="left"/>
      </w:pPr>
      <w:r>
        <w:rPr>
          <w:rFonts w:hint="default" w:ascii="Helvetica" w:hAnsi="Helvetica" w:eastAsia="Helvetica" w:cs="Helvetica"/>
          <w:color w:val="006FC4"/>
          <w:kern w:val="0"/>
          <w:sz w:val="24"/>
          <w:szCs w:val="24"/>
          <w:lang w:val="en-US" w:eastAsia="zh-CN" w:bidi="ar"/>
        </w:rPr>
        <w:t xml:space="preserve">2 </w:t>
      </w:r>
      <w:r>
        <w:rPr>
          <w:rFonts w:hint="default" w:ascii="Helvetica" w:hAnsi="Helvetica" w:eastAsia="Helvetica" w:cs="Helvetica"/>
          <w:color w:val="000000"/>
          <w:kern w:val="0"/>
          <w:sz w:val="18"/>
          <w:szCs w:val="18"/>
          <w:lang w:val="en-US" w:eastAsia="zh-CN" w:bidi="ar"/>
        </w:rPr>
        <w:t xml:space="preserve">CEEG argues that we must defer to the arbitration panel's determination that the Agreement does not govern the transaction memorialized in the Contract. But we reject the contention that we “must overlook agreed-upon arbitral procedures” in deference to the public policy in favor of international arbitration. Accord </w:t>
      </w:r>
      <w:r>
        <w:rPr>
          <w:rFonts w:hint="default" w:ascii="Helvetica" w:hAnsi="Helvetica" w:eastAsia="Helvetica" w:cs="Helvetica"/>
          <w:color w:val="006FC4"/>
          <w:kern w:val="0"/>
          <w:sz w:val="18"/>
          <w:szCs w:val="18"/>
          <w:lang w:val="en-US" w:eastAsia="zh-CN" w:bidi="ar"/>
        </w:rPr>
        <w:t>Encyclopaedia Universalis, 403 F.3d at 91</w:t>
      </w:r>
      <w:r>
        <w:rPr>
          <w:rFonts w:hint="default" w:ascii="Helvetica" w:hAnsi="Helvetica" w:eastAsia="Helvetica" w:cs="Helvetica"/>
          <w:color w:val="000000"/>
          <w:kern w:val="0"/>
          <w:sz w:val="18"/>
          <w:szCs w:val="18"/>
          <w:lang w:val="en-US" w:eastAsia="zh-CN" w:bidi="ar"/>
        </w:rPr>
        <w:t>. Moreover, our holding does not rely on the conclusion that the Contract was bound by the terms of the Agreement. Rather, the Agreement is one piece of</w:t>
      </w:r>
      <w:r>
        <w:rPr>
          <w:rFonts w:hint="eastAsia" w:ascii="Helvetica" w:hAnsi="Helvetica" w:eastAsia="Helvetica" w:cs="Helvetica"/>
          <w:color w:val="000000"/>
          <w:kern w:val="0"/>
          <w:sz w:val="18"/>
          <w:szCs w:val="18"/>
          <w:lang w:val="en-US" w:eastAsia="zh-CN" w:bidi="ar"/>
        </w:rPr>
        <w:t xml:space="preserve"> </w:t>
      </w:r>
      <w:r>
        <w:rPr>
          <w:rFonts w:hint="default" w:ascii="Helvetica" w:hAnsi="Helvetica" w:eastAsia="Helvetica" w:cs="Helvetica"/>
          <w:color w:val="000000"/>
          <w:kern w:val="0"/>
          <w:sz w:val="18"/>
          <w:szCs w:val="18"/>
          <w:lang w:val="en-US" w:eastAsia="zh-CN" w:bidi="ar"/>
        </w:rPr>
        <w:t xml:space="preserve">evidence demonstrating that the parties understood their relationship would proceed in English, and that CEEG suddenly deviated from that understanding and practice when providing notice. </w:t>
      </w:r>
    </w:p>
    <w:p w14:paraId="31458C12">
      <w:pPr>
        <w:keepNext w:val="0"/>
        <w:keepLines w:val="0"/>
        <w:widowControl/>
        <w:suppressLineNumbers w:val="0"/>
        <w:jc w:val="left"/>
        <w:rPr>
          <w:rFonts w:hint="default" w:ascii="Helvetica" w:hAnsi="Helvetica" w:eastAsia="Helvetica" w:cs="Helvetica"/>
          <w:color w:val="006FC4"/>
          <w:kern w:val="0"/>
          <w:sz w:val="24"/>
          <w:szCs w:val="24"/>
          <w:lang w:val="en-US" w:eastAsia="zh-CN" w:bidi="ar"/>
        </w:rPr>
      </w:pPr>
    </w:p>
    <w:p w14:paraId="65FED3AE">
      <w:pPr>
        <w:keepNext w:val="0"/>
        <w:keepLines w:val="0"/>
        <w:widowControl/>
        <w:suppressLineNumbers w:val="0"/>
        <w:jc w:val="left"/>
      </w:pPr>
      <w:r>
        <w:rPr>
          <w:rFonts w:hint="default" w:ascii="Helvetica" w:hAnsi="Helvetica" w:eastAsia="Helvetica" w:cs="Helvetica"/>
          <w:color w:val="006FC4"/>
          <w:kern w:val="0"/>
          <w:sz w:val="24"/>
          <w:szCs w:val="24"/>
          <w:lang w:val="en-US" w:eastAsia="zh-CN" w:bidi="ar"/>
        </w:rPr>
        <w:t xml:space="preserve">3 </w:t>
      </w:r>
      <w:r>
        <w:rPr>
          <w:rFonts w:hint="default" w:ascii="Helvetica" w:hAnsi="Helvetica" w:eastAsia="Helvetica" w:cs="Helvetica"/>
          <w:color w:val="000000"/>
          <w:kern w:val="0"/>
          <w:sz w:val="18"/>
          <w:szCs w:val="18"/>
          <w:lang w:val="en-US" w:eastAsia="zh-CN" w:bidi="ar"/>
        </w:rPr>
        <w:t xml:space="preserve">CEEG argues that CIETAC, and not CEEG, sent the arbitration notice. This argument is undermined by the fact that the notice letter appears to have been signed by CEEG's counsel. Regardless, CIETAC's rules plainly state that absent agreement between the parties, arbitration proceedings will be held in “Chinese or any other language designated by CIETAC having regard to the circumstances of the case.” CIETAC Rules art. 71 § 1 (emphasis added). Thus, CEEG could have moved for CIETAC to proceed in English. CEEG cannot avoid responsibility for insufficient notice by arguing that it assigned to a third party the duty to ensure that the notice was reasonably calculated to apprise LUMOS of the proceedings. </w:t>
      </w:r>
    </w:p>
    <w:p w14:paraId="1D8B65B1">
      <w:pPr>
        <w:keepNext w:val="0"/>
        <w:keepLines w:val="0"/>
        <w:widowControl/>
        <w:suppressLineNumbers w:val="0"/>
        <w:jc w:val="left"/>
        <w:rPr>
          <w:rFonts w:hint="default" w:ascii="Helvetica" w:hAnsi="Helvetica" w:eastAsia="Helvetica" w:cs="Helvetica"/>
          <w:color w:val="006FC4"/>
          <w:kern w:val="0"/>
          <w:sz w:val="24"/>
          <w:szCs w:val="24"/>
          <w:lang w:val="en-US" w:eastAsia="zh-CN" w:bidi="ar"/>
        </w:rPr>
      </w:pPr>
    </w:p>
    <w:p w14:paraId="49203CAE">
      <w:pPr>
        <w:keepNext w:val="0"/>
        <w:keepLines w:val="0"/>
        <w:widowControl/>
        <w:suppressLineNumbers w:val="0"/>
        <w:jc w:val="left"/>
      </w:pPr>
      <w:r>
        <w:rPr>
          <w:rFonts w:hint="default" w:ascii="Helvetica" w:hAnsi="Helvetica" w:eastAsia="Helvetica" w:cs="Helvetica"/>
          <w:color w:val="006FC4"/>
          <w:kern w:val="0"/>
          <w:sz w:val="24"/>
          <w:szCs w:val="24"/>
          <w:lang w:val="en-US" w:eastAsia="zh-CN" w:bidi="ar"/>
        </w:rPr>
        <w:t xml:space="preserve">4 </w:t>
      </w:r>
      <w:r>
        <w:rPr>
          <w:rFonts w:hint="default" w:ascii="Helvetica" w:hAnsi="Helvetica" w:eastAsia="Helvetica" w:cs="Helvetica"/>
          <w:color w:val="000000"/>
          <w:kern w:val="0"/>
          <w:sz w:val="18"/>
          <w:szCs w:val="18"/>
          <w:lang w:val="en-US" w:eastAsia="zh-CN" w:bidi="ar"/>
        </w:rPr>
        <w:t>Similarly, CEEG's argument that LUMOS did not preserve any objection to the panel's composition was also raised for the first time in reply. Moreover, based on Franklin's testimony, the district court found that LUMOS preserved its objection to the panel composition by raising it in the arbitration proceedings. On appeal, CEEG does not present any evidence to contradict this finding.</w:t>
      </w:r>
    </w:p>
    <w:p w14:paraId="3BF29799">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1907FE98">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55952085">
      <w:pPr>
        <w:keepNext w:val="0"/>
        <w:keepLines w:val="0"/>
        <w:widowControl/>
        <w:suppressLineNumbers w:val="0"/>
        <w:jc w:val="left"/>
      </w:pPr>
    </w:p>
    <w:p w14:paraId="65008987">
      <w:pPr>
        <w:keepNext w:val="0"/>
        <w:keepLines w:val="0"/>
        <w:widowControl/>
        <w:suppressLineNumbers w:val="0"/>
        <w:jc w:val="left"/>
        <w:rPr>
          <w:rFonts w:hint="default"/>
          <w:lang w:val="en-US"/>
        </w:rPr>
      </w:pPr>
    </w:p>
    <w:p w14:paraId="006880CE">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67BB0374">
      <w:pPr>
        <w:keepNext w:val="0"/>
        <w:keepLines w:val="0"/>
        <w:widowControl/>
        <w:suppressLineNumbers w:val="0"/>
        <w:jc w:val="left"/>
        <w:rPr>
          <w:rFonts w:hint="default"/>
          <w:lang w:val="en-US"/>
        </w:rPr>
      </w:pPr>
    </w:p>
    <w:p w14:paraId="3D4347C7">
      <w:pPr>
        <w:keepNext w:val="0"/>
        <w:keepLines w:val="0"/>
        <w:widowControl/>
        <w:suppressLineNumbers w:val="0"/>
        <w:jc w:val="left"/>
        <w:rPr>
          <w:rFonts w:hint="default" w:ascii="Times New Roman" w:hAnsi="Times New Roman" w:eastAsia="宋体" w:cs="Times New Roman"/>
          <w:color w:val="006FC4"/>
          <w:kern w:val="0"/>
          <w:sz w:val="20"/>
          <w:szCs w:val="20"/>
          <w:lang w:val="en-US" w:eastAsia="zh-CN" w:bidi="ar"/>
        </w:rPr>
      </w:pPr>
    </w:p>
    <w:p w14:paraId="412E1677">
      <w:pPr>
        <w:keepNext w:val="0"/>
        <w:keepLines w:val="0"/>
        <w:widowControl/>
        <w:suppressLineNumbers w:val="0"/>
        <w:jc w:val="left"/>
        <w:rPr>
          <w:rFonts w:hint="default"/>
          <w:lang w:val="en-U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LTStd-Roman">
    <w:altName w:val="Times New Roman"/>
    <w:panose1 w:val="00000000000000000000"/>
    <w:charset w:val="00"/>
    <w:family w:val="auto"/>
    <w:pitch w:val="default"/>
    <w:sig w:usb0="00000000" w:usb1="00000000" w:usb2="00000000" w:usb3="00000000" w:csb0="00000000" w:csb1="00000000"/>
  </w:font>
  <w:font w:name="TimesNewRomanPS-BoldMT">
    <w:panose1 w:val="02020503050405090304"/>
    <w:charset w:val="00"/>
    <w:family w:val="auto"/>
    <w:pitch w:val="default"/>
    <w:sig w:usb0="E0000AFF" w:usb1="00007843" w:usb2="00000001" w:usb3="00000000" w:csb0="400001BF" w:csb1="DFF70000"/>
  </w:font>
  <w:font w:name="Helvetica">
    <w:panose1 w:val="00000000000000000000"/>
    <w:charset w:val="00"/>
    <w:family w:val="auto"/>
    <w:pitch w:val="default"/>
    <w:sig w:usb0="E00002FF" w:usb1="5000785B" w:usb2="00000000" w:usb3="00000000" w:csb0="2000019F" w:csb1="4F01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6FDE21"/>
    <w:rsid w:val="5FAD91E5"/>
    <w:rsid w:val="6F6FDE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44</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2026-09-16T01:09:00Z</dcterms:created>
  <dc:creator>林瓒</dc:creator>
  <cp:lastModifiedBy>林瓒</cp:lastModifiedBy>
  <dcterms:modified xsi:type="dcterms:W3CDTF">2026-09-15T18:02:50Z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C1EBDD0D5BB0BC33440BA96A555222DB_41</vt:lpwstr>
  </property>
</Properties>
</file>