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75135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CEEG (Shanghai) Solar Science &amp; Technology Co., Ltd. v. LUMOS LLC</w:t>
      </w:r>
    </w:p>
    <w:p w14:paraId="2D805D93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1. 选案清单与研究范围说明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C70AF5">
        <w:tc>
          <w:tcPr>
            <w:tcW w:w="4320" w:type="dxa"/>
          </w:tcPr>
          <w:p w14:paraId="519E640A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案名/案号</w:t>
            </w:r>
          </w:p>
        </w:tc>
        <w:tc>
          <w:tcPr>
            <w:tcW w:w="4320" w:type="dxa"/>
          </w:tcPr>
          <w:p w14:paraId="0F35631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CEEG (Shanghai) Solar Science &amp; Technology Co., Ltd. v. LUMOS LLC；No. 15-1256</w:t>
            </w:r>
          </w:p>
        </w:tc>
      </w:tr>
      <w:tr w14:paraId="0D172704">
        <w:tc>
          <w:tcPr>
            <w:tcW w:w="4320" w:type="dxa"/>
          </w:tcPr>
          <w:p w14:paraId="62C3365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法院/裁判日期</w:t>
            </w:r>
          </w:p>
        </w:tc>
        <w:tc>
          <w:tcPr>
            <w:tcW w:w="4320" w:type="dxa"/>
          </w:tcPr>
          <w:p w14:paraId="0F5BC5B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United States Court of Appeals, Tenth Circuit；2016-07-19</w:t>
            </w:r>
          </w:p>
        </w:tc>
      </w:tr>
      <w:tr w14:paraId="6E730B52">
        <w:tc>
          <w:tcPr>
            <w:tcW w:w="4320" w:type="dxa"/>
          </w:tcPr>
          <w:p w14:paraId="5EEFB75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所属专题</w:t>
            </w:r>
          </w:p>
        </w:tc>
        <w:tc>
          <w:tcPr>
            <w:tcW w:w="4320" w:type="dxa"/>
          </w:tcPr>
          <w:p w14:paraId="2B6E6ED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通知与陈述机会｜语言与有效通知｜仲裁庭组成参与</w:t>
            </w:r>
          </w:p>
        </w:tc>
      </w:tr>
      <w:tr w14:paraId="2240178A">
        <w:tc>
          <w:tcPr>
            <w:tcW w:w="4320" w:type="dxa"/>
          </w:tcPr>
          <w:p w14:paraId="3F211E3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核心争点</w:t>
            </w:r>
          </w:p>
        </w:tc>
        <w:tc>
          <w:tcPr>
            <w:tcW w:w="4320" w:type="dxa"/>
          </w:tcPr>
          <w:p w14:paraId="18B4C20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中文仲裁通知在既往沟通均以英文、协议英文版本控制等背景下，是否“合理计算”使美国当事人知悉仲裁，并使其获得陈述及参与组成仲裁庭的机会。</w:t>
            </w:r>
          </w:p>
        </w:tc>
      </w:tr>
      <w:tr w14:paraId="344DA424">
        <w:tc>
          <w:tcPr>
            <w:tcW w:w="4320" w:type="dxa"/>
          </w:tcPr>
          <w:p w14:paraId="6EB4DAE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纳入理由</w:t>
            </w:r>
          </w:p>
        </w:tc>
        <w:tc>
          <w:tcPr>
            <w:tcW w:w="4320" w:type="dxa"/>
          </w:tcPr>
          <w:p w14:paraId="172059E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直接处理或实质讨论《纽约公约》第V(1)(b)条的通知/陈述机会问题，并具有中国主体、在中国作出的裁决或中国仲裁程序关联。</w:t>
            </w:r>
          </w:p>
        </w:tc>
      </w:tr>
      <w:tr w14:paraId="644B08F5">
        <w:tc>
          <w:tcPr>
            <w:tcW w:w="4320" w:type="dxa"/>
          </w:tcPr>
          <w:p w14:paraId="09B78CA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材料取得情况</w:t>
            </w:r>
          </w:p>
        </w:tc>
        <w:tc>
          <w:tcPr>
            <w:tcW w:w="4320" w:type="dxa"/>
          </w:tcPr>
          <w:p w14:paraId="3B33114B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已取得：当前样本裁判全文/Westlaw导出PDF（CEEG (Shanghai) Solar Science And Technology Co Ltd v LUMOS LLC-2.pdf，PDF pp.1–7）。其他案卷附件、仲裁通知原件或同案其他审级文书：按本包“缺口”逐项标记。</w:t>
            </w:r>
          </w:p>
        </w:tc>
      </w:tr>
    </w:tbl>
    <w:p w14:paraId="675508FC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支持的研究问题：①程序事件如何编码为通知、语言、地址、送达、听证、证据开示、仲裁庭组成与陈述机会等子要素；②V(1)(b)如何连接论坛正当程序标准；③何种证据足以支持“通知充分/不足”或“无法陈述”；④材料缺口如何影响模拟法庭中的论证与未知项保留。</w:t>
      </w:r>
    </w:p>
    <w:p w14:paraId="31A75B51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关联程序标记：当前样本为上诉审，原审地区法院判决属于同一案件簇。</w:t>
      </w:r>
    </w:p>
    <w:p w14:paraId="2DA11BF9">
      <w:pPr>
        <w:pStyle w:val="3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val="en-US" w:eastAsia="zh-CN"/>
        </w:rPr>
        <w:t>3.</w:t>
      </w:r>
      <w:r>
        <w:rPr>
          <w:rFonts w:hint="eastAsia" w:ascii="Hiragino Sans GB W3" w:hAnsi="Hiragino Sans GB W3" w:eastAsia="Hiragino Sans GB W3" w:cs="Hiragino Sans GB W3"/>
        </w:rPr>
        <w:t>法源原文与专题规则卡</w:t>
      </w:r>
    </w:p>
    <w:p w14:paraId="594AC5D7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共用法源索引：</w:t>
      </w:r>
    </w:p>
    <w:p w14:paraId="7DD64DC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纽约公约（UNCITRAL官方）：https://uncitral.un.org/en/texts/arbitration/conventions/foreign_arbitral_awards</w:t>
      </w:r>
    </w:p>
    <w:p w14:paraId="3669266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美国法典9 U.S.C. Chapter 2：</w:t>
      </w:r>
    </w:p>
    <w:p w14:paraId="145EBF04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</w:t>
      </w:r>
    </w:p>
    <w:p w14:paraId="11B8485F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9 U.S.C. §207：</w:t>
      </w:r>
    </w:p>
    <w:p w14:paraId="4C22C830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https://law.justia.com/codes/us/title-9/chapter-2/sec-207/</w:t>
      </w:r>
    </w:p>
    <w:p w14:paraId="16E5DCB5">
      <w:p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联邦民事诉讼规则：</w:t>
      </w:r>
    </w:p>
    <w:p w14:paraId="70987E50">
      <w:pPr>
        <w:rPr>
          <w:rFonts w:hint="eastAsia" w:ascii="Hiragino Sans GB W3" w:hAnsi="Hiragino Sans GB W3" w:eastAsia="Hiragino Sans GB W3" w:cs="Hiragino Sans GB W3"/>
          <w:lang w:val="en-US" w:eastAsia="zh-CN"/>
        </w:rPr>
      </w:pPr>
      <w:r>
        <w:rPr>
          <w:rFonts w:hint="eastAsia" w:ascii="Hiragino Sans GB W3" w:hAnsi="Hiragino Sans GB W3" w:eastAsia="Hiragino Sans GB W3" w:cs="Hiragino Sans GB W3"/>
        </w:rPr>
        <w:fldChar w:fldCharType="begin"/>
      </w:r>
      <w:r>
        <w:rPr>
          <w:rFonts w:hint="eastAsia" w:ascii="Hiragino Sans GB W3" w:hAnsi="Hiragino Sans GB W3" w:eastAsia="Hiragino Sans GB W3" w:cs="Hiragino Sans GB W3"/>
        </w:rPr>
        <w:instrText xml:space="preserve"> HYPERLINK "https://www.wipo.int/wipolex/zh/legislation/details/23152" </w:instrText>
      </w:r>
      <w:r>
        <w:rPr>
          <w:rFonts w:hint="eastAsia" w:ascii="Hiragino Sans GB W3" w:hAnsi="Hiragino Sans GB W3" w:eastAsia="Hiragino Sans GB W3" w:cs="Hiragino Sans GB W3"/>
        </w:rPr>
        <w:fldChar w:fldCharType="separate"/>
      </w:r>
      <w:r>
        <w:rPr>
          <w:rFonts w:hint="eastAsia" w:ascii="Hiragino Sans GB W3" w:hAnsi="Hiragino Sans GB W3" w:eastAsia="Hiragino Sans GB W3" w:cs="Hiragino Sans GB W3"/>
        </w:rPr>
        <w:t>https://www.wipo.int/wipolex/zh/legislation/details/23152</w:t>
      </w:r>
      <w:r>
        <w:rPr>
          <w:rFonts w:hint="eastAsia" w:ascii="Hiragino Sans GB W3" w:hAnsi="Hiragino Sans GB W3" w:eastAsia="Hiragino Sans GB W3" w:cs="Hiragino Sans GB W3"/>
        </w:rPr>
        <w:fldChar w:fldCharType="end"/>
      </w:r>
    </w:p>
    <w:p w14:paraId="39AB37E8">
      <w:pPr>
        <w:pStyle w:val="4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规则卡：纽约公约第V(1)(b)｜通知与陈述机会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35AA0B">
        <w:tc>
          <w:tcPr>
            <w:tcW w:w="4320" w:type="dxa"/>
          </w:tcPr>
          <w:p w14:paraId="0CE1394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原文核心</w:t>
            </w:r>
          </w:p>
        </w:tc>
        <w:tc>
          <w:tcPr>
            <w:tcW w:w="4320" w:type="dxa"/>
          </w:tcPr>
          <w:p w14:paraId="3097411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The party … was not given proper notice of the appointment of the arbitrator or of the arbitration proceedings or was otherwise unable to present his case.</w:t>
            </w:r>
          </w:p>
        </w:tc>
      </w:tr>
      <w:tr w14:paraId="0C68A566">
        <w:tc>
          <w:tcPr>
            <w:tcW w:w="4320" w:type="dxa"/>
          </w:tcPr>
          <w:p w14:paraId="7D8F546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适用条件</w:t>
            </w:r>
          </w:p>
        </w:tc>
        <w:tc>
          <w:tcPr>
            <w:tcW w:w="4320" w:type="dxa"/>
          </w:tcPr>
          <w:p w14:paraId="6C15161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执行/承认程序中，由抗辩方证明未获适当通知，或因程序安排无法陈述案件。</w:t>
            </w:r>
          </w:p>
        </w:tc>
      </w:tr>
      <w:tr w14:paraId="3475D003">
        <w:tc>
          <w:tcPr>
            <w:tcW w:w="4320" w:type="dxa"/>
          </w:tcPr>
          <w:p w14:paraId="7B047DA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本批共同解释</w:t>
            </w:r>
          </w:p>
        </w:tc>
        <w:tc>
          <w:tcPr>
            <w:tcW w:w="4320" w:type="dxa"/>
          </w:tcPr>
          <w:p w14:paraId="69CA3DC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美国法院样本普遍以论坛正当程序为参照，关注通知是否在全部情形下“reasonably calculated”使当事人知悉程序并有机会提出意见。</w:t>
            </w:r>
          </w:p>
        </w:tc>
      </w:tr>
      <w:tr w14:paraId="1CB7EC4A">
        <w:tc>
          <w:tcPr>
            <w:tcW w:w="4320" w:type="dxa"/>
          </w:tcPr>
          <w:p w14:paraId="09B32A10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通知子要素</w:t>
            </w:r>
          </w:p>
        </w:tc>
        <w:tc>
          <w:tcPr>
            <w:tcW w:w="4320" w:type="dxa"/>
          </w:tcPr>
          <w:p w14:paraId="42E1E7B7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语言可理解性；文件是否足以识别案件；地址选择与退件后补救；送达证据；实际知悉与事后行为。</w:t>
            </w:r>
          </w:p>
        </w:tc>
      </w:tr>
      <w:tr w14:paraId="2E35247A">
        <w:tc>
          <w:tcPr>
            <w:tcW w:w="4320" w:type="dxa"/>
          </w:tcPr>
          <w:p w14:paraId="63E2961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陈述机会子要素</w:t>
            </w:r>
          </w:p>
        </w:tc>
        <w:tc>
          <w:tcPr>
            <w:tcW w:w="4320" w:type="dxa"/>
          </w:tcPr>
          <w:p w14:paraId="27C735D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提交材料机会；证据开示；口头/证据听证；仲裁庭组成参与；程序是否依当事人约定。</w:t>
            </w:r>
          </w:p>
        </w:tc>
      </w:tr>
      <w:tr w14:paraId="35AAD73B">
        <w:tc>
          <w:tcPr>
            <w:tcW w:w="4320" w:type="dxa"/>
          </w:tcPr>
          <w:p w14:paraId="1C496C8A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例外/边界</w:t>
            </w:r>
          </w:p>
        </w:tc>
        <w:tc>
          <w:tcPr>
            <w:tcW w:w="4320" w:type="dxa"/>
          </w:tcPr>
          <w:p w14:paraId="1FA0E8E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“未实际收到”“未出庭”不当然等于V(1)(b)成立；反之，形式寄送也不当然充分。必须结合程序整体与具体不利后果。</w:t>
            </w:r>
          </w:p>
        </w:tc>
      </w:tr>
      <w:tr w14:paraId="42858666">
        <w:tc>
          <w:tcPr>
            <w:tcW w:w="4320" w:type="dxa"/>
          </w:tcPr>
          <w:p w14:paraId="65C4788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法律后果</w:t>
            </w:r>
          </w:p>
        </w:tc>
        <w:tc>
          <w:tcPr>
            <w:tcW w:w="4320" w:type="dxa"/>
          </w:tcPr>
          <w:p w14:paraId="49B5FC6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抗辩成立时，可作为拒绝承认或执行的依据；不应将程序性裁定或临时措施误记为最终承认结果。</w:t>
            </w:r>
          </w:p>
        </w:tc>
      </w:tr>
      <w:tr w14:paraId="7CE2957D">
        <w:tc>
          <w:tcPr>
            <w:tcW w:w="4320" w:type="dxa"/>
          </w:tcPr>
          <w:p w14:paraId="006A1AC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关联案件</w:t>
            </w:r>
          </w:p>
        </w:tc>
        <w:tc>
          <w:tcPr>
            <w:tcW w:w="4320" w:type="dxa"/>
          </w:tcPr>
          <w:p w14:paraId="2C0B319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CEEG (Shanghai) Solar Science &amp; Technology Co., Ltd. v. LUMOS LLC</w:t>
            </w:r>
          </w:p>
        </w:tc>
      </w:tr>
    </w:tbl>
    <w:p w14:paraId="6D5CE311">
      <w:pPr>
        <w:pStyle w:val="3"/>
        <w:numPr>
          <w:ilvl w:val="0"/>
          <w:numId w:val="7"/>
        </w:numPr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核心争点双方论证与反驳参照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1AE284">
        <w:tc>
          <w:tcPr>
            <w:tcW w:w="4320" w:type="dxa"/>
          </w:tcPr>
          <w:p w14:paraId="00C60DDC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申请方真实程序主张</w:t>
            </w:r>
          </w:p>
        </w:tc>
        <w:tc>
          <w:tcPr>
            <w:tcW w:w="4320" w:type="dxa"/>
          </w:tcPr>
          <w:p w14:paraId="2CA23C44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仅依据样本文书披露：CEEG请求确认裁决，并主张LUMOS应已知悉文件性质/仲裁；相关具体抗辩以原审和上诉文书披露为限。</w:t>
            </w:r>
          </w:p>
        </w:tc>
      </w:tr>
      <w:tr w14:paraId="5C816C54">
        <w:tc>
          <w:tcPr>
            <w:tcW w:w="4320" w:type="dxa"/>
          </w:tcPr>
          <w:p w14:paraId="457EE79F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反对方真实程序主张</w:t>
            </w:r>
          </w:p>
        </w:tc>
        <w:tc>
          <w:tcPr>
            <w:tcW w:w="4320" w:type="dxa"/>
          </w:tcPr>
          <w:p w14:paraId="55E5DD83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仅依据样本文书披露：LUMOS主张通知不足，未获得有意义参与机会，并因此不能参与仲裁庭组成。</w:t>
            </w:r>
          </w:p>
        </w:tc>
      </w:tr>
      <w:tr w14:paraId="1A80BFC9">
        <w:tc>
          <w:tcPr>
            <w:tcW w:w="4320" w:type="dxa"/>
          </w:tcPr>
          <w:p w14:paraId="627209E6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申请方可补充研究论证（非历史事实）</w:t>
            </w:r>
          </w:p>
        </w:tc>
        <w:tc>
          <w:tcPr>
            <w:tcW w:w="4320" w:type="dxa"/>
          </w:tcPr>
          <w:p w14:paraId="2906B58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强调V(1)(b)的整体程序审查、抗辩方举证负担、可替代送达或书面程序的合理性，以及需证明具体不利后果。</w:t>
            </w:r>
          </w:p>
        </w:tc>
      </w:tr>
      <w:tr w14:paraId="44238AEF">
        <w:tc>
          <w:tcPr>
            <w:tcW w:w="4320" w:type="dxa"/>
          </w:tcPr>
          <w:p w14:paraId="5316D281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反对方可补充研究论证（非历史事实）</w:t>
            </w:r>
          </w:p>
        </w:tc>
        <w:tc>
          <w:tcPr>
            <w:tcW w:w="4320" w:type="dxa"/>
          </w:tcPr>
          <w:p w14:paraId="65B2E079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逐一攻击通知的可识别性、语言可理解性、地址适当性或程序限制，并将具体程序缺陷与“无法有效陈述”之间建立因果链。</w:t>
            </w:r>
          </w:p>
        </w:tc>
      </w:tr>
      <w:tr w14:paraId="15B7D847">
        <w:tc>
          <w:tcPr>
            <w:tcW w:w="4320" w:type="dxa"/>
          </w:tcPr>
          <w:p w14:paraId="0541015D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可能反驳</w:t>
            </w:r>
          </w:p>
        </w:tc>
        <w:tc>
          <w:tcPr>
            <w:tcW w:w="4320" w:type="dxa"/>
          </w:tcPr>
          <w:p w14:paraId="32FF201E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仅指出形式瑕疵不足；须讨论全部情形与实际参与机会。若主张“实际知悉”，须提供时间、来源与后续行为证据，不能凭常识补写。</w:t>
            </w:r>
          </w:p>
        </w:tc>
      </w:tr>
      <w:tr w14:paraId="371E48A9">
        <w:tc>
          <w:tcPr>
            <w:tcW w:w="4320" w:type="dxa"/>
          </w:tcPr>
          <w:p w14:paraId="274D8048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材料限制</w:t>
            </w:r>
          </w:p>
        </w:tc>
        <w:tc>
          <w:tcPr>
            <w:tcW w:w="4320" w:type="dxa"/>
          </w:tcPr>
          <w:p w14:paraId="1923A5C5">
            <w:pPr>
              <w:spacing w:after="0" w:line="240" w:lineRule="auto"/>
              <w:rPr>
                <w:rFonts w:hint="eastAsia" w:ascii="Hiragino Sans GB W3" w:hAnsi="Hiragino Sans GB W3" w:eastAsia="Hiragino Sans GB W3" w:cs="Hiragino Sans GB W3"/>
              </w:rPr>
            </w:pPr>
            <w:r>
              <w:rPr>
                <w:rFonts w:hint="eastAsia" w:ascii="Hiragino Sans GB W3" w:hAnsi="Hiragino Sans GB W3" w:eastAsia="Hiragino Sans GB W3" w:cs="Hiragino Sans GB W3"/>
              </w:rPr>
              <w:t>研究者补充论证不得倒灌为“当事人当时已提出”。样本文书未披露的仲裁通知原件、快递签收原件、完整庭审记录等均应保留未知。</w:t>
            </w:r>
          </w:p>
        </w:tc>
      </w:tr>
    </w:tbl>
    <w:p w14:paraId="769070C5">
      <w:pPr>
        <w:pStyle w:val="4"/>
        <w:bidi w:val="0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  <w:lang w:eastAsia="zh-CN"/>
        </w:rPr>
        <w:t>——</w:t>
      </w:r>
      <w:r>
        <w:rPr>
          <w:rFonts w:hint="eastAsia" w:ascii="Hiragino Sans GB W3" w:hAnsi="Hiragino Sans GB W3" w:eastAsia="Hiragino Sans GB W3" w:cs="Hiragino Sans GB W3"/>
        </w:rPr>
        <w:t>缺口、来源登记与交叉复核</w:t>
      </w:r>
    </w:p>
    <w:p w14:paraId="045AD3D6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S1｜已核读：来源文件名：CEEG (Shanghai) Solar Science And Technology Co Ltd v LUMOS LLC-2.pdf；页码：PDF1–7。</w:t>
      </w:r>
    </w:p>
    <w:p w14:paraId="25BBC9E9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L1｜待补：仲裁裁决全文、仲裁通知及送达/邮件/快递原件（影响对“通知事件”与证据链的精确编码）。</w:t>
      </w:r>
    </w:p>
    <w:p w14:paraId="3F30C369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L2｜待补：同案其他审级或修正文书（如样本明确显示存在）。不得以现有结果替代未核读文书。</w:t>
      </w:r>
    </w:p>
    <w:p w14:paraId="02F00679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R1｜交叉复核方法：复核人独立核对案件身份、程序阶段、V(1)(b)争点、关键原文位置与结果；对分歧记录“原标签—更正标签—理由—证据位置”。</w:t>
      </w:r>
    </w:p>
    <w:p w14:paraId="3850109A">
      <w:pPr>
        <w:pStyle w:val="16"/>
        <w:rPr>
          <w:rFonts w:hint="eastAsia" w:ascii="Hiragino Sans GB W3" w:hAnsi="Hiragino Sans GB W3" w:eastAsia="Hiragino Sans GB W3" w:cs="Hiragino Sans GB W3"/>
        </w:rPr>
      </w:pPr>
      <w:r>
        <w:rPr>
          <w:rFonts w:hint="eastAsia" w:ascii="Hiragino Sans GB W3" w:hAnsi="Hiragino Sans GB W3" w:eastAsia="Hiragino Sans GB W3" w:cs="Hiragino Sans GB W3"/>
        </w:rPr>
        <w:t>建议复核结论：待第二人独立复核</w:t>
      </w:r>
      <w:bookmarkStart w:id="0" w:name="_GoBack"/>
      <w:bookmarkEnd w:id="0"/>
      <w:r>
        <w:rPr>
          <w:rFonts w:hint="eastAsia" w:ascii="Hiragino Sans GB W3" w:hAnsi="Hiragino Sans GB W3" w:eastAsia="Hiragino Sans GB W3" w:cs="Hiragino Sans GB W3"/>
        </w:rPr>
        <w:t>（UV）。</w:t>
      </w:r>
    </w:p>
    <w:p w14:paraId="368F16C3">
      <w:pPr>
        <w:rPr>
          <w:rFonts w:hint="eastAsia" w:ascii="Hiragino Sans GB W3" w:hAnsi="Hiragino Sans GB W3" w:eastAsia="Hiragino Sans GB W3" w:cs="Hiragino Sans GB W3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E83A8"/>
    <w:multiLevelType w:val="singleLevel"/>
    <w:tmpl w:val="D79E83A8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EFD4A"/>
    <w:rsid w:val="2F9A7D60"/>
    <w:rsid w:val="5D9FF720"/>
    <w:rsid w:val="7F3B429B"/>
    <w:rsid w:val="7FF5D1CA"/>
    <w:rsid w:val="BF2B60C3"/>
    <w:rsid w:val="EEDDE412"/>
    <w:rsid w:val="FAFF221C"/>
    <w:rsid w:val="FE3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林瓒</cp:lastModifiedBy>
  <dcterms:modified xsi:type="dcterms:W3CDTF">2026-09-14T18:29:03Z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0EE957E4B742B27915C4A76A7E0BF4F7_42</vt:lpwstr>
  </property>
</Properties>
</file>