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80150">
      <w:pPr>
        <w:widowControl w:val="0"/>
        <w:pBdr>
          <w:top w:val="none" w:color="auto" w:sz="0" w:space="0"/>
          <w:left w:val="none" w:color="auto" w:sz="0" w:space="0"/>
          <w:bottom w:val="none" w:color="auto" w:sz="0" w:space="0"/>
          <w:right w:val="none" w:color="auto" w:sz="0" w:space="0"/>
          <w:between w:val="none" w:color="auto" w:sz="0" w:space="0"/>
        </w:pBdr>
        <w:spacing w:before="0" w:after="120" w:line="360" w:lineRule="auto"/>
        <w:jc w:val="both"/>
        <w:outlineLvl w:val="1"/>
        <w:rPr>
          <w:rFonts w:hint="eastAsia" w:ascii="宋体" w:hAnsi="宋体" w:eastAsia="宋体" w:cs="Google Sans Text"/>
          <w:b/>
          <w:color w:val="1B1C1D"/>
          <w:sz w:val="30"/>
          <w:szCs w:val="30"/>
          <w:lang w:val="en-US" w:eastAsia="zh-CN" w:bidi="ar-SA"/>
        </w:rPr>
      </w:pPr>
      <w:r>
        <w:rPr>
          <w:rFonts w:hint="eastAsia" w:ascii="宋体" w:hAnsi="宋体" w:eastAsia="宋体" w:cs="Google Sans Text"/>
          <w:b/>
          <w:color w:val="1B1C1D"/>
          <w:sz w:val="30"/>
          <w:szCs w:val="30"/>
          <w:lang w:val="en-US" w:eastAsia="zh-CN" w:bidi="ar-SA"/>
        </w:rPr>
        <w:t>2. 市场痛点与机遇 (Problem &amp; Opportunity)</w:t>
      </w:r>
    </w:p>
    <w:p w14:paraId="4C321B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当前，我国法律服务市场在需求爆发与供给结构性失衡的双重作用下，正面临深刻的变革压力。一方面，全民法律意识提升催生了海量、多元的服务需求；另一方面，传统的、高度依赖人力的服务模式在效率、成本和普及度上遭遇瓶颈。“元弈言枢”系统精准切入这一历史性拐点，致力于通过人工智能技术重构法律服务的关键环节，解决从民众到专业机构的全链条效能困境。</w:t>
      </w:r>
    </w:p>
    <w:p w14:paraId="1E5D36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25" w:beforeLines="200" w:after="120" w:line="360" w:lineRule="auto"/>
        <w:jc w:val="both"/>
        <w:textAlignment w:val="auto"/>
        <w:outlineLvl w:val="2"/>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2.1 C端（当事人）：门槛高，博弈难</w:t>
      </w:r>
    </w:p>
    <w:p w14:paraId="46C537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eastAsiaTheme="minorEastAsia"/>
          <w:sz w:val="24"/>
          <w:szCs w:val="24"/>
          <w:lang w:val="en-US" w:eastAsia="zh-CN"/>
        </w:rPr>
      </w:pPr>
      <w:r>
        <w:rPr>
          <w:rFonts w:hint="eastAsia"/>
          <w:sz w:val="24"/>
          <w:szCs w:val="24"/>
        </w:rPr>
        <w:t>在我国现有司法实践中，民事、行政乃至轻刑案件当事人普遍面临“法律路径存在，但有效进入困难”的现实困境。</w:t>
      </w:r>
      <w:r>
        <w:rPr>
          <w:rFonts w:hint="eastAsia"/>
          <w:sz w:val="24"/>
          <w:szCs w:val="24"/>
          <w:highlight w:val="yellow"/>
        </w:rPr>
        <w:t>2025年1-9月，全国法院受理的民商事一审案件已高达1895.4万件，其中劳动争议案件64.8万件（同比上升37.5%），知识产权案件45.4万件（同比上升33.78%）。</w:t>
      </w:r>
      <w:r>
        <w:rPr>
          <w:rFonts w:hint="eastAsia"/>
          <w:sz w:val="24"/>
          <w:szCs w:val="24"/>
        </w:rPr>
        <w:t>法律服务资源高度专业化、程序规则复杂化与当事人法律能力不足之间的结构性矛盾，使大量普通当事人在真实诉讼博弈中处于显著不利地位。这一问题并非源于法律制度本身的缺失，而是集中体现为诉讼参与门槛过高、信息与策略不对称，以及博弈能力严重不足。</w:t>
      </w:r>
      <w:r>
        <w:rPr>
          <w:rFonts w:hint="eastAsia"/>
          <w:sz w:val="24"/>
          <w:szCs w:val="24"/>
        </w:rPr>
        <w:br w:type="textWrapping"/>
      </w:r>
      <w:r>
        <w:rPr>
          <w:rFonts w:hint="eastAsia" w:eastAsiaTheme="minorEastAsia"/>
          <w:sz w:val="24"/>
          <w:szCs w:val="24"/>
          <w:lang w:val="en-US" w:eastAsia="zh-CN"/>
        </w:rPr>
        <w:drawing>
          <wp:inline distT="0" distB="0" distL="114300" distR="114300">
            <wp:extent cx="3762375" cy="1683385"/>
            <wp:effectExtent l="0" t="0" r="0" b="0"/>
            <wp:docPr id="3" name="图片 3" descr="2025年1-9月全国法院民商事一审案件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5年1-9月全国法院民商事一审案件构成"/>
                    <pic:cNvPicPr>
                      <a:picLocks noChangeAspect="1"/>
                    </pic:cNvPicPr>
                  </pic:nvPicPr>
                  <pic:blipFill>
                    <a:blip r:embed="rId5"/>
                    <a:srcRect t="-2372" r="28657" b="29261"/>
                    <a:stretch>
                      <a:fillRect/>
                    </a:stretch>
                  </pic:blipFill>
                  <pic:spPr>
                    <a:xfrm>
                      <a:off x="0" y="0"/>
                      <a:ext cx="3762375" cy="1683385"/>
                    </a:xfrm>
                    <a:prstGeom prst="rect">
                      <a:avLst/>
                    </a:prstGeom>
                  </pic:spPr>
                </pic:pic>
              </a:graphicData>
            </a:graphic>
          </wp:inline>
        </w:drawing>
      </w:r>
    </w:p>
    <w:p w14:paraId="36B4477F">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2.1.1成本痛点</w:t>
      </w:r>
    </w:p>
    <w:p w14:paraId="19FC42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从直接经济成本看，传统诉讼高度依赖律师专业服务，而律师费用构成了当事人进入司法程序的首要障碍。实践中，即便是事实关系清晰、争议金额有限的民事案件，完整代理费用往往在数千元甚至上万元区间浮动。对于小额纠纷、基层劳动争议、相邻权纠纷、网络侵权等案件类型而言，律师服务成本与潜在收益之间明显失衡，导致当事人“胜诉也不划算”。</w:t>
      </w:r>
    </w:p>
    <w:p w14:paraId="4A155A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rPr>
        <w:t>更为关键的是，高昂费用并未与服务的“博弈增益”形成线性对应。简单案件中，当事人支付的往往并非复杂法律分析，而是基础文书撰写与流程性代理。这种成本结构，使相当比例的当事人要么被迫放弃维权，要么选择自行应诉，却在后续博弈中因策略失误承担更高的隐性成本。当前司法服务供给侧存在“专业能力高度集中、低成本辅助工具缺位”的结构性问题，而这正构成系统性机会窗口</w:t>
      </w:r>
      <w:r>
        <w:rPr>
          <w:rFonts w:hint="eastAsia"/>
          <w:sz w:val="24"/>
          <w:szCs w:val="24"/>
          <w:lang w:eastAsia="zh-CN"/>
        </w:rPr>
        <w:t>。</w:t>
      </w:r>
    </w:p>
    <w:p w14:paraId="12DE3C2D">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2.1.2能力痛点</w:t>
      </w:r>
    </w:p>
    <w:p w14:paraId="65833E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除经济因素外，更深层的障碍在于当事人普遍缺乏对“庭审博弈逻辑”的理解能力。现实诉讼并非单纯的事实陈述或法条引用，而是围绕证据、程序节点、对方策略预期展开的动态博弈过程。然而，大多数当事人并不具备将事实转化为有效法律主张、将证据嵌入合理攻防结构的能力。</w:t>
      </w:r>
    </w:p>
    <w:p w14:paraId="68312C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实际操作中，这一能力缺口集中表现为：起诉状、答辩状内容情绪化、叙事冗余却缺乏要件对应；庭审发言偏离争点，无法针对对方主张作出策略性回应；对举证责任分配与证明标准理解不足，错失关键时点。这些问题并非“是否懂法”的简单区分，而是源于对诉讼作为一种多轮博弈机制的系统性误解。现有法律工具多停留在“静态文本生成”层面，无法模拟真实庭辩中攻防互动与策略演化过程，导致当事人在关键博弈节点上持续处于被动状态</w:t>
      </w:r>
    </w:p>
    <w:p w14:paraId="3E198E8F">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2.1.3市场机遇</w:t>
      </w:r>
    </w:p>
    <w:p w14:paraId="42C675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从静态模板到动态推演，构建可信任的决策支撑：</w:t>
      </w:r>
      <w:r>
        <w:rPr>
          <w:rFonts w:hint="eastAsia"/>
          <w:sz w:val="24"/>
          <w:szCs w:val="24"/>
          <w:lang w:val="en-US" w:eastAsia="zh-CN"/>
        </w:rPr>
        <w:t>传统工具仅提供固定文书模板，用户依然不知道“为何这样写”以及“写了会怎样”。本系统的核心突破在于，通过流程化、步骤化的引导，将一次诉讼准备转变为可理解、可追溯的策略推演过程。系统会清晰展示从事实整理、诉求形成到预判对方反击的完整逻辑链，让用户不仅拿到一份文书，更能看懂背后的博弈思路，从而建立自主决策的信心。这种透明化和可解释性，是本产品区别于传统黑箱式AI工具、获取用户信任的关键。</w:t>
      </w:r>
    </w:p>
    <w:p w14:paraId="430F692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从模糊担忧到量化预判，提供直观的风险导航：</w:t>
      </w:r>
      <w:r>
        <w:rPr>
          <w:rFonts w:hint="eastAsia"/>
          <w:sz w:val="24"/>
          <w:szCs w:val="24"/>
          <w:lang w:val="en-US" w:eastAsia="zh-CN"/>
        </w:rPr>
        <w:t>对于当事人，最大的恐惧源于对诉讼结果的未知。本系统通过模拟原告、被告、法官的三方智能体交互，能够将抽象的法律风险转化为相对具体的可能性分析。在用户输入事实后，系统不仅能生成起诉状，还能同步模拟生成一份“潜在答辩状”，并评估不同主张的成立概率。这就如同在出发前提供了一份包含不同路线与风险提示的“导航图”，让用户在面对真实法庭前，已对可能遭遇的挑战心中有数，从而做出更理性的选择。</w:t>
      </w:r>
    </w:p>
    <w:p w14:paraId="5D9DCB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从复杂专业到简洁引导，实现零基础的自然交互：</w:t>
      </w:r>
      <w:r>
        <w:rPr>
          <w:rFonts w:hint="eastAsia"/>
          <w:sz w:val="24"/>
          <w:szCs w:val="24"/>
          <w:lang w:val="en-US" w:eastAsia="zh-CN"/>
        </w:rPr>
        <w:t>我们深刻理解，让非专业人士填写复杂的法律表单本身就是一道屏障。因此，系统交互的核心设计理念是“对话”。用户只需像向朋友讲述事情经过一样，通过多轮自然问答完成信息输入。背后的智能体则负责将这些碎片化叙述自动转化为结构严谨的法律事实与主张。用户无需学习任何法律术语或文书格式，真正实现了“所思即所得”，将使用门槛降至极致，使得服务具备大规模普及的基础。</w:t>
      </w:r>
    </w:p>
    <w:p w14:paraId="54E5F7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default"/>
          <w:sz w:val="24"/>
          <w:szCs w:val="24"/>
          <w:lang w:val="en-US" w:eastAsia="zh-CN"/>
        </w:rPr>
      </w:pPr>
      <w:r>
        <w:rPr>
          <w:rFonts w:hint="eastAsia"/>
          <w:b/>
          <w:bCs/>
          <w:sz w:val="24"/>
          <w:szCs w:val="24"/>
          <w:lang w:val="en-US" w:eastAsia="zh-CN"/>
        </w:rPr>
        <w:t>从单一输出到生态进化，形成自我强化的内容壁垒：</w:t>
      </w:r>
      <w:r>
        <w:rPr>
          <w:rFonts w:hint="eastAsia"/>
          <w:sz w:val="24"/>
          <w:szCs w:val="24"/>
          <w:lang w:val="en-US" w:eastAsia="zh-CN"/>
        </w:rPr>
        <w:t>系统的独特优势在于其内部形成一个微型的“法律策略市场”。原告、被告、法官三个角色在持续模拟对抗中，会不断生产出针对各种案由的、高质量的攻防策略与裁判观点。这些不断演进的“策略数据”将成为系统越来越聪明的养料，使其能应对的场景更复杂、提供的策略更精细。这种通过实际使用不断自我进化、累积深度策略知识的能力，构成了难以被简单复制的核心竞争壁垒。</w:t>
      </w:r>
    </w:p>
    <w:p w14:paraId="4768C8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25" w:beforeLines="200" w:after="120" w:line="360" w:lineRule="auto"/>
        <w:jc w:val="both"/>
        <w:textAlignment w:val="auto"/>
        <w:outlineLvl w:val="2"/>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2.2 B端（律师）：内卷重，效率低</w:t>
      </w:r>
    </w:p>
    <w:p w14:paraId="6A2B3F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当前法律服务市场环境下，律师群体整体呈现出明显的“高强度投入—低边际回报”特征。一方面，案件数量持续增长、客户价格敏感度不断提高；另一方面，法律服务本身的专业壁垒并未同步转化为更高的单位产出效率，反而在标准化、重复性工作中持续消耗核心人力资源。这一结构性矛盾，使得律师行业对高质量智能辅助工具的需求，正从“可有可无”转向“刚性存在”。</w:t>
      </w:r>
    </w:p>
    <w:p w14:paraId="0716CCE3">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2.2.1重复劳动</w:t>
      </w:r>
    </w:p>
    <w:p w14:paraId="4A7212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从律师执业实践看，大量时间并未真正投入到案件的核心博弈与策略设计之中。证据材料的初步梳理、事实时间线的整理、类案裁判规则的检索、起诉状与答辩状等基础性法律文书的撰写与反复修改，占据了律师工作时间的主要部分。尤其在中低复杂度案件中，这类工作高度流程化、重复化，却必须依赖具备完整法律训练的专业人员完成，形成显著的效率浪费。</w:t>
      </w:r>
    </w:p>
    <w:p w14:paraId="23611A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eastAsia"/>
          <w:sz w:val="24"/>
          <w:szCs w:val="24"/>
        </w:rPr>
        <w:t>当前主流法律科技产品多集中于模板生成或单一文本优化，难以真正嵌入案件整体攻防逻辑之中，导致律师仍需在不同工具间反复切换，人工完成关键判断与结构性整合。这种“工具辅助但不减负”的现状，使律师难以从重复劳动中解放出来，进一步加剧行业内卷</w:t>
      </w:r>
      <w:r>
        <w:rPr>
          <w:rFonts w:hint="eastAsia"/>
          <w:sz w:val="24"/>
          <w:szCs w:val="24"/>
          <w:lang w:eastAsia="zh-CN"/>
        </w:rPr>
        <w:t>。</w:t>
      </w:r>
    </w:p>
    <w:p w14:paraId="35DFFEA6">
      <w:pPr>
        <w:spacing w:line="360" w:lineRule="auto"/>
        <w:rPr>
          <w:rFonts w:hint="eastAsia"/>
        </w:rPr>
      </w:pPr>
      <w:r>
        <w:rPr>
          <w:rFonts w:hint="eastAsia" w:ascii="宋体" w:hAnsi="宋体" w:eastAsia="宋体" w:cs="Google Sans Text"/>
          <w:b/>
          <w:color w:val="1B1C1D"/>
          <w:sz w:val="24"/>
          <w:szCs w:val="24"/>
          <w:lang w:val="en-US" w:eastAsia="zh-CN" w:bidi="ar-SA"/>
        </w:rPr>
        <w:t>2.2.2策略局限</w:t>
      </w:r>
      <w:r>
        <w:rPr>
          <w:rFonts w:hint="eastAsia"/>
        </w:rPr>
        <w:t>：</w:t>
      </w:r>
    </w:p>
    <w:p w14:paraId="6C14F3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除时间成本外，更具隐蔽性的瓶颈在于个体律师在策略层面的认知边界。诉讼本质上是一种多轮、动态、信息不完全的博弈过程，但现实中案件策略往往高度依赖单一律师或小团队的经验判断。即便是资深律师，也不可避免地受限于既有思维路径与经验惯性，难以系统性穷尽所有潜在抗辩角度与反制路径。</w:t>
      </w:r>
    </w:p>
    <w:p w14:paraId="3F4851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Theme="minorEastAsia"/>
          <w:sz w:val="24"/>
          <w:szCs w:val="24"/>
          <w:lang w:eastAsia="zh-CN"/>
        </w:rPr>
      </w:pPr>
      <w:r>
        <w:rPr>
          <w:rFonts w:hint="eastAsia"/>
          <w:sz w:val="24"/>
          <w:szCs w:val="24"/>
        </w:rPr>
        <w:t>在传统执业模式下，律师几乎不可能为每一案件配置“对抗性陪练”角色，对自身方案进行充分压力测试。项目资料中明确提出，“缺乏模拟对手的博弈推演机制”，是当前法律服务智能化程度难以突破的重要原因之一。没有“红军”视角的反向推演，策略风险往往只能在真实庭审中暴露，其代价直接由当事人与律师共同承担</w:t>
      </w:r>
      <w:r>
        <w:rPr>
          <w:rFonts w:hint="eastAsia"/>
          <w:sz w:val="24"/>
          <w:szCs w:val="24"/>
          <w:lang w:eastAsia="zh-CN"/>
        </w:rPr>
        <w:t>。</w:t>
      </w:r>
    </w:p>
    <w:p w14:paraId="22E54CF7">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2.2.3市场机遇</w:t>
      </w:r>
    </w:p>
    <w:p w14:paraId="6896535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上述痛点共同指向B端法律服务市场中一个清晰而现实的机会空间：律师亟需一种能够参与“策略生成与对抗验证”层面的智能系统，而非仅提供文本或信息支持的工具。随着多智能体协同、博弈论强化学习等技术路径逐渐成熟，模拟“控—辩—裁”多方策略互动，已具备可行性基础。</w:t>
      </w:r>
    </w:p>
    <w:p w14:paraId="52E30F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lang w:val="en-US" w:eastAsia="zh-CN"/>
        </w:rPr>
        <w:t>“元弈言枢”项目正是切入这一关键空白，通过构建多智能体模拟法庭环境，引入对手博弈与策略演化机制，为律师提供类对抗性推演与策略陪练的能力支持。在不替代律师专业判断、不触碰司法裁量边界的前提下，该系统有望显著提升律师在案件准备阶段的策略完备度与风险预判能力。这不仅能够优化单案效率，更有助于律师将有限精力集中于高价值的判断、谈判与庭审表现环节，从而在高度竞争的法律服务市场中形成新的能力优势。</w:t>
      </w:r>
    </w:p>
    <w:p w14:paraId="72176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625" w:beforeLines="200" w:after="120" w:line="360" w:lineRule="auto"/>
        <w:jc w:val="both"/>
        <w:textAlignment w:val="auto"/>
        <w:outlineLvl w:val="2"/>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2.3 G端（法院）：案多人少，压力大</w:t>
      </w:r>
    </w:p>
    <w:p w14:paraId="1315FD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随着社会纠纷类型的持续增多与司法可及性的不断提升，人民法院长期面临“案件总量刚性增长”与“审判资源增长有限”之间的结构性矛盾。该矛盾并非短期波动，而已成为司法运行中的常态背景。在此情形下，如何在不突破审判权边界的前提下，通过技术手段缓解程序性压力、提升整体运行效率，成为智慧法院建设中的核心议题之一。</w:t>
      </w:r>
    </w:p>
    <w:p w14:paraId="4E73FF6F">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2.3.1审判压力</w:t>
      </w:r>
    </w:p>
    <w:p w14:paraId="463689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highlight w:val="yellow"/>
          <w:lang w:val="en-US" w:eastAsia="zh-CN"/>
        </w:rPr>
        <w:t>2024年，12.82万名员额法官人均需办结354件案件。部分基层法院负荷更重，石家庄市桥西区法院法官人均年结案数达877.34件，这意味着平均每个工作日需审结约3.5个案件。</w:t>
      </w:r>
      <w:r>
        <w:rPr>
          <w:rFonts w:hint="eastAsia"/>
          <w:sz w:val="24"/>
          <w:szCs w:val="24"/>
          <w:lang w:val="en-US" w:eastAsia="zh-CN"/>
        </w:rPr>
        <w:t>高压之下，法官疲于应对结案率，案件开庭排期可能长达数月甚至一年，影响了司法公信力与民众获得感。从宏观运行层面看，案件数量持续攀升对法院系统形成了长期高压态势。案件结构中，大量事实相对清晰、法律关系相对固定的案件，占用了大量庭前准备、庭审组织与文书制作资源。法官在有限时间内需处理数量庞大的案件，客观上压缩了对复杂案件进行精细化说理与个案裁量的空间。</w:t>
      </w:r>
    </w:p>
    <w:p w14:paraId="25ED2C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而且，当前审判压力并不单纯源于“案件多”，而在于庭前争点不清、当事人攻防无序导致庭审效率下降。当案件在进入法庭前未经过充分的争点聚焦与博弈梳理，庭审阶段便容易演变为事实重复陈述与无效对抗，进一步放大审判负担。</w:t>
      </w:r>
    </w:p>
    <w:p w14:paraId="79187C68">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2.3.2文书质量</w:t>
      </w:r>
    </w:p>
    <w:p w14:paraId="58EA46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裁判文书环节，现有信息化系统对法官的支持仍停留在高度表层化阶段。主流辅助工具主要承担格式校验、模板调用、要素填充等事务性功能，对裁判核心所需的事实、争点、论证及结论之间的逻辑建构，难以提供实质性帮助。</w:t>
      </w:r>
    </w:p>
    <w:p w14:paraId="368F58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bookmarkStart w:id="0" w:name="_GoBack"/>
      <w:r>
        <w:rPr>
          <w:rFonts w:hint="eastAsia"/>
          <w:sz w:val="24"/>
          <w:szCs w:val="24"/>
          <w:lang w:val="en-US" w:eastAsia="zh-CN"/>
        </w:rPr>
        <w:t>在高负荷办案环境下，这种模板可用、说理靠人的模式容易导致裁判文书呈现出同质化严重、论证展开不足的问题，既增加法官个体负担，也在一定程度上影响司法公信力。</w:t>
      </w:r>
      <w:bookmarkEnd w:id="0"/>
      <w:r>
        <w:rPr>
          <w:rFonts w:hint="eastAsia"/>
          <w:sz w:val="24"/>
          <w:szCs w:val="24"/>
          <w:lang w:val="en-US" w:eastAsia="zh-CN"/>
        </w:rPr>
        <w:t>当前技术路径尚未真正介入博弈结果如何转化为裁判说理的关键环节，而这恰恰是智慧审判中最具价值、也最为审慎的突破方向。</w:t>
      </w:r>
    </w:p>
    <w:p w14:paraId="79394221">
      <w:pPr>
        <w:spacing w:line="360" w:lineRule="auto"/>
        <w:rPr>
          <w:rFonts w:hint="eastAsia" w:ascii="宋体" w:hAnsi="宋体" w:eastAsia="宋体" w:cs="Google Sans Text"/>
          <w:b/>
          <w:color w:val="1B1C1D"/>
          <w:sz w:val="24"/>
          <w:szCs w:val="24"/>
          <w:lang w:val="en-US" w:eastAsia="zh-CN" w:bidi="ar-SA"/>
        </w:rPr>
      </w:pPr>
      <w:r>
        <w:rPr>
          <w:rFonts w:hint="eastAsia" w:ascii="宋体" w:hAnsi="宋体" w:eastAsia="宋体" w:cs="Google Sans Text"/>
          <w:b/>
          <w:color w:val="1B1C1D"/>
          <w:sz w:val="24"/>
          <w:szCs w:val="24"/>
          <w:lang w:val="en-US" w:eastAsia="zh-CN" w:bidi="ar-SA"/>
        </w:rPr>
        <w:t>2.3.3市场机遇</w:t>
      </w:r>
    </w:p>
    <w:p w14:paraId="124E2E3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担任法官的“前瞻性案情参谋”，实现争议焦点预提炼：</w:t>
      </w:r>
      <w:r>
        <w:rPr>
          <w:rFonts w:hint="eastAsia"/>
          <w:sz w:val="24"/>
          <w:szCs w:val="24"/>
          <w:lang w:val="en-US" w:eastAsia="zh-CN"/>
        </w:rPr>
        <w:t>在案件进入正式庭审前，法官往往需要花费大量时间阅卷以初步把握矛盾核心。本系统通过模拟原告（CD Agent）与被告（DD Agent）的智能庭辩，能够自动对起诉与答辩材料进行多轮对抗性推演，从而将散落在卷宗中的事实主张与法律观点，归纳、提炼为清晰的争议焦点清单。这相当于为法官提供了一份经过初步“辩论检验”的案情摘要，帮助其快速锁定审理核心，大幅提升庭前准备效率。</w:t>
      </w:r>
    </w:p>
    <w:p w14:paraId="654931B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优化庭审流程，推动“交织辩论”向“焦点辩论”转型：</w:t>
      </w:r>
      <w:r>
        <w:rPr>
          <w:rFonts w:hint="eastAsia"/>
          <w:sz w:val="24"/>
          <w:szCs w:val="24"/>
          <w:lang w:val="en-US" w:eastAsia="zh-CN"/>
        </w:rPr>
        <w:t>传统庭审中，当事人因准备不足或策略模糊，易导致陈述冗长、辩论交织，效率低下。通过使用本系统进行庭前模拟，当事人及其代理人得以更充分地打磨己方观点、预判对方策略，从而在真实庭审中能够围绕经系统预演的核心争点进行更具针对性的陈述与辩论。这将促使庭审从“漫谈式”向“聚焦式”转变，有效压缩无效庭审时间，提升整体司法效率。</w:t>
      </w:r>
    </w:p>
    <w:p w14:paraId="345179A6">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提供多维视角的“策略沙盘”，辅助法官把握博弈全貌：</w:t>
      </w:r>
      <w:r>
        <w:rPr>
          <w:rFonts w:hint="eastAsia"/>
          <w:sz w:val="24"/>
          <w:szCs w:val="24"/>
          <w:lang w:val="en-US" w:eastAsia="zh-CN"/>
        </w:rPr>
        <w:t>作为中立的裁判者，法官需要全面理解双方的策略逻辑与潜在弱点。本系统的独特价值在于，它能以一个相对客观的视角，同时模拟并呈现控辩双方的策略演化路径及其论据支撑。这为法官提供了一个动态的“策略沙盘”，使其在开庭前就能洞察案件可能存在的多种博弈走向与逻辑漏洞，从而在法庭调查与辩论引导中更具主动性和预见性。</w:t>
      </w:r>
    </w:p>
    <w:p w14:paraId="640450F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生成结构化的“说理素材库”，服务于裁判文书精细化撰写：</w:t>
      </w:r>
      <w:r>
        <w:rPr>
          <w:rFonts w:hint="eastAsia"/>
          <w:sz w:val="24"/>
          <w:szCs w:val="24"/>
          <w:lang w:val="en-US" w:eastAsia="zh-CN"/>
        </w:rPr>
        <w:t>裁判文书的说理部分是司法公正的集中体现，也是最耗费心智的环节。本系统在模拟过程中，会同步生成关于各争议焦点的正反方论证要点、相关法条索引及类似案例倾向。这些经过初步组织的结构化信息，可作为法官撰写裁判说理时的高质量参考素材，减轻其资料搜集与初步整理的负担，使其能将更多精力投入到更具创造性的逻辑论证与价值判断中。</w:t>
      </w:r>
    </w:p>
    <w:p w14:paraId="10E00E5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textAlignment w:val="auto"/>
        <w:rPr>
          <w:rFonts w:hint="eastAsia"/>
          <w:sz w:val="24"/>
          <w:szCs w:val="24"/>
          <w:lang w:val="en-US" w:eastAsia="zh-CN"/>
        </w:rPr>
      </w:pPr>
      <w:r>
        <w:rPr>
          <w:rFonts w:hint="eastAsia"/>
          <w:b/>
          <w:bCs/>
          <w:sz w:val="24"/>
          <w:szCs w:val="24"/>
          <w:lang w:val="en-US" w:eastAsia="zh-CN"/>
        </w:rPr>
        <w:t>契合“辅助审判权”边界，构建安全可靠的制度融合点：</w:t>
      </w:r>
      <w:r>
        <w:rPr>
          <w:rFonts w:hint="eastAsia"/>
          <w:sz w:val="24"/>
          <w:szCs w:val="24"/>
          <w:lang w:val="en-US" w:eastAsia="zh-CN"/>
        </w:rPr>
        <w:t>本系统的所有设计均恪守“辅助而不替代”的根本原则。它不输出实体判决结论，而是专注于程序性准备与信息处理。这一清晰的技术与制度边界，使其能够完全融入现有的审判流程，无需改变现有权责结构。系统通过提供过程性支持而非结论性输出，与智慧法院建设提升审判质效的目标高度契合，成为一项法官“敢用、愿用、好用”的安全合规工具，具备极高的制度接纳与推广潜力。</w:t>
      </w:r>
    </w:p>
    <w:p w14:paraId="6BFCA8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D8964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eastAsia"/>
          <w:sz w:val="24"/>
          <w:szCs w:val="24"/>
          <w:lang w:val="en-US" w:eastAsia="zh-CN"/>
        </w:rPr>
        <w:t>商业分析图片（商业分析文字内容见王静怡）</w:t>
      </w:r>
      <w:r>
        <w:rPr>
          <w:rFonts w:hint="eastAsia"/>
          <w:sz w:val="24"/>
          <w:szCs w:val="24"/>
          <w:lang w:val="en-US" w:eastAsia="zh-CN"/>
        </w:rPr>
        <w:br w:type="textWrapping"/>
      </w:r>
      <w:r>
        <w:rPr>
          <w:rFonts w:hint="default"/>
          <w:sz w:val="24"/>
          <w:szCs w:val="24"/>
          <w:lang w:val="en-US" w:eastAsia="zh-CN"/>
        </w:rPr>
        <w:drawing>
          <wp:inline distT="0" distB="0" distL="114300" distR="114300">
            <wp:extent cx="5271770" cy="3091180"/>
            <wp:effectExtent l="0" t="0" r="0" b="0"/>
            <wp:docPr id="2" name="图片 2" descr="2026010617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106171110"/>
                    <pic:cNvPicPr>
                      <a:picLocks noChangeAspect="1"/>
                    </pic:cNvPicPr>
                  </pic:nvPicPr>
                  <pic:blipFill>
                    <a:blip r:embed="rId6"/>
                    <a:stretch>
                      <a:fillRect/>
                    </a:stretch>
                  </pic:blipFill>
                  <pic:spPr>
                    <a:xfrm>
                      <a:off x="0" y="0"/>
                      <a:ext cx="5271770" cy="3091180"/>
                    </a:xfrm>
                    <a:prstGeom prst="rect">
                      <a:avLst/>
                    </a:prstGeom>
                  </pic:spPr>
                </pic:pic>
              </a:graphicData>
            </a:graphic>
          </wp:inline>
        </w:drawing>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1396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1715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3B1715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8EC146"/>
    <w:multiLevelType w:val="singleLevel"/>
    <w:tmpl w:val="D88EC146"/>
    <w:lvl w:ilvl="0" w:tentative="0">
      <w:start w:val="1"/>
      <w:numFmt w:val="decimal"/>
      <w:lvlText w:val="%1."/>
      <w:lvlJc w:val="left"/>
      <w:pPr>
        <w:ind w:left="425" w:hanging="425"/>
      </w:pPr>
      <w:rPr>
        <w:rFonts w:hint="default"/>
      </w:rPr>
    </w:lvl>
  </w:abstractNum>
  <w:abstractNum w:abstractNumId="1">
    <w:nsid w:val="27203D89"/>
    <w:multiLevelType w:val="singleLevel"/>
    <w:tmpl w:val="27203D89"/>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03A5C"/>
    <w:rsid w:val="03841096"/>
    <w:rsid w:val="230D35BF"/>
    <w:rsid w:val="63F03A5C"/>
    <w:rsid w:val="6CAA6C91"/>
    <w:rsid w:val="783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4699</Words>
  <Characters>4812</Characters>
  <Lines>0</Lines>
  <Paragraphs>0</Paragraphs>
  <TotalTime>165</TotalTime>
  <ScaleCrop>false</ScaleCrop>
  <LinksUpToDate>false</LinksUpToDate>
  <CharactersWithSpaces>4821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2026-01-03T11:20:00Z</dcterms:created>
  <dc:creator>不浪漫人類怎飛行</dc:creator>
  <cp:lastModifiedBy>不浪漫人類怎飛行</cp:lastModifiedBy>
  <dcterms:modified xsi:type="dcterms:W3CDTF">2026-01-09T09:14:12Z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F1570D33C17944A2A4AE581CAC18CD3B_11</vt:lpwstr>
  </property>
  <property fmtid="{D5CDD505-2E9C-101B-9397-08002B2CF9AE}" pid="4" name="KSOTemplateDocerSaveRecord">
    <vt:lpwstr>eyJoZGlkIjoiZGE0OGIzNzBlZGY4ZTAwMWIxZjQyNDRhODRmZjZjM2QiLCJ1c2VySWQiOiIyNzY3MzQ3MDUifQ==</vt:lpwstr>
  </property>
</Properties>
</file>