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730D8">
      <w:pPr>
        <w:spacing w:after="100"/>
        <w:jc w:val="center"/>
        <w:rPr>
          <w:rFonts w:hint="eastAsia" w:ascii="方正仿宋_GB2312" w:hAnsi="方正仿宋_GB2312" w:eastAsia="方正仿宋_GB2312" w:cs="方正仿宋_GB2312"/>
          <w:b/>
          <w:color w:val="272727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color w:val="272727"/>
          <w:sz w:val="32"/>
          <w:szCs w:val="32"/>
          <w:lang w:val="en-US" w:eastAsia="zh-CN"/>
        </w:rPr>
        <w:t>XX——</w:t>
      </w:r>
      <w:r>
        <w:rPr>
          <w:rFonts w:hint="eastAsia" w:ascii="方正仿宋_GB2312" w:hAnsi="方正仿宋_GB2312" w:eastAsia="方正仿宋_GB2312" w:cs="方正仿宋_GB2312"/>
          <w:b/>
          <w:color w:val="272727"/>
          <w:sz w:val="32"/>
          <w:szCs w:val="32"/>
        </w:rPr>
        <w:t>基于LexGentium模拟法庭系统的国际商事仲裁程序论证与溯源审计智能体</w:t>
      </w:r>
    </w:p>
    <w:p w14:paraId="5A48257C">
      <w:pPr>
        <w:pStyle w:val="165"/>
        <w:keepNext/>
        <w:spacing w:after="80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color w:val="0F4D92"/>
          <w:sz w:val="24"/>
          <w:szCs w:val="24"/>
        </w:rPr>
        <w:t>1．[想解决的问题]  作品面向谁，拟解决什么具体问题，为什么值得做；</w:t>
      </w:r>
    </w:p>
    <w:p w14:paraId="1F793397">
      <w:pPr>
        <w:pStyle w:val="164"/>
        <w:spacing w:after="120" w:line="271" w:lineRule="auto"/>
        <w:ind w:firstLine="420"/>
        <w:rPr>
          <w:rFonts w:hint="eastAsia" w:ascii="方正仿宋_GB2312" w:hAnsi="方正仿宋_GB2312" w:eastAsia="方正仿宋_GB2312" w:cs="方正仿宋_GB2312"/>
          <w:b w:val="0"/>
          <w:color w:val="272727"/>
          <w:sz w:val="21"/>
          <w:szCs w:val="21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color w:val="272727"/>
          <w:sz w:val="21"/>
          <w:szCs w:val="21"/>
          <w:lang w:val="en-US" w:eastAsia="zh-CN"/>
        </w:rPr>
        <w:t>本作品面向国际法研究师生及涉外实务研究者，聚焦《纽约公约》第 V(1)(b) 条下外国仲裁裁决承认与执行中的“未获适当通知”与“未能陈述案情”两类程序抗辩，以中国内地与新加坡的直接承认执行判决为主要对象。系统明确声明不预测法院裁判结果或执行胜率，旨在解决传统研究中程序事实散落难查、形式发送与实质知悉等概念被笼统压缩、跨法域材料混同以及无意识以常识脑补事实空白的痛点。项目确立涵盖形式发送、适当通知、实际知悉直至程序影响的九维编码体系，将程序抗辩拆解为清晰的微观分析单元，独立记录事实观察与规范评价，严格标定已证明、有争议与未知三类材料支持状态，最终向研究者交付可逐项回链原文出处的程序事件卡、双向论证图与比较研究备忘录，打造可复核的法学论证转化路径。</w:t>
      </w:r>
    </w:p>
    <w:p w14:paraId="14104C5C">
      <w:pPr>
        <w:keepNext/>
        <w:spacing w:after="4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7487920" cy="4709160"/>
            <wp:effectExtent l="0" t="0" r="5080" b="2540"/>
            <wp:docPr id="5" name="图片 5" descr="c7f06d0badde14c236c576022197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7f06d0badde14c236c576022197678"/>
                    <pic:cNvPicPr>
                      <a:picLocks noChangeAspect="1"/>
                    </pic:cNvPicPr>
                  </pic:nvPicPr>
                  <pic:blipFill>
                    <a:blip r:embed="rId6"/>
                    <a:srcRect b="5644"/>
                    <a:stretch>
                      <a:fillRect/>
                    </a:stretch>
                  </pic:blipFill>
                  <pic:spPr>
                    <a:xfrm>
                      <a:off x="0" y="0"/>
                      <a:ext cx="748792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162D">
      <w:pPr>
        <w:pStyle w:val="166"/>
        <w:spacing w:after="0"/>
        <w:jc w:val="center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 w:val="0"/>
          <w:color w:val="667085"/>
          <w:sz w:val="17"/>
        </w:rPr>
        <w:t>图1　研究对象：从程序材料到可审计论证</w:t>
      </w:r>
    </w:p>
    <w:p w14:paraId="5479F63A">
      <w:pPr>
        <w:pStyle w:val="165"/>
        <w:keepNext/>
        <w:pageBreakBefore/>
        <w:spacing w:after="80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color w:val="0F4D92"/>
          <w:sz w:val="24"/>
          <w:szCs w:val="24"/>
        </w:rPr>
        <w:t>2．[核心构想]  法律智能体拟实现哪些主要功能、如何运行，或者数据法学实验拟研究什么问题、采用什么基本设计；</w:t>
      </w:r>
    </w:p>
    <w:p w14:paraId="2B21CDD6">
      <w:pPr>
        <w:pStyle w:val="164"/>
        <w:spacing w:after="120" w:line="271" w:lineRule="auto"/>
        <w:ind w:firstLine="420"/>
        <w:rPr>
          <w:rFonts w:hint="eastAsia" w:ascii="方正仿宋_GB2312" w:hAnsi="方正仿宋_GB2312" w:eastAsia="方正仿宋_GB2312" w:cs="方正仿宋_GB2312"/>
          <w:b w:val="0"/>
          <w:color w:val="272727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 w:val="0"/>
          <w:color w:val="272727"/>
          <w:sz w:val="21"/>
          <w:szCs w:val="21"/>
        </w:rPr>
        <w:t>项目依托 LexGentium 模拟法庭多智能体底座，在原有检索、证据处理与流程编排能力上扩展程序事件编码、法源用途管理与溯源审计功能。系统通过五个环节构建“证据冻结后的有限程序重放”闭环：首先核验案例来源、程序阶段与适用规则，区分直接执行裁判与辅助材料的权威层级；其次依据九个维度整理事件并标定支持状态，经人工复核后冻结为不可篡改的事实包与法源包；随后在限定材料视图内组织申请方、抗辩方、程序组织与审计四类角色展开受控辩论，仿真新增发言仅作压力测试，绝不回填历史事实；进而由审计模块严查引文支持与权威用途，遇材料不足或关键证据缺失时自动触发熔断并记录缺口清单；最终沉淀论证图与运行日志，形成可积累、可复核的研究数据归档。</w:t>
      </w:r>
    </w:p>
    <w:p w14:paraId="1764AF5A">
      <w:pPr>
        <w:keepNext/>
        <w:spacing w:after="4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7992110" cy="5117465"/>
            <wp:effectExtent l="0" t="0" r="8890" b="635"/>
            <wp:docPr id="6" name="图片 6" descr="1ce148c3466b368bd780fcd97e980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ce148c3466b368bd780fcd97e980b3"/>
                    <pic:cNvPicPr>
                      <a:picLocks noChangeAspect="1"/>
                    </pic:cNvPicPr>
                  </pic:nvPicPr>
                  <pic:blipFill>
                    <a:blip r:embed="rId7"/>
                    <a:srcRect b="3841"/>
                    <a:stretch>
                      <a:fillRect/>
                    </a:stretch>
                  </pic:blipFill>
                  <pic:spPr>
                    <a:xfrm>
                      <a:off x="0" y="0"/>
                      <a:ext cx="799211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1032">
      <w:pPr>
        <w:pStyle w:val="166"/>
        <w:spacing w:after="0"/>
        <w:jc w:val="center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 w:val="0"/>
          <w:color w:val="667085"/>
          <w:sz w:val="17"/>
        </w:rPr>
        <w:t>图2　系统流程：证据冻结后的有限程序重放</w:t>
      </w:r>
    </w:p>
    <w:p w14:paraId="4915E06D">
      <w:pPr>
        <w:pStyle w:val="165"/>
        <w:keepNext/>
        <w:pageBreakBefore/>
        <w:spacing w:after="80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color w:val="0F4D92"/>
          <w:sz w:val="24"/>
          <w:szCs w:val="24"/>
        </w:rPr>
        <w:t>3．[创新之处]  与现有工具、通常做法或者已有研究相比，作品准备作出什么改进；</w:t>
      </w:r>
    </w:p>
    <w:p w14:paraId="7F3BEDD0">
      <w:pPr>
        <w:pStyle w:val="164"/>
        <w:spacing w:after="120" w:line="271" w:lineRule="auto"/>
        <w:ind w:firstLine="420"/>
        <w:rPr>
          <w:rFonts w:hint="eastAsia" w:ascii="方正仿宋_GB2312" w:hAnsi="方正仿宋_GB2312" w:eastAsia="方正仿宋_GB2312" w:cs="方正仿宋_GB2312"/>
          <w:b w:val="0"/>
          <w:color w:val="272727"/>
          <w:sz w:val="21"/>
          <w:szCs w:val="21"/>
          <w:lang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color w:val="272727"/>
          <w:sz w:val="21"/>
          <w:szCs w:val="21"/>
        </w:rPr>
        <w:t>相较于现有工具与通用检索方法，本作品的创新集中在四个方面。其一是以程序事件连接事实材料与规范论证，建立“事件—证据—子争点—规范理由”树状链条，将未知项作为独立显性状态贯穿始终，避免模型以流畅语言遮蔽证据缺口。其二是实施严格的法源用途审计，基于四级权威分层厘清引用边界，揭示中新两国在审查口径与举证责任分配上的差异，防范比较法中的概念移植风险。其三是构建科学严谨的实验控制框架，</w:t>
      </w:r>
      <w:r>
        <w:rPr>
          <w:rFonts w:hint="eastAsia" w:ascii="方正仿宋_GB2312" w:hAnsi="方正仿宋_GB2312" w:eastAsia="方正仿宋_GB2312" w:cs="方正仿宋_GB2312"/>
          <w:b w:val="0"/>
          <w:color w:val="272727"/>
          <w:sz w:val="21"/>
          <w:szCs w:val="21"/>
          <w:lang w:val="en-US" w:eastAsia="zh-CN"/>
        </w:rPr>
        <w:t>本作品</w:t>
      </w:r>
      <w:r>
        <w:rPr>
          <w:rFonts w:hint="eastAsia" w:ascii="方正仿宋_GB2312" w:hAnsi="方正仿宋_GB2312" w:eastAsia="方正仿宋_GB2312" w:cs="方正仿宋_GB2312"/>
          <w:b w:val="0"/>
          <w:color w:val="272727"/>
          <w:sz w:val="21"/>
          <w:szCs w:val="21"/>
        </w:rPr>
        <w:t>明确解耦“纯呈现实验”（材料顺序、等义语言、角色标签）与“信息实验”（证据完整度与来源身份遮蔽），精准检验系统的抗干扰性与保留未知项的能力。其四是将人机协作过程转化为可积累的数据资产，打通材料、编码、论证轨迹到复核意见的全链条，真正实现法学研究过程的可复现与可审计</w:t>
      </w:r>
      <w:r>
        <w:rPr>
          <w:rFonts w:hint="eastAsia" w:ascii="方正仿宋_GB2312" w:hAnsi="方正仿宋_GB2312" w:eastAsia="方正仿宋_GB2312" w:cs="方正仿宋_GB2312"/>
          <w:b w:val="0"/>
          <w:color w:val="272727"/>
          <w:sz w:val="21"/>
          <w:szCs w:val="21"/>
          <w:lang w:eastAsia="zh-CN"/>
        </w:rPr>
        <w:t>。</w:t>
      </w:r>
    </w:p>
    <w:p w14:paraId="1B8508DD">
      <w:pPr>
        <w:keepNext/>
        <w:spacing w:after="4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8063865" cy="5111115"/>
            <wp:effectExtent l="0" t="0" r="635" b="6985"/>
            <wp:docPr id="7" name="图片 7" descr="675a1687ad02960e92f083c903e82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75a1687ad02960e92f083c903e82f2"/>
                    <pic:cNvPicPr>
                      <a:picLocks noChangeAspect="1"/>
                    </pic:cNvPicPr>
                  </pic:nvPicPr>
                  <pic:blipFill>
                    <a:blip r:embed="rId8"/>
                    <a:srcRect b="4944"/>
                    <a:stretch>
                      <a:fillRect/>
                    </a:stretch>
                  </pic:blipFill>
                  <pic:spPr>
                    <a:xfrm>
                      <a:off x="0" y="0"/>
                      <a:ext cx="8063865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BF28">
      <w:pPr>
        <w:pStyle w:val="166"/>
        <w:spacing w:after="0"/>
        <w:jc w:val="center"/>
        <w:rPr>
          <w:rFonts w:hint="eastAsia" w:ascii="方正仿宋_GB2312" w:hAnsi="方正仿宋_GB2312" w:eastAsia="方正仿宋_GB2312" w:cs="方正仿宋_GB2312"/>
          <w:b w:val="0"/>
          <w:color w:val="667085"/>
          <w:sz w:val="17"/>
        </w:rPr>
      </w:pPr>
      <w:r>
        <w:rPr>
          <w:rFonts w:hint="eastAsia" w:ascii="方正仿宋_GB2312" w:hAnsi="方正仿宋_GB2312" w:eastAsia="方正仿宋_GB2312" w:cs="方正仿宋_GB2312"/>
          <w:b w:val="0"/>
          <w:color w:val="667085"/>
          <w:sz w:val="17"/>
        </w:rPr>
        <w:t>图3　实验控制：区分呈现变化与信息变化</w:t>
      </w:r>
    </w:p>
    <w:p w14:paraId="3178BF03">
      <w:pPr>
        <w:pStyle w:val="165"/>
        <w:keepNext/>
        <w:pageBreakBefore/>
        <w:spacing w:after="80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color w:val="0F4D92"/>
          <w:sz w:val="24"/>
          <w:szCs w:val="24"/>
        </w:rPr>
        <w:t>4．[实现与验证]  拟使用的模型、知识库、工具、数据或实验方法，以及准备怎样测试、验证或完善作品；</w:t>
      </w:r>
    </w:p>
    <w:p w14:paraId="75739652">
      <w:pPr>
        <w:pStyle w:val="164"/>
        <w:spacing w:after="120" w:line="271" w:lineRule="auto"/>
        <w:ind w:firstLine="420"/>
        <w:rPr>
          <w:rFonts w:hint="eastAsia" w:ascii="方正仿宋_GB2312" w:hAnsi="方正仿宋_GB2312" w:eastAsia="方正仿宋_GB2312" w:cs="方正仿宋_GB2312"/>
          <w:b w:val="0"/>
          <w:color w:val="272727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 w:val="0"/>
          <w:color w:val="272727"/>
          <w:sz w:val="21"/>
          <w:szCs w:val="21"/>
        </w:rPr>
        <w:t>项目</w:t>
      </w:r>
      <w:r>
        <w:rPr>
          <w:rFonts w:hint="eastAsia" w:ascii="方正仿宋_GB2312" w:hAnsi="方正仿宋_GB2312" w:eastAsia="方正仿宋_GB2312" w:cs="方正仿宋_GB2312"/>
          <w:b w:val="0"/>
          <w:color w:val="272727"/>
          <w:sz w:val="21"/>
          <w:szCs w:val="21"/>
          <w:lang w:val="en-US" w:eastAsia="zh-CN"/>
        </w:rPr>
        <w:t>拟使用约40份中新直接承认执行案例材料，并基于此构建相应数据集</w:t>
      </w:r>
      <w:r>
        <w:rPr>
          <w:rFonts w:hint="eastAsia" w:ascii="方正仿宋_GB2312" w:hAnsi="方正仿宋_GB2312" w:eastAsia="方正仿宋_GB2312" w:cs="方正仿宋_GB2312"/>
          <w:b w:val="0"/>
          <w:color w:val="272727"/>
          <w:sz w:val="21"/>
          <w:szCs w:val="21"/>
        </w:rPr>
        <w:t>，将关联审级与变体按案件簇归类，严格划分开发调试集与封存盲测集，防范信息跨组泄漏。基准构建采用双人独立标注与第三人处理分歧机制，盲测前彻底冻结事实包、参考标签与法源版本，并在检验独立论证能力时对法院原审结论进行遮蔽。核心验证</w:t>
      </w:r>
      <w:r>
        <w:rPr>
          <w:rFonts w:hint="eastAsia" w:ascii="方正仿宋_GB2312" w:hAnsi="方正仿宋_GB2312" w:eastAsia="方正仿宋_GB2312" w:cs="方正仿宋_GB2312"/>
          <w:b w:val="0"/>
          <w:color w:val="272727"/>
          <w:sz w:val="21"/>
          <w:szCs w:val="21"/>
          <w:lang w:val="en-US" w:eastAsia="zh-CN"/>
        </w:rPr>
        <w:t>将</w:t>
      </w:r>
      <w:r>
        <w:rPr>
          <w:rFonts w:hint="eastAsia" w:ascii="方正仿宋_GB2312" w:hAnsi="方正仿宋_GB2312" w:eastAsia="方正仿宋_GB2312" w:cs="方正仿宋_GB2312"/>
          <w:b w:val="0"/>
          <w:color w:val="272727"/>
          <w:sz w:val="21"/>
          <w:szCs w:val="21"/>
        </w:rPr>
        <w:t>接入 deepseek-v4-flash，设置通用大模型直读（B0）、普通检索增强生成（B1）和静态论证图（B2）三条基线，与本项目“事件级表示＋有限重放”（B3）在同等证据边界与资源上限下展开公平对照，统一接受基准视图及五组单因素扰动视图的检验。评估由不知晓实验条件的评审人员核验，以论证支持 F1、权威误用率和未知误补率为核心统计指标，辅助考察子争点识别、引文定位、人工核验时间与适时停止能力，重点分析本方法相对普通 RAG 的案件级配对差异与置信区间。系统依托统一编号与哈希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b w:val="0"/>
          <w:color w:val="272727"/>
          <w:sz w:val="21"/>
          <w:szCs w:val="21"/>
        </w:rPr>
        <w:t>锚点打通“原始材料—人工编码—冻结实验包—运行轨迹—盲评记录”的数据闭环，盲测反馈严禁回流修改当前测试集，确保评测结论客观严谨、全程可溯。</w:t>
      </w:r>
    </w:p>
    <w:p w14:paraId="570260E6">
      <w:pPr>
        <w:pStyle w:val="164"/>
        <w:spacing w:after="120" w:line="271" w:lineRule="auto"/>
        <w:ind w:firstLine="42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7308215" cy="4650740"/>
            <wp:effectExtent l="0" t="0" r="6985" b="10160"/>
            <wp:docPr id="8" name="图片 8" descr="b55d4da09af250928d3f13a4fa4a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55d4da09af250928d3f13a4fa4a283"/>
                    <pic:cNvPicPr>
                      <a:picLocks noChangeAspect="1"/>
                    </pic:cNvPicPr>
                  </pic:nvPicPr>
                  <pic:blipFill>
                    <a:blip r:embed="rId9"/>
                    <a:srcRect b="4564"/>
                    <a:stretch>
                      <a:fillRect/>
                    </a:stretch>
                  </pic:blipFill>
                  <pic:spPr>
                    <a:xfrm>
                      <a:off x="0" y="0"/>
                      <a:ext cx="7308215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03DA">
      <w:pPr>
        <w:pStyle w:val="166"/>
        <w:spacing w:after="0"/>
        <w:jc w:val="center"/>
        <w:rPr>
          <w:rFonts w:hint="eastAsia" w:ascii="方正仿宋_GB2312" w:hAnsi="方正仿宋_GB2312" w:eastAsia="方正仿宋_GB2312" w:cs="方正仿宋_GB2312"/>
          <w:b w:val="0"/>
          <w:color w:val="667085"/>
          <w:sz w:val="17"/>
        </w:rPr>
      </w:pPr>
      <w:r>
        <w:rPr>
          <w:rFonts w:hint="eastAsia" w:ascii="方正仿宋_GB2312" w:hAnsi="方正仿宋_GB2312" w:eastAsia="方正仿宋_GB2312" w:cs="方正仿宋_GB2312"/>
          <w:b w:val="0"/>
          <w:color w:val="667085"/>
          <w:sz w:val="17"/>
        </w:rPr>
        <w:t>图4　实现与验证：从真实任务到研究数据闭环</w:t>
      </w:r>
    </w:p>
    <w:sectPr>
      <w:pgSz w:w="16838" w:h="11906" w:orient="landscape"/>
      <w:pgMar w:top="567" w:right="794" w:bottom="567" w:left="79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ongti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Hiragino Sans GB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134C"/>
    <w:rsid w:val="0015074B"/>
    <w:rsid w:val="0029639D"/>
    <w:rsid w:val="00326F90"/>
    <w:rsid w:val="00AA1D8D"/>
    <w:rsid w:val="00B47730"/>
    <w:rsid w:val="00CB0664"/>
    <w:rsid w:val="00FC693F"/>
    <w:rsid w:val="05683D36"/>
    <w:rsid w:val="084D3B81"/>
    <w:rsid w:val="09CC303E"/>
    <w:rsid w:val="0A201D97"/>
    <w:rsid w:val="10196798"/>
    <w:rsid w:val="2E2C723F"/>
    <w:rsid w:val="303F3638"/>
    <w:rsid w:val="31505C80"/>
    <w:rsid w:val="3BD3519D"/>
    <w:rsid w:val="5FF732A1"/>
    <w:rsid w:val="7C3D6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odyCN"/>
    <w:qFormat/>
    <w:uiPriority w:val="0"/>
    <w:pPr>
      <w:spacing w:after="200" w:line="276" w:lineRule="auto"/>
    </w:pPr>
    <w:rPr>
      <w:rFonts w:ascii="Songti SC" w:hAnsi="Songti SC" w:eastAsia="Songti SC" w:cs="Songti SC"/>
      <w:sz w:val="19"/>
      <w:szCs w:val="22"/>
      <w:lang w:val="en-US" w:eastAsia="en-US" w:bidi="ar-SA"/>
    </w:rPr>
  </w:style>
  <w:style w:type="paragraph" w:customStyle="1" w:styleId="165">
    <w:name w:val="SectionCN"/>
    <w:qFormat/>
    <w:uiPriority w:val="0"/>
    <w:pPr>
      <w:spacing w:after="200" w:line="276" w:lineRule="auto"/>
    </w:pPr>
    <w:rPr>
      <w:rFonts w:ascii="Hiragino Sans GB" w:hAnsi="Hiragino Sans GB" w:eastAsia="Hiragino Sans GB" w:cs="Hiragino Sans GB"/>
      <w:b/>
      <w:sz w:val="23"/>
      <w:szCs w:val="22"/>
      <w:lang w:val="en-US" w:eastAsia="en-US" w:bidi="ar-SA"/>
    </w:rPr>
  </w:style>
  <w:style w:type="paragraph" w:customStyle="1" w:styleId="166">
    <w:name w:val="CaptionCN"/>
    <w:qFormat/>
    <w:uiPriority w:val="0"/>
    <w:pPr>
      <w:spacing w:after="200" w:line="276" w:lineRule="auto"/>
    </w:pPr>
    <w:rPr>
      <w:rFonts w:ascii="Songti SC" w:hAnsi="Songti SC" w:eastAsia="Songti SC" w:cs="Songti SC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1637</Words>
  <Characters>1676</Characters>
  <Lines>0</Lines>
  <Paragraphs>0</Paragraphs>
  <TotalTime>3</TotalTime>
  <ScaleCrop>false</ScaleCrop>
  <LinksUpToDate>false</LinksUpToDate>
  <CharactersWithSpaces>1696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四部分正文按非空白字符核算低于1000；图片由GPT图像生成模型辅助复绘并经GPT-5.6 Sol复审。</dc:description>
  <cp:lastModifiedBy>张瀚元</cp:lastModifiedBy>
  <dcterms:modified xsi:type="dcterms:W3CDTF">2026-09-06T04:11:42Z</dcterms:modified>
  <dc:subject>任务导向最小披露、冻结红队协议、半合成盲测与三维评价</dc:subject>
  <dc:title>方案4根据评审意见调整图文版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eyJoZGlkIjoiYmVjYzMwZDk0MWI2Y2Q2MmI5YWJhOTA1ZjRjODIyOTIiLCJ1c2VySWQiOiIxNjkxOTYxNzQ2In0=</vt:lpwstr>
  </property>
  <property fmtid="{D5CDD505-2E9C-101B-9397-08002B2CF9AE}" pid="3" name="KSOProductBuildVer">
    <vt:lpwstr>2052-12.1.0.23542</vt:lpwstr>
  </property>
  <property fmtid="{D5CDD505-2E9C-101B-9397-08002B2CF9AE}" pid="4" name="ICV">
    <vt:lpwstr>A1677CC0891146CC8BECB2E85A061858_13</vt:lpwstr>
  </property>
</Properties>
</file>