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200"/>
      </w:pPr>
      <w:r>
        <w:rPr>
          <w:rFonts w:ascii="Garamond" w:hAnsi="Garamond" w:eastAsia="Noto Sans CJK SC" w:cs="Garamond"/>
          <w:b/>
          <w:color w:val="000000"/>
          <w:sz w:val="48"/>
          <w:u w:val="none"/>
          <w:lang w:val="en-US" w:eastAsia="zh-CN"/>
        </w:rPr>
        <w:t>两组法律数据标注指南</w:t>
      </w:r>
    </w:p>
    <w:p>
      <w:pPr>
        <w:spacing w:after="440"/>
        <w:jc w:val="center"/>
      </w:pPr>
      <w:r>
        <w:rPr>
          <w:rFonts w:ascii="Garamond" w:hAnsi="Garamond" w:eastAsia="Noto Sans CJK SC" w:cs="Garamond"/>
          <w:b w:val="0"/>
          <w:color w:val="000000"/>
          <w:sz w:val="24"/>
          <w:u w:val="none"/>
          <w:lang w:val="en-US" w:eastAsia="zh-CN"/>
        </w:rPr>
        <w:t>面向法学标注与复核团队的操作手册</w:t>
      </w:r>
    </w:p>
    <w:p>
      <w:pPr>
        <w:spacing w:line="276" w:lineRule="auto" w:after="160"/>
        <w:ind w:firstLine="0"/>
        <w:jc w:val="left"/>
        <w:rPr>
          <w:rFonts w:ascii="Garamond" w:cs="Garamond" w:eastAsia="Garamond" w:hAnsi="Garamond"/>
        </w:rPr>
      </w:pPr>
      <w:r>
        <w:rPr>
          <w:rFonts w:ascii="Garamond" w:hAnsi="Garamond" w:eastAsia="Noto Sans CJK SC" w:cs="Garamond"/>
          <w:b/>
          <w:color w:val="000000"/>
          <w:sz w:val="24"/>
          <w:u w:val="none"/>
          <w:lang w:val="en-US" w:eastAsia="zh-CN"/>
        </w:rPr>
        <w:t xml:space="preserve">接收团队  </w:t>
      </w:r>
      <w:r>
        <w:rPr>
          <w:rFonts w:ascii="Garamond" w:hAnsi="Garamond" w:eastAsia="Noto Sans CJK SC" w:cs="Garamond"/>
          <w:b w:val="0"/>
          <w:color w:val="000000"/>
          <w:sz w:val="24"/>
          <w:u w:val="none"/>
          <w:lang w:val="en-US" w:eastAsia="zh-CN"/>
        </w:rPr>
        <w:t>法学研究 标注与复核团队</w:t>
      </w:r>
    </w:p>
    <w:p>
      <w:pPr>
        <w:spacing w:line="276" w:lineRule="auto" w:after="160"/>
        <w:ind w:firstLine="0"/>
        <w:jc w:val="left"/>
        <w:rPr>
          <w:rFonts w:ascii="Garamond" w:cs="Garamond" w:eastAsia="Garamond" w:hAnsi="Garamond"/>
        </w:rPr>
      </w:pPr>
      <w:r>
        <w:rPr>
          <w:rFonts w:ascii="Garamond" w:hAnsi="Garamond" w:eastAsia="Noto Sans CJK SC" w:cs="Garamond"/>
          <w:b/>
          <w:color w:val="000000"/>
          <w:sz w:val="24"/>
          <w:u w:val="none"/>
          <w:lang w:val="en-US" w:eastAsia="zh-CN"/>
        </w:rPr>
        <w:t xml:space="preserve">提供团队  </w:t>
      </w:r>
      <w:r>
        <w:rPr>
          <w:rFonts w:ascii="Garamond" w:hAnsi="Garamond" w:eastAsia="Noto Sans CJK SC" w:cs="Garamond"/>
          <w:b w:val="0"/>
          <w:color w:val="000000"/>
          <w:sz w:val="24"/>
          <w:u w:val="none"/>
          <w:lang w:val="en-US" w:eastAsia="zh-CN"/>
        </w:rPr>
        <w:t>LexGentium 技术团队</w:t>
      </w:r>
    </w:p>
    <w:p>
      <w:pPr>
        <w:spacing w:line="276" w:lineRule="auto" w:after="160"/>
        <w:ind w:firstLine="0"/>
        <w:jc w:val="left"/>
        <w:rPr>
          <w:rFonts w:ascii="Garamond" w:cs="Garamond" w:eastAsia="Garamond" w:hAnsi="Garamond"/>
        </w:rPr>
      </w:pPr>
      <w:r>
        <w:rPr>
          <w:rFonts w:ascii="Garamond" w:hAnsi="Garamond" w:eastAsia="Noto Sans CJK SC" w:cs="Garamond"/>
          <w:b/>
          <w:color w:val="000000"/>
          <w:sz w:val="24"/>
          <w:u w:val="none"/>
          <w:lang w:val="en-US" w:eastAsia="zh-CN"/>
        </w:rPr>
        <w:t xml:space="preserve">日期版本  </w:t>
      </w:r>
      <w:r>
        <w:rPr>
          <w:rFonts w:ascii="Garamond" w:hAnsi="Garamond" w:eastAsia="Noto Sans CJK SC" w:cs="Garamond"/>
          <w:b w:val="0"/>
          <w:color w:val="000000"/>
          <w:sz w:val="24"/>
          <w:u w:val="none"/>
          <w:lang w:val="en-US" w:eastAsia="zh-CN"/>
        </w:rPr>
        <w:t>2026年9月11日  版本1.0</w:t>
      </w:r>
    </w:p>
    <w:p>
      <w:pPr>
        <w:pBdr>
          <w:bottom w:color="000000" w:space="1" w:sz="6" w:val="single"/>
        </w:pBdr>
        <w:spacing w:line="276" w:lineRule="auto" w:after="160"/>
        <w:ind w:firstLine="0"/>
        <w:jc w:val="left"/>
        <w:rPr>
          <w:rFonts w:ascii="Garamond" w:cs="Garamond" w:eastAsia="Garamond" w:hAnsi="Garamond"/>
        </w:rPr>
      </w:pPr>
      <w:r>
        <w:rPr>
          <w:rFonts w:ascii="Garamond" w:hAnsi="Garamond" w:eastAsia="Noto Sans CJK SC" w:cs="Garamond"/>
          <w:b/>
          <w:color w:val="000000"/>
          <w:sz w:val="24"/>
          <w:u w:val="none"/>
          <w:lang w:val="en-US" w:eastAsia="zh-CN"/>
        </w:rPr>
        <w:t xml:space="preserve">适用资料  </w:t>
      </w:r>
      <w:r>
        <w:rPr>
          <w:rFonts w:ascii="Garamond" w:hAnsi="Garamond" w:eastAsia="Noto Sans CJK SC" w:cs="Garamond"/>
          <w:b w:val="0"/>
          <w:color w:val="000000"/>
          <w:sz w:val="24"/>
          <w:u w:val="none"/>
          <w:lang w:val="en-US" w:eastAsia="zh-CN"/>
        </w:rPr>
        <w:t>CISG 第79条测试表  仲裁裁决承认与执行案件目录</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本指南规定两组已有资料如何转化为可追查的法律研究材料和系统输入。法学团队负责确认案件身份、提取原文、判断争点与规则、记录可接受的论证及评价依据；技术团队负责解析、编号、存储、权限、版本和运行记录。法学成员可以用中文表格交付，无须编写代码。</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交付的核心是让另一名研究者能够沿着“判断—依据—原文位置”复核每项关键标注。真实程序中的事实、当事人主张、裁判认定、研究者提出的论证和模型输出分别保存。材料没有交代的内容保留未知。</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承认与执行材料服务于项目主线：以真实材料构建条件，在模拟法庭中进行论证实验，再评价论证过程和结果。CISG 第79条资料作为独立模块整理，其标签和样本不直接并入承认执行评测。</w:t>
      </w:r>
    </w:p>
    <w:p>
      <w:pPr>
        <w:pStyle w:val="Heading1"/>
        <w:pageBreakBefore/>
      </w:pPr>
      <w:r>
        <w:rPr>
          <w:rFonts w:ascii="Garamond" w:hAnsi="Garamond" w:eastAsia="Noto Sans CJK SC" w:cs="Garamond"/>
          <w:b/>
          <w:color w:val="000000"/>
          <w:sz w:val="24"/>
          <w:u w:val="single"/>
          <w:lang w:val="en-US" w:eastAsia="zh-CN"/>
        </w:rPr>
        <w:t>阅读导航</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A组标注从第4节进入，B组标注从第6节进入。共同规则、来源定位与复核要求适用于两组；填写模板集中在第15节。</w:t>
      </w:r>
    </w:p>
    <w:p>
      <w:pPr>
        <w:keepNext w:val="0"/>
        <w:tabs>
          <w:tab w:pos="8856" w:val="right" w:leader="dot"/>
        </w:tabs>
        <w:spacing w:after="140" w:line="360" w:lineRule="exact"/>
      </w:pPr>
      <w:hyperlink w:anchor="sec_1" w:history="1">
        <w:r>
          <w:rPr>
            <w:rFonts w:ascii="Garamond" w:hAnsi="Garamond" w:eastAsia="Noto Sans CJK SC" w:cs="Garamond"/>
            <w:b w:val="0"/>
            <w:color w:val="000000"/>
            <w:sz w:val="24"/>
            <w:u w:val="none"/>
            <w:lang w:val="en-US" w:eastAsia="zh-CN"/>
          </w:rPr>
          <w:t>1 先完成一个可复核样板</w:t>
        </w:r>
      </w:hyperlink>
      <w:r>
        <w:rPr>
          <w:rFonts w:ascii="Garamond" w:hAnsi="Garamond" w:eastAsia="Noto Sans CJK SC" w:cs="Garamond"/>
          <w:b w:val="0"/>
          <w:color w:val="000000"/>
          <w:sz w:val="24"/>
          <w:u w:val="none"/>
          <w:lang w:val="en-US" w:eastAsia="zh-CN"/>
        </w:rPr>
        <w:tab/>
        <w:t>3</w:t>
      </w:r>
    </w:p>
    <w:p>
      <w:pPr>
        <w:keepNext w:val="0"/>
        <w:tabs>
          <w:tab w:pos="8856" w:val="right" w:leader="dot"/>
        </w:tabs>
        <w:spacing w:after="140" w:line="360" w:lineRule="exact"/>
      </w:pPr>
      <w:hyperlink w:anchor="sec_2" w:history="1">
        <w:r>
          <w:rPr>
            <w:rFonts w:ascii="Garamond" w:hAnsi="Garamond" w:eastAsia="Noto Sans CJK SC" w:cs="Garamond"/>
            <w:b w:val="0"/>
            <w:color w:val="000000"/>
            <w:sz w:val="24"/>
            <w:u w:val="none"/>
            <w:lang w:val="en-US" w:eastAsia="zh-CN"/>
          </w:rPr>
          <w:t>2 两组共用的标注规则</w:t>
        </w:r>
      </w:hyperlink>
      <w:r>
        <w:rPr>
          <w:rFonts w:ascii="Garamond" w:hAnsi="Garamond" w:eastAsia="Noto Sans CJK SC" w:cs="Garamond"/>
          <w:b w:val="0"/>
          <w:color w:val="000000"/>
          <w:sz w:val="24"/>
          <w:u w:val="none"/>
          <w:lang w:val="en-US" w:eastAsia="zh-CN"/>
        </w:rPr>
        <w:tab/>
        <w:t>4</w:t>
      </w:r>
    </w:p>
    <w:p>
      <w:pPr>
        <w:keepNext w:val="0"/>
        <w:tabs>
          <w:tab w:pos="8856" w:val="right" w:leader="dot"/>
        </w:tabs>
        <w:spacing w:after="140" w:line="360" w:lineRule="exact"/>
      </w:pPr>
      <w:hyperlink w:anchor="sec_3" w:history="1">
        <w:r>
          <w:rPr>
            <w:rFonts w:ascii="Garamond" w:hAnsi="Garamond" w:eastAsia="Noto Sans CJK SC" w:cs="Garamond"/>
            <w:b w:val="0"/>
            <w:color w:val="000000"/>
            <w:sz w:val="24"/>
            <w:u w:val="none"/>
            <w:lang w:val="en-US" w:eastAsia="zh-CN"/>
          </w:rPr>
          <w:t>3 来源登记与原文定位</w:t>
        </w:r>
      </w:hyperlink>
      <w:r>
        <w:rPr>
          <w:rFonts w:ascii="Garamond" w:hAnsi="Garamond" w:eastAsia="Noto Sans CJK SC" w:cs="Garamond"/>
          <w:b w:val="0"/>
          <w:color w:val="000000"/>
          <w:sz w:val="24"/>
          <w:u w:val="none"/>
          <w:lang w:val="en-US" w:eastAsia="zh-CN"/>
        </w:rPr>
        <w:tab/>
        <w:t>6</w:t>
      </w:r>
    </w:p>
    <w:p>
      <w:pPr>
        <w:keepNext w:val="0"/>
        <w:tabs>
          <w:tab w:pos="8856" w:val="right" w:leader="dot"/>
        </w:tabs>
        <w:spacing w:after="140" w:line="360" w:lineRule="exact"/>
      </w:pPr>
      <w:hyperlink w:anchor="sec_4" w:history="1">
        <w:r>
          <w:rPr>
            <w:rFonts w:ascii="Garamond" w:hAnsi="Garamond" w:eastAsia="Noto Sans CJK SC" w:cs="Garamond"/>
            <w:b w:val="0"/>
            <w:color w:val="000000"/>
            <w:sz w:val="24"/>
            <w:u w:val="none"/>
            <w:lang w:val="en-US" w:eastAsia="zh-CN"/>
          </w:rPr>
          <w:t>4 A组 CISG 数据的逐项标注</w:t>
        </w:r>
      </w:hyperlink>
      <w:r>
        <w:rPr>
          <w:rFonts w:ascii="Garamond" w:hAnsi="Garamond" w:eastAsia="Noto Sans CJK SC" w:cs="Garamond"/>
          <w:b w:val="0"/>
          <w:color w:val="000000"/>
          <w:sz w:val="24"/>
          <w:u w:val="none"/>
          <w:lang w:val="en-US" w:eastAsia="zh-CN"/>
        </w:rPr>
        <w:tab/>
        <w:t>9</w:t>
      </w:r>
    </w:p>
    <w:p>
      <w:pPr>
        <w:keepNext w:val="0"/>
        <w:tabs>
          <w:tab w:pos="8856" w:val="right" w:leader="dot"/>
        </w:tabs>
        <w:spacing w:after="140" w:line="360" w:lineRule="exact"/>
      </w:pPr>
      <w:hyperlink w:anchor="sec_5" w:history="1">
        <w:r>
          <w:rPr>
            <w:rFonts w:ascii="Garamond" w:hAnsi="Garamond" w:eastAsia="Noto Sans CJK SC" w:cs="Garamond"/>
            <w:b w:val="0"/>
            <w:color w:val="000000"/>
            <w:sz w:val="24"/>
            <w:u w:val="none"/>
            <w:lang w:val="en-US" w:eastAsia="zh-CN"/>
          </w:rPr>
          <w:t>5 A组常见边界与整备顺序</w:t>
        </w:r>
      </w:hyperlink>
      <w:r>
        <w:rPr>
          <w:rFonts w:ascii="Garamond" w:hAnsi="Garamond" w:eastAsia="Noto Sans CJK SC" w:cs="Garamond"/>
          <w:b w:val="0"/>
          <w:color w:val="000000"/>
          <w:sz w:val="24"/>
          <w:u w:val="none"/>
          <w:lang w:val="en-US" w:eastAsia="zh-CN"/>
        </w:rPr>
        <w:tab/>
        <w:t>12</w:t>
      </w:r>
    </w:p>
    <w:p>
      <w:pPr>
        <w:keepNext w:val="0"/>
        <w:tabs>
          <w:tab w:pos="8856" w:val="right" w:leader="dot"/>
        </w:tabs>
        <w:spacing w:after="140" w:line="360" w:lineRule="exact"/>
      </w:pPr>
      <w:hyperlink w:anchor="sec_6" w:history="1">
        <w:r>
          <w:rPr>
            <w:rFonts w:ascii="Garamond" w:hAnsi="Garamond" w:eastAsia="Noto Sans CJK SC" w:cs="Garamond"/>
            <w:b w:val="0"/>
            <w:color w:val="000000"/>
            <w:sz w:val="24"/>
            <w:u w:val="none"/>
            <w:lang w:val="en-US" w:eastAsia="zh-CN"/>
          </w:rPr>
          <w:t>6 B组案件包与程序链标注</w:t>
        </w:r>
      </w:hyperlink>
      <w:r>
        <w:rPr>
          <w:rFonts w:ascii="Garamond" w:hAnsi="Garamond" w:eastAsia="Noto Sans CJK SC" w:cs="Garamond"/>
          <w:b w:val="0"/>
          <w:color w:val="000000"/>
          <w:sz w:val="24"/>
          <w:u w:val="none"/>
          <w:lang w:val="en-US" w:eastAsia="zh-CN"/>
        </w:rPr>
        <w:tab/>
        <w:t>14</w:t>
      </w:r>
    </w:p>
    <w:p>
      <w:pPr>
        <w:keepNext w:val="0"/>
        <w:tabs>
          <w:tab w:pos="8856" w:val="right" w:leader="dot"/>
        </w:tabs>
        <w:spacing w:after="140" w:line="360" w:lineRule="exact"/>
      </w:pPr>
      <w:hyperlink w:anchor="sec_7" w:history="1">
        <w:r>
          <w:rPr>
            <w:rFonts w:ascii="Garamond" w:hAnsi="Garamond" w:eastAsia="Noto Sans CJK SC" w:cs="Garamond"/>
            <w:b w:val="0"/>
            <w:color w:val="000000"/>
            <w:sz w:val="24"/>
            <w:u w:val="none"/>
            <w:lang w:val="en-US" w:eastAsia="zh-CN"/>
          </w:rPr>
          <w:t>7 通知与陈述机会专题</w:t>
        </w:r>
      </w:hyperlink>
      <w:r>
        <w:rPr>
          <w:rFonts w:ascii="Garamond" w:hAnsi="Garamond" w:eastAsia="Noto Sans CJK SC" w:cs="Garamond"/>
          <w:b w:val="0"/>
          <w:color w:val="000000"/>
          <w:sz w:val="24"/>
          <w:u w:val="none"/>
          <w:lang w:val="en-US" w:eastAsia="zh-CN"/>
        </w:rPr>
        <w:tab/>
        <w:t>17</w:t>
      </w:r>
    </w:p>
    <w:p>
      <w:pPr>
        <w:keepNext w:val="0"/>
        <w:tabs>
          <w:tab w:pos="8856" w:val="right" w:leader="dot"/>
        </w:tabs>
        <w:spacing w:after="140" w:line="360" w:lineRule="exact"/>
      </w:pPr>
      <w:hyperlink w:anchor="sec_8" w:history="1">
        <w:r>
          <w:rPr>
            <w:rFonts w:ascii="Garamond" w:hAnsi="Garamond" w:eastAsia="Noto Sans CJK SC" w:cs="Garamond"/>
            <w:b w:val="0"/>
            <w:color w:val="000000"/>
            <w:sz w:val="24"/>
            <w:u w:val="none"/>
            <w:lang w:val="en-US" w:eastAsia="zh-CN"/>
          </w:rPr>
          <w:t>8 法学规则卡</w:t>
        </w:r>
      </w:hyperlink>
      <w:r>
        <w:rPr>
          <w:rFonts w:ascii="Garamond" w:hAnsi="Garamond" w:eastAsia="Noto Sans CJK SC" w:cs="Garamond"/>
          <w:b w:val="0"/>
          <w:color w:val="000000"/>
          <w:sz w:val="24"/>
          <w:u w:val="none"/>
          <w:lang w:val="en-US" w:eastAsia="zh-CN"/>
        </w:rPr>
        <w:tab/>
        <w:t>18</w:t>
      </w:r>
    </w:p>
    <w:p>
      <w:pPr>
        <w:keepNext w:val="0"/>
        <w:tabs>
          <w:tab w:pos="8856" w:val="right" w:leader="dot"/>
        </w:tabs>
        <w:spacing w:after="140" w:line="360" w:lineRule="exact"/>
      </w:pPr>
      <w:hyperlink w:anchor="sec_9" w:history="1">
        <w:r>
          <w:rPr>
            <w:rFonts w:ascii="Garamond" w:hAnsi="Garamond" w:eastAsia="Noto Sans CJK SC" w:cs="Garamond"/>
            <w:b w:val="0"/>
            <w:color w:val="000000"/>
            <w:sz w:val="24"/>
            <w:u w:val="none"/>
            <w:lang w:val="en-US" w:eastAsia="zh-CN"/>
          </w:rPr>
          <w:t>9 双方论证与反驳的标注</w:t>
        </w:r>
      </w:hyperlink>
      <w:r>
        <w:rPr>
          <w:rFonts w:ascii="Garamond" w:hAnsi="Garamond" w:eastAsia="Noto Sans CJK SC" w:cs="Garamond"/>
          <w:b w:val="0"/>
          <w:color w:val="000000"/>
          <w:sz w:val="24"/>
          <w:u w:val="none"/>
          <w:lang w:val="en-US" w:eastAsia="zh-CN"/>
        </w:rPr>
        <w:tab/>
        <w:t>19</w:t>
      </w:r>
    </w:p>
    <w:p>
      <w:pPr>
        <w:keepNext w:val="0"/>
        <w:tabs>
          <w:tab w:pos="8856" w:val="right" w:leader="dot"/>
        </w:tabs>
        <w:spacing w:after="140" w:line="360" w:lineRule="exact"/>
      </w:pPr>
      <w:hyperlink w:anchor="sec_10" w:history="1">
        <w:r>
          <w:rPr>
            <w:rFonts w:ascii="Garamond" w:hAnsi="Garamond" w:eastAsia="Noto Sans CJK SC" w:cs="Garamond"/>
            <w:b w:val="0"/>
            <w:color w:val="000000"/>
            <w:sz w:val="24"/>
            <w:u w:val="none"/>
            <w:lang w:val="en-US" w:eastAsia="zh-CN"/>
          </w:rPr>
          <w:t>10 为模拟实验标注材料可见性</w:t>
        </w:r>
      </w:hyperlink>
      <w:r>
        <w:rPr>
          <w:rFonts w:ascii="Garamond" w:hAnsi="Garamond" w:eastAsia="Noto Sans CJK SC" w:cs="Garamond"/>
          <w:b w:val="0"/>
          <w:color w:val="000000"/>
          <w:sz w:val="24"/>
          <w:u w:val="none"/>
          <w:lang w:val="en-US" w:eastAsia="zh-CN"/>
        </w:rPr>
        <w:tab/>
        <w:t>20</w:t>
      </w:r>
    </w:p>
    <w:p>
      <w:pPr>
        <w:keepNext w:val="0"/>
        <w:tabs>
          <w:tab w:pos="8856" w:val="right" w:leader="dot"/>
        </w:tabs>
        <w:spacing w:after="140" w:line="360" w:lineRule="exact"/>
      </w:pPr>
      <w:hyperlink w:anchor="sec_11" w:history="1">
        <w:r>
          <w:rPr>
            <w:rFonts w:ascii="Garamond" w:hAnsi="Garamond" w:eastAsia="Noto Sans CJK SC" w:cs="Garamond"/>
            <w:b w:val="0"/>
            <w:color w:val="000000"/>
            <w:sz w:val="24"/>
            <w:u w:val="none"/>
            <w:lang w:val="en-US" w:eastAsia="zh-CN"/>
          </w:rPr>
          <w:t>11 论证评价与错误标注</w:t>
        </w:r>
      </w:hyperlink>
      <w:r>
        <w:rPr>
          <w:rFonts w:ascii="Garamond" w:hAnsi="Garamond" w:eastAsia="Noto Sans CJK SC" w:cs="Garamond"/>
          <w:b w:val="0"/>
          <w:color w:val="000000"/>
          <w:sz w:val="24"/>
          <w:u w:val="none"/>
          <w:lang w:val="en-US" w:eastAsia="zh-CN"/>
        </w:rPr>
        <w:tab/>
        <w:t>21</w:t>
      </w:r>
    </w:p>
    <w:p>
      <w:pPr>
        <w:keepNext w:val="0"/>
        <w:tabs>
          <w:tab w:pos="8856" w:val="right" w:leader="dot"/>
        </w:tabs>
        <w:spacing w:after="140" w:line="360" w:lineRule="exact"/>
      </w:pPr>
      <w:hyperlink w:anchor="sec_12" w:history="1">
        <w:r>
          <w:rPr>
            <w:rFonts w:ascii="Garamond" w:hAnsi="Garamond" w:eastAsia="Noto Sans CJK SC" w:cs="Garamond"/>
            <w:b w:val="0"/>
            <w:color w:val="000000"/>
            <w:sz w:val="24"/>
            <w:u w:val="none"/>
            <w:lang w:val="en-US" w:eastAsia="zh-CN"/>
          </w:rPr>
          <w:t>12 标注复核和验收</w:t>
        </w:r>
      </w:hyperlink>
      <w:r>
        <w:rPr>
          <w:rFonts w:ascii="Garamond" w:hAnsi="Garamond" w:eastAsia="Noto Sans CJK SC" w:cs="Garamond"/>
          <w:b w:val="0"/>
          <w:color w:val="000000"/>
          <w:sz w:val="24"/>
          <w:u w:val="none"/>
          <w:lang w:val="en-US" w:eastAsia="zh-CN"/>
        </w:rPr>
        <w:tab/>
        <w:t>23</w:t>
      </w:r>
    </w:p>
    <w:p>
      <w:pPr>
        <w:keepNext w:val="0"/>
        <w:tabs>
          <w:tab w:pos="8856" w:val="right" w:leader="dot"/>
        </w:tabs>
        <w:spacing w:after="140" w:line="360" w:lineRule="exact"/>
      </w:pPr>
      <w:hyperlink w:anchor="sec_13" w:history="1">
        <w:r>
          <w:rPr>
            <w:rFonts w:ascii="Garamond" w:hAnsi="Garamond" w:eastAsia="Noto Sans CJK SC" w:cs="Garamond"/>
            <w:b w:val="0"/>
            <w:color w:val="000000"/>
            <w:sz w:val="24"/>
            <w:u w:val="none"/>
            <w:lang w:val="en-US" w:eastAsia="zh-CN"/>
          </w:rPr>
          <w:t>13 交付结构与技术接收约定</w:t>
        </w:r>
      </w:hyperlink>
      <w:r>
        <w:rPr>
          <w:rFonts w:ascii="Garamond" w:hAnsi="Garamond" w:eastAsia="Noto Sans CJK SC" w:cs="Garamond"/>
          <w:b w:val="0"/>
          <w:color w:val="000000"/>
          <w:sz w:val="24"/>
          <w:u w:val="none"/>
          <w:lang w:val="en-US" w:eastAsia="zh-CN"/>
        </w:rPr>
        <w:tab/>
        <w:t>25</w:t>
      </w:r>
    </w:p>
    <w:p>
      <w:pPr>
        <w:keepNext w:val="0"/>
        <w:tabs>
          <w:tab w:pos="8856" w:val="right" w:leader="dot"/>
        </w:tabs>
        <w:spacing w:after="140" w:line="360" w:lineRule="exact"/>
      </w:pPr>
      <w:hyperlink w:anchor="sec_14" w:history="1">
        <w:r>
          <w:rPr>
            <w:rFonts w:ascii="Garamond" w:hAnsi="Garamond" w:eastAsia="Noto Sans CJK SC" w:cs="Garamond"/>
            <w:b w:val="0"/>
            <w:color w:val="000000"/>
            <w:sz w:val="24"/>
            <w:u w:val="none"/>
            <w:lang w:val="en-US" w:eastAsia="zh-CN"/>
          </w:rPr>
          <w:t>14 填写示例</w:t>
        </w:r>
      </w:hyperlink>
      <w:r>
        <w:rPr>
          <w:rFonts w:ascii="Garamond" w:hAnsi="Garamond" w:eastAsia="Noto Sans CJK SC" w:cs="Garamond"/>
          <w:b w:val="0"/>
          <w:color w:val="000000"/>
          <w:sz w:val="24"/>
          <w:u w:val="none"/>
          <w:lang w:val="en-US" w:eastAsia="zh-CN"/>
        </w:rPr>
        <w:tab/>
        <w:t>27</w:t>
      </w:r>
    </w:p>
    <w:p>
      <w:pPr>
        <w:keepNext w:val="0"/>
        <w:tabs>
          <w:tab w:pos="8856" w:val="right" w:leader="dot"/>
        </w:tabs>
        <w:spacing w:after="140" w:line="360" w:lineRule="exact"/>
      </w:pPr>
      <w:hyperlink w:anchor="sec_15" w:history="1">
        <w:r>
          <w:rPr>
            <w:rFonts w:ascii="Garamond" w:hAnsi="Garamond" w:eastAsia="Noto Sans CJK SC" w:cs="Garamond"/>
            <w:b w:val="0"/>
            <w:color w:val="000000"/>
            <w:sz w:val="24"/>
            <w:u w:val="none"/>
            <w:lang w:val="en-US" w:eastAsia="zh-CN"/>
          </w:rPr>
          <w:t>15 可复制的法学交付模板</w:t>
        </w:r>
      </w:hyperlink>
      <w:r>
        <w:rPr>
          <w:rFonts w:ascii="Garamond" w:hAnsi="Garamond" w:eastAsia="Noto Sans CJK SC" w:cs="Garamond"/>
          <w:b w:val="0"/>
          <w:color w:val="000000"/>
          <w:sz w:val="24"/>
          <w:u w:val="none"/>
          <w:lang w:val="en-US" w:eastAsia="zh-CN"/>
        </w:rPr>
        <w:tab/>
        <w:t>30</w:t>
      </w:r>
    </w:p>
    <w:p>
      <w:pPr>
        <w:keepNext w:val="0"/>
        <w:tabs>
          <w:tab w:pos="8856" w:val="right" w:leader="dot"/>
        </w:tabs>
        <w:spacing w:after="140" w:line="360" w:lineRule="exact"/>
      </w:pPr>
      <w:hyperlink w:anchor="sec_16" w:history="1">
        <w:r>
          <w:rPr>
            <w:rFonts w:ascii="Garamond" w:hAnsi="Garamond" w:eastAsia="Noto Sans CJK SC" w:cs="Garamond"/>
            <w:b w:val="0"/>
            <w:color w:val="000000"/>
            <w:sz w:val="24"/>
            <w:u w:val="none"/>
            <w:lang w:val="en-US" w:eastAsia="zh-CN"/>
          </w:rPr>
          <w:t>16 首批工作安排与文件依据</w:t>
        </w:r>
      </w:hyperlink>
      <w:r>
        <w:rPr>
          <w:rFonts w:ascii="Garamond" w:hAnsi="Garamond" w:eastAsia="Noto Sans CJK SC" w:cs="Garamond"/>
          <w:b w:val="0"/>
          <w:color w:val="000000"/>
          <w:sz w:val="24"/>
          <w:u w:val="none"/>
          <w:lang w:val="en-US" w:eastAsia="zh-CN"/>
        </w:rPr>
        <w:tab/>
        <w:t>36</w:t>
      </w:r>
    </w:p>
    <w:p>
      <w:pPr>
        <w:spacing w:before="160"/>
      </w:pPr>
      <w:r>
        <w:rPr>
          <w:rFonts w:ascii="Garamond" w:hAnsi="Garamond" w:eastAsia="Noto Sans CJK SC" w:cs="Garamond"/>
          <w:b w:val="0"/>
          <w:color w:val="000000"/>
          <w:sz w:val="21"/>
          <w:u w:val="none"/>
          <w:lang w:val="en-US" w:eastAsia="zh-CN"/>
        </w:rPr>
        <w:t>导航条目可在Word中跳转到对应章节。</w:t>
      </w:r>
    </w:p>
    <w:p>
      <w:pPr>
        <w:pStyle w:val="Heading1"/>
        <w:keepNext/>
        <w:pageBreakBefore/>
      </w:pPr>
      <w:bookmarkStart w:id="101" w:name="sec_1"/>
      <w:r>
        <w:rPr>
          <w:rFonts w:ascii="Garamond" w:hAnsi="Garamond" w:eastAsia="Noto Sans CJK SC" w:cs="Garamond"/>
          <w:b/>
          <w:color w:val="000000"/>
          <w:sz w:val="24"/>
          <w:u w:val="single"/>
          <w:lang w:val="en-US" w:eastAsia="zh-CN"/>
        </w:rPr>
        <w:t>1 先完成一个可复核样板</w:t>
      </w:r>
      <w:bookmarkEnd w:id="101"/>
    </w:p>
    <w:p>
      <w:pPr>
        <w:pStyle w:val="Heading2"/>
        <w:keepNext/>
        <w:pageBreakBefore w:val="0"/>
      </w:pPr>
      <w:r>
        <w:rPr>
          <w:rFonts w:ascii="Garamond" w:hAnsi="Garamond" w:eastAsia="Noto Sans CJK SC" w:cs="Garamond"/>
          <w:b/>
          <w:color w:val="000000"/>
          <w:sz w:val="24"/>
          <w:u w:val="none"/>
          <w:lang w:val="en-US" w:eastAsia="zh-CN"/>
        </w:rPr>
        <w:t>1.1 开始标注的顺序</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1. 领取一条原始记录，保留原文件、原序号、原文与原标签；领取技术分配的记录编号。</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2. 确认材料属于哪一组、对应哪个案件及哪份裁判。只有目录或摘要时先登记，不急于判断结果。</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3. 将关键内容拆成事实、主张、法院认定、法律依据和材料缺口，并给每项内容填写原文位置。</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4. 按本组专用规则填写争点及裁判结果；不确定时选择相应状态并说明原因。</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5. 另写研究论证和可见材料清单，避免把法院答案一起交给论证角色。</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6. 由第二名成员独立复核，记录分歧和处理理由，再提交技术导入检查。</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第一轮先做一个承认执行样板和少量 CISG 校准记录。优先把样板做完整，再扩展承认执行的2至3个案件包；CISG 整理可以并行，不作为主线开工的前置条件。</w:t>
      </w:r>
    </w:p>
    <w:p>
      <w:pPr>
        <w:pStyle w:val="Heading2"/>
        <w:keepNext/>
        <w:pageBreakBefore w:val="0"/>
      </w:pPr>
      <w:r>
        <w:rPr>
          <w:rFonts w:ascii="Garamond" w:hAnsi="Garamond" w:eastAsia="Noto Sans CJK SC" w:cs="Garamond"/>
          <w:b/>
          <w:color w:val="000000"/>
          <w:sz w:val="24"/>
          <w:u w:val="none"/>
          <w:lang w:val="en-US" w:eastAsia="zh-CN"/>
        </w:rPr>
        <w:t>1.2 两组资料的入口与产出</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800"/>
        <w:gridCol w:w="4032"/>
        <w:gridCol w:w="3528"/>
      </w:tblGrid>
      <w:tr>
        <w:trPr>
          <w:cantSplit/>
          <w:tblHeader/>
        </w:trPr>
        <w:tc>
          <w:tcPr>
            <w:tcW w:type="dxa" w:w="1800"/>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项目</w:t>
            </w:r>
          </w:p>
        </w:tc>
        <w:tc>
          <w:tcPr>
            <w:tcW w:type="dxa" w:w="4032"/>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A组 CISG 测试表</w:t>
            </w:r>
          </w:p>
        </w:tc>
        <w:tc>
          <w:tcPr>
            <w:tcW w:type="dxa" w:w="3528"/>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B组 承认执行案件目录</w:t>
            </w:r>
          </w:p>
        </w:tc>
      </w:tr>
      <w:tr>
        <w:trPr>
          <w:cantSplit/>
        </w:trPr>
        <w:tc>
          <w:tcPr>
            <w:tcW w:type="dxa" w:w="1800"/>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输入</w:t>
            </w:r>
          </w:p>
        </w:tc>
        <w:tc>
          <w:tcPr>
            <w:tcW w:type="dxa" w:w="403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65条编号记录，含案情、二分类标签、来源</w:t>
            </w:r>
          </w:p>
        </w:tc>
        <w:tc>
          <w:tcPr>
            <w:tcW w:type="dxa" w:w="3528"/>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28个案件簇，目录列出42项裁判或程序文书</w:t>
            </w:r>
          </w:p>
        </w:tc>
      </w:tr>
      <w:tr>
        <w:trPr>
          <w:cantSplit/>
        </w:trPr>
        <w:tc>
          <w:tcPr>
            <w:tcW w:type="dxa" w:w="1800"/>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当前用途</w:t>
            </w:r>
          </w:p>
        </w:tc>
        <w:tc>
          <w:tcPr>
            <w:tcW w:type="dxa" w:w="4032"/>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原始标签与案例线索，需逐条形成依据</w:t>
            </w:r>
          </w:p>
        </w:tc>
        <w:tc>
          <w:tcPr>
            <w:tcW w:type="dxa" w:w="3528"/>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案件与文书检索入口，需加工为案件包</w:t>
            </w:r>
          </w:p>
        </w:tc>
      </w:tr>
      <w:tr>
        <w:trPr>
          <w:cantSplit/>
        </w:trPr>
        <w:tc>
          <w:tcPr>
            <w:tcW w:type="dxa" w:w="1800"/>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核心单位</w:t>
            </w:r>
          </w:p>
        </w:tc>
        <w:tc>
          <w:tcPr>
            <w:tcW w:type="dxa" w:w="403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一份裁判中，特定当事人对特定义务或请求、特定期间提出的第79条免责问题</w:t>
            </w:r>
          </w:p>
        </w:tc>
        <w:tc>
          <w:tcPr>
            <w:tcW w:type="dxa" w:w="3528"/>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案件簇下的具体文书，以及该文书处理的具体请求与争点</w:t>
            </w:r>
          </w:p>
        </w:tc>
      </w:tr>
      <w:tr>
        <w:trPr>
          <w:cantSplit/>
        </w:trPr>
        <w:tc>
          <w:tcPr>
            <w:tcW w:type="dxa" w:w="1800"/>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核心产出</w:t>
            </w:r>
          </w:p>
        </w:tc>
        <w:tc>
          <w:tcPr>
            <w:tcW w:type="dxa" w:w="4032"/>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身份记录、适用与要素标注、分层结果、标签依据</w:t>
            </w:r>
          </w:p>
        </w:tc>
        <w:tc>
          <w:tcPr>
            <w:tcW w:type="dxa" w:w="3528"/>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程序链、六栏案件包、争点表、规则卡、论证与评价依据</w:t>
            </w:r>
          </w:p>
        </w:tc>
      </w:tr>
      <w:tr>
        <w:trPr>
          <w:cantSplit/>
        </w:trPr>
        <w:tc>
          <w:tcPr>
            <w:tcW w:type="dxa" w:w="1800"/>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禁止混同</w:t>
            </w:r>
          </w:p>
        </w:tc>
        <w:tc>
          <w:tcPr>
            <w:tcW w:type="dxa" w:w="403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原标签不等于复核结论；免责不等于全部救济消失</w:t>
            </w:r>
          </w:p>
        </w:tc>
        <w:tc>
          <w:tcPr>
            <w:tcW w:type="dxa" w:w="3528"/>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一个案件簇不等于一份判决；程序处理不等于公约抗辩成立</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上表数量是已有文件的结构盘点。目录自述的“已核实”状态应作为原记录保留，不能直接转换为“实验包审核通过”。来源是否为全文、是否匹配案件、是否完成复核，另设字段记录。</w:t>
      </w:r>
    </w:p>
    <w:p>
      <w:pPr>
        <w:pStyle w:val="Heading2"/>
        <w:keepNext/>
        <w:pageBreakBefore w:val="0"/>
      </w:pPr>
      <w:r>
        <w:rPr>
          <w:rFonts w:ascii="Garamond" w:hAnsi="Garamond" w:eastAsia="Noto Sans CJK SC" w:cs="Garamond"/>
          <w:b/>
          <w:color w:val="000000"/>
          <w:sz w:val="24"/>
          <w:u w:val="none"/>
          <w:lang w:val="en-US" w:eastAsia="zh-CN"/>
        </w:rPr>
        <w:t>1.3 按任务阅读</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首次标注先读第2、3、12、13节，再读本组专章。A组重点读第4、5节；B组重点读第6、7节。参与模拟实验的成员继续读第8至11节。第14节提供示例，第15节提供可复制的交付模板。</w:t>
      </w:r>
    </w:p>
    <w:p>
      <w:pPr>
        <w:pStyle w:val="Heading1"/>
        <w:keepNext/>
        <w:pageBreakBefore w:val="0"/>
      </w:pPr>
      <w:bookmarkStart w:id="102" w:name="sec_2"/>
      <w:r>
        <w:rPr>
          <w:rFonts w:ascii="Garamond" w:hAnsi="Garamond" w:eastAsia="Noto Sans CJK SC" w:cs="Garamond"/>
          <w:b/>
          <w:color w:val="000000"/>
          <w:sz w:val="24"/>
          <w:u w:val="single"/>
          <w:lang w:val="en-US" w:eastAsia="zh-CN"/>
        </w:rPr>
        <w:t>2 两组共用的标注规则</w:t>
      </w:r>
      <w:bookmarkEnd w:id="102"/>
    </w:p>
    <w:p>
      <w:pPr>
        <w:pStyle w:val="Heading2"/>
        <w:keepNext/>
        <w:pageBreakBefore w:val="0"/>
      </w:pPr>
      <w:r>
        <w:rPr>
          <w:rFonts w:ascii="Garamond" w:hAnsi="Garamond" w:eastAsia="Noto Sans CJK SC" w:cs="Garamond"/>
          <w:b/>
          <w:color w:val="000000"/>
          <w:sz w:val="24"/>
          <w:u w:val="none"/>
          <w:lang w:val="en-US" w:eastAsia="zh-CN"/>
        </w:rPr>
        <w:t>2.1 标注对象与编号</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编号由技术团队生成，法学团队负责确认实体关系。不得用排序后的行号覆盖原始序号，也不得因为案名翻译不同就创建新案件。</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对象</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含义与填写方式</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原始记录</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对应原工作表一行或原目录一项。记录来源文件版本、Sheet名称、行号或目录序号；更正后仍保留</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案件簇</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关联同一争议的仲裁、撤销、承认执行及上诉等程序。关联理由必须记录，不能只按当事人名称匹配</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仲裁裁决</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记录裁决日期、机构或临时仲裁、裁决类型及可获得的编号。一个案件簇可以有多份裁决</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程序与文书</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程序标明法院、法域、类型及阶段；每份命令或判决单独编号。同一判决的译本是同一文书的不同来源版本</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请求与争点</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一份文书可以处理多个请求、多个争点；部分处理必须拆分，不用一个总标签压平</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来源与原文位置</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来源编号指向具体文件或网页版本；原文位置编号指向其中可复核的段落、页面或文本片段</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事实与论证</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一项记录表达一个可判断命题；论证记录引用事实、规则和原文位置编号</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例如，A组原序号44对应 Sheet1 第46行，登记位置写“Sheet1!A46:G46”，不能写成第44行。B组一个目录项包含五项程序材料时，先形成一个案件簇和五项文书候选；不能把后来判决提及的命令当作已经取得命令原件。</w:t>
      </w:r>
    </w:p>
    <w:p>
      <w:pPr>
        <w:pStyle w:val="Heading2"/>
        <w:keepNext/>
        <w:pageBreakBefore w:val="0"/>
      </w:pPr>
      <w:r>
        <w:rPr>
          <w:rFonts w:ascii="Garamond" w:hAnsi="Garamond" w:eastAsia="Noto Sans CJK SC" w:cs="Garamond"/>
          <w:b/>
          <w:color w:val="000000"/>
          <w:sz w:val="24"/>
          <w:u w:val="none"/>
          <w:lang w:val="en-US" w:eastAsia="zh-CN"/>
        </w:rPr>
        <w:t>2.2 空缺与未知的统一口径</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已提交的标注不留没有解释的空白。字段有可靠值时填值；没有值时填下列状态，并在“缺口说明”中写清原因、影响和下一步。技术转换时将状态与实际值分开保存。</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792"/>
        <w:gridCol w:w="1699"/>
        <w:gridCol w:w="6869"/>
      </w:tblGrid>
      <w:tr>
        <w:trPr>
          <w:cantSplit/>
          <w:tblHeader/>
        </w:trPr>
        <w:tc>
          <w:tcPr>
            <w:tcW w:type="dxa" w:w="792"/>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代码</w:t>
            </w:r>
          </w:p>
        </w:tc>
        <w:tc>
          <w:tcPr>
            <w:tcW w:type="dxa" w:w="169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中文含义</w:t>
            </w:r>
          </w:p>
        </w:tc>
        <w:tc>
          <w:tcPr>
            <w:tcW w:type="dxa" w:w="686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使用条件</w:t>
            </w:r>
          </w:p>
        </w:tc>
      </w:tr>
      <w:tr>
        <w:trPr>
          <w:cantSplit/>
        </w:trPr>
        <w:tc>
          <w:tcPr>
            <w:tcW w:type="dxa" w:w="792"/>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NR</w:t>
            </w:r>
          </w:p>
        </w:tc>
        <w:tc>
          <w:tcPr>
            <w:tcW w:type="dxa" w:w="169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原文未披露</w:t>
            </w:r>
          </w:p>
        </w:tc>
        <w:tc>
          <w:tcPr>
            <w:tcW w:type="dxa" w:w="686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已检查所指材料，未发现该信息。写明检查范围；摘要未提及不能推断完整裁判也未提及</w:t>
            </w:r>
          </w:p>
        </w:tc>
      </w:tr>
      <w:tr>
        <w:trPr>
          <w:cantSplit/>
        </w:trPr>
        <w:tc>
          <w:tcPr>
            <w:tcW w:type="dxa" w:w="792"/>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UV</w:t>
            </w:r>
          </w:p>
        </w:tc>
        <w:tc>
          <w:tcPr>
            <w:tcW w:type="dxa" w:w="169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尚未核实</w:t>
            </w:r>
          </w:p>
        </w:tc>
        <w:tc>
          <w:tcPr>
            <w:tcW w:type="dxa" w:w="686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尚未取得材料、尚未查到对应段落或尚未完成核对。不能写成法院没有认定</w:t>
            </w:r>
          </w:p>
        </w:tc>
      </w:tr>
      <w:tr>
        <w:trPr>
          <w:cantSplit/>
        </w:trPr>
        <w:tc>
          <w:tcPr>
            <w:tcW w:type="dxa" w:w="792"/>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NA</w:t>
            </w:r>
          </w:p>
        </w:tc>
        <w:tc>
          <w:tcPr>
            <w:tcW w:type="dxa" w:w="169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不适用</w:t>
            </w:r>
          </w:p>
        </w:tc>
        <w:tc>
          <w:tcPr>
            <w:tcW w:type="dxa" w:w="686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该字段对本对象没有意义，说明为什么。不是“不知道”或“不成立”的替代值</w:t>
            </w:r>
          </w:p>
        </w:tc>
      </w:tr>
      <w:tr>
        <w:trPr>
          <w:cantSplit/>
        </w:trPr>
        <w:tc>
          <w:tcPr>
            <w:tcW w:type="dxa" w:w="792"/>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CF</w:t>
            </w:r>
          </w:p>
        </w:tc>
        <w:tc>
          <w:tcPr>
            <w:tcW w:type="dxa" w:w="169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来源冲突</w:t>
            </w:r>
          </w:p>
        </w:tc>
        <w:tc>
          <w:tcPr>
            <w:tcW w:type="dxa" w:w="686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两个来源或同一材料的不同部分冲突。并列记录冲突值与依据，等待裁决</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“法院认为证据不足”是已知的裁判判断，不等于标注人员缺材料。前者记录法院判断及其依据；后者记录 NR 或 UV。对外结果中的“无法判断”还应关联上述缺口原因。</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日期只按原文精度记录：仅有年份就填年份并标“年”；仅有年月就标“月”。不得补为1月1日。金额保留数值、币种、涉及请求和原文写法；当事人简称、匿名名称与译名分别保留。</w:t>
      </w:r>
    </w:p>
    <w:p>
      <w:pPr>
        <w:pStyle w:val="Heading2"/>
        <w:keepNext/>
        <w:pageBreakBefore w:val="0"/>
      </w:pPr>
      <w:r>
        <w:rPr>
          <w:rFonts w:ascii="Garamond" w:hAnsi="Garamond" w:eastAsia="Noto Sans CJK SC" w:cs="Garamond"/>
          <w:b/>
          <w:color w:val="000000"/>
          <w:sz w:val="24"/>
          <w:u w:val="none"/>
          <w:lang w:val="en-US" w:eastAsia="zh-CN"/>
        </w:rPr>
        <w:t>2.3 把出处与说话者分开</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每一项事实或论证至少标记“内容来源类型”“陈述主体”“内容性质”和“支持状态”。这四项不能合并成一个真假标签。</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字段</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可选值或填写要求</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内容来源类型</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原始法律材料摘录；研究者归纳；研究者重构论证；模型生成；教学示例</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陈述主体</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申请人；被申请人；法院或仲裁庭；其他主体；研究者；模型。写明具体身份及程序</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内容性质</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当事人主张；法院事实认定；双方不争议事项；裁判理由；裁判主文；程序记载；研究判断</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支持状态</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原文直接记载；原文间接支持；尚无材料支持；来源冲突。间接支持须写出归纳依据</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争议状态</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有争议；明确无争议；未披露。对方未在摘要中出现，不代表其承认</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“判决记载被申请人称未收到通知”应标为被申请人主张，由判决转述支持；不能标成法院认定未通知。只有判决这一载体，并不意味着其每句话都是法院采纳的事实。</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原文摘录必须忠实；翻译、缩写、概括另列。LLM 可辅助找位置和提取，但其生成内容必须保留来源标记并经人工确认。不得用模型生成的补全内容填入历史事实栏。</w:t>
      </w:r>
    </w:p>
    <w:p>
      <w:pPr>
        <w:pStyle w:val="Heading2"/>
        <w:keepNext/>
        <w:pageBreakBefore w:val="0"/>
      </w:pPr>
      <w:r>
        <w:rPr>
          <w:rFonts w:ascii="Garamond" w:hAnsi="Garamond" w:eastAsia="Noto Sans CJK SC" w:cs="Garamond"/>
          <w:b/>
          <w:color w:val="000000"/>
          <w:sz w:val="24"/>
          <w:u w:val="none"/>
          <w:lang w:val="en-US" w:eastAsia="zh-CN"/>
        </w:rPr>
        <w:t>2.4 原始资料与修订记录</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原始案情、标签、链接和目录备注只读保存。纠正内容写入新字段，并记录“原值—新值—理由—依据—标注者—复核者—时间—指南版本”。撤回一项标注也保留旧记录，不删除历史。</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同一案件簇的不同审级、译本、摘要和近重复记录应放在同一数据划分组。已经用于提示修改、规则调整或示例讲解的案件标为开发用途，不再宣称为未见测试样本。数据集名称含“测试集”不自动决定其后续研究用途。</w:t>
      </w:r>
    </w:p>
    <w:p>
      <w:pPr>
        <w:pStyle w:val="Heading1"/>
        <w:keepNext/>
        <w:pageBreakBefore w:val="0"/>
      </w:pPr>
      <w:bookmarkStart w:id="103" w:name="sec_3"/>
      <w:r>
        <w:rPr>
          <w:rFonts w:ascii="Garamond" w:hAnsi="Garamond" w:eastAsia="Noto Sans CJK SC" w:cs="Garamond"/>
          <w:b/>
          <w:color w:val="000000"/>
          <w:sz w:val="24"/>
          <w:u w:val="single"/>
          <w:lang w:val="en-US" w:eastAsia="zh-CN"/>
        </w:rPr>
        <w:t>3 来源登记与原文定位</w:t>
      </w:r>
      <w:bookmarkEnd w:id="103"/>
    </w:p>
    <w:p>
      <w:pPr>
        <w:pStyle w:val="Heading2"/>
        <w:keepNext/>
        <w:pageBreakBefore w:val="0"/>
      </w:pPr>
      <w:r>
        <w:rPr>
          <w:rFonts w:ascii="Garamond" w:hAnsi="Garamond" w:eastAsia="Noto Sans CJK SC" w:cs="Garamond"/>
          <w:b/>
          <w:color w:val="000000"/>
          <w:sz w:val="24"/>
          <w:u w:val="none"/>
          <w:lang w:val="en-US" w:eastAsia="zh-CN"/>
        </w:rPr>
        <w:t>3.1 每份来源登记什么</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必填项目</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操作要求</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来源身份</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来源编号、关联文书编号、标题、发布者、来源类型、原语言；与案名、法院、案号和日期核对</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获取记录</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原链接、取得日期、访问状态、保存文件名或归档位置；技术生成文件摘要值和版本编号</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材料形态</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官方全文；官方摘要；权威或专业数据库全文；其他转载全文；评论或报道；后续文书转述；仅目录线索</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完整程度</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完整；节选；摘要；缺页；无法判断。说明是否包含主文、理由、附件或异议意见</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核验状态</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未核验；身份匹配；身份冲突；全文核读；仅核对摘要或转述。填写本次实际做了什么</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使用限制</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可内部使用或引用的范围、已知访问或再分发限制；没有依据时填UV，不自行保证公开传播权限</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译文关系</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原文来源编号、译者或翻译方式、是否人工校核；译文不替代原文版本</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优先使用法院、仲裁机构或官方法源；专业数据库和其他材料可补充。官方网页也可能只是摘要，专业数据库也可能保存全文，发布者身份与材料完整程度分别判断。多个转载相同文字不能被计为相互独立的事实来源。</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暂不访问链接时，可以完成原始登记和待办分配，核验状态保持“未核验”。无法打开链接时记录访问问题，不据此删除案件，也不把搜索摘要视为裁判全文。找到替代来源后，保留原链接及替代关系。</w:t>
      </w:r>
    </w:p>
    <w:p>
      <w:pPr>
        <w:pStyle w:val="Heading2"/>
        <w:keepNext/>
        <w:pageBreakBefore w:val="0"/>
      </w:pPr>
      <w:r>
        <w:rPr>
          <w:rFonts w:ascii="Garamond" w:hAnsi="Garamond" w:eastAsia="Noto Sans CJK SC" w:cs="Garamond"/>
          <w:b/>
          <w:color w:val="000000"/>
          <w:sz w:val="24"/>
          <w:u w:val="none"/>
          <w:lang w:val="en-US" w:eastAsia="zh-CN"/>
        </w:rPr>
        <w:t>3.2 每项关键判断如何定位</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统一写法为“来源编号＋定位方式＋位置＋原文摘录＋该摘录支持什么”。优先使用裁判自身段号；没有段号时用页码和段落起止文字。网页更新或重新排版后，必须仍能定位到保存的版本。</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材料形态</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位置写法</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有编号段落的裁判</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第17至19段，并分别指出哪段支持事实、哪段支持理由</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PDF或扫描文书</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文件第8页，原文印刷页码6，第2段，附起止文字；文件页码按1起算</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无固定页码的网页</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小标题、段落序号及起止文字，关联网页快照版本</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Word或表格</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段落或表格位置；表格注明Sheet与单元格，必要时另附对应裁判来源</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法律规范</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正式名称、条款层级、版本或时间、公布来源；规则卡链接到确切条文位置</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不要求复制整页。摘录应足以支持对应判断，避免只截取结论而遗漏前后限定。研究归纳引用全部必要位置。扫描件经OCR后，姓名、否定词、日期、条号、金额及关键句须人工对照图像。</w:t>
      </w:r>
    </w:p>
    <w:p>
      <w:pPr>
        <w:pStyle w:val="Heading2"/>
        <w:keepNext/>
        <w:pageBreakBefore w:val="0"/>
      </w:pPr>
      <w:r>
        <w:rPr>
          <w:rFonts w:ascii="Garamond" w:hAnsi="Garamond" w:eastAsia="Noto Sans CJK SC" w:cs="Garamond"/>
          <w:b/>
          <w:color w:val="000000"/>
          <w:sz w:val="24"/>
          <w:u w:val="none"/>
          <w:lang w:val="en-US" w:eastAsia="zh-CN"/>
        </w:rPr>
        <w:t>3.3 必须保留的材料缺口</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每个缺口填写：缺什么；当前根据什么知道它可能存在；影响哪个事实、争点或规则；是否阻碍本次标注或实验；计划找什么材料；责任人和状态。判决引用了通知、合同或仲裁卷宗，不代表这些原件已在包内。</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对于无法获得的原件，可以使用“法院转述某材料”的有限记录，准确标明载体。研究实验若依赖该记录，应注明它是经过法院叙述的事实材料，其选择和措辞可能已受裁判结果影响。</w:t>
      </w:r>
    </w:p>
    <w:p>
      <w:pPr>
        <w:pStyle w:val="Heading1"/>
        <w:keepNext/>
        <w:pageBreakBefore/>
      </w:pPr>
      <w:bookmarkStart w:id="104" w:name="sec_4"/>
      <w:r>
        <w:rPr>
          <w:rFonts w:ascii="Garamond" w:hAnsi="Garamond" w:eastAsia="Noto Sans CJK SC" w:cs="Garamond"/>
          <w:b/>
          <w:color w:val="000000"/>
          <w:sz w:val="24"/>
          <w:u w:val="single"/>
          <w:lang w:val="en-US" w:eastAsia="zh-CN"/>
        </w:rPr>
        <w:t>4 A组 CISG 数据的逐项标注</w:t>
      </w:r>
      <w:bookmarkEnd w:id="104"/>
    </w:p>
    <w:p>
      <w:pPr>
        <w:pStyle w:val="Heading2"/>
        <w:keepNext/>
        <w:pageBreakBefore w:val="0"/>
      </w:pPr>
      <w:r>
        <w:rPr>
          <w:rFonts w:ascii="Garamond" w:hAnsi="Garamond" w:eastAsia="Noto Sans CJK SC" w:cs="Garamond"/>
          <w:b/>
          <w:color w:val="000000"/>
          <w:sz w:val="24"/>
          <w:u w:val="none"/>
          <w:lang w:val="en-US" w:eastAsia="zh-CN"/>
        </w:rPr>
        <w:t>4.1 先保留原表 再补标准字段</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原表 Sheet1 第1行为表头，第2行为全表说明，第3至67行为65条编号记录。以下映射由技术实现，法学确认内容；不要求重新抄写已有案情。</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685"/>
        <w:gridCol w:w="3931"/>
        <w:gridCol w:w="3744"/>
      </w:tblGrid>
      <w:tr>
        <w:trPr>
          <w:cantSplit/>
          <w:tblHeader/>
        </w:trPr>
        <w:tc>
          <w:tcPr>
            <w:tcW w:type="dxa" w:w="1685"/>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原列</w:t>
            </w:r>
          </w:p>
        </w:tc>
        <w:tc>
          <w:tcPr>
            <w:tcW w:type="dxa" w:w="393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正确接收方式</w:t>
            </w:r>
          </w:p>
        </w:tc>
        <w:tc>
          <w:tcPr>
            <w:tcW w:type="dxa" w:w="3744"/>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法学需要补充</w:t>
            </w:r>
          </w:p>
        </w:tc>
      </w:tr>
      <w:tr>
        <w:trPr>
          <w:cantSplit/>
        </w:trPr>
        <w:tc>
          <w:tcPr>
            <w:tcW w:type="dxa" w:w="1685"/>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A 序号</w:t>
            </w:r>
          </w:p>
        </w:tc>
        <w:tc>
          <w:tcPr>
            <w:tcW w:type="dxa" w:w="3931"/>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保存原序号及实际行号</w:t>
            </w:r>
          </w:p>
        </w:tc>
        <w:tc>
          <w:tcPr>
            <w:tcW w:type="dxa" w:w="3744"/>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确认与裁判身份的对应关系</w:t>
            </w:r>
          </w:p>
        </w:tc>
      </w:tr>
      <w:tr>
        <w:trPr>
          <w:cantSplit/>
        </w:trPr>
        <w:tc>
          <w:tcPr>
            <w:tcW w:type="dxa" w:w="1685"/>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B 案由</w:t>
            </w:r>
          </w:p>
        </w:tc>
        <w:tc>
          <w:tcPr>
            <w:tcW w:type="dxa" w:w="3931"/>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B2作为全表案由说明继承</w:t>
            </w:r>
          </w:p>
        </w:tc>
        <w:tc>
          <w:tcPr>
            <w:tcW w:type="dxa" w:w="3744"/>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如个别案件不符，记录异常；后续空格不自动算缺失</w:t>
            </w:r>
          </w:p>
        </w:tc>
      </w:tr>
      <w:tr>
        <w:trPr>
          <w:cantSplit/>
        </w:trPr>
        <w:tc>
          <w:tcPr>
            <w:tcW w:type="dxa" w:w="1685"/>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C 声明时间</w:t>
            </w:r>
          </w:p>
        </w:tc>
        <w:tc>
          <w:tcPr>
            <w:tcW w:type="dxa" w:w="3931"/>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保存原字符串及其数据集说明身份</w:t>
            </w:r>
          </w:p>
        </w:tc>
        <w:tc>
          <w:tcPr>
            <w:tcW w:type="dxa" w:w="3744"/>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另填实际裁判日期、精度和依据；不将区间当作每案日期</w:t>
            </w:r>
          </w:p>
        </w:tc>
      </w:tr>
      <w:tr>
        <w:trPr>
          <w:cantSplit/>
        </w:trPr>
        <w:tc>
          <w:tcPr>
            <w:tcW w:type="dxa" w:w="1685"/>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D 法律判断任务</w:t>
            </w:r>
          </w:p>
        </w:tc>
        <w:tc>
          <w:tcPr>
            <w:tcW w:type="dxa" w:w="3931"/>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D2作为全表任务说明继承</w:t>
            </w:r>
          </w:p>
        </w:tc>
        <w:tc>
          <w:tcPr>
            <w:tcW w:type="dxa" w:w="3744"/>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明确本条涉及的当事人、义务、请求与期间</w:t>
            </w:r>
          </w:p>
        </w:tc>
      </w:tr>
      <w:tr>
        <w:trPr>
          <w:cantSplit/>
        </w:trPr>
        <w:tc>
          <w:tcPr>
            <w:tcW w:type="dxa" w:w="1685"/>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E 案情</w:t>
            </w:r>
          </w:p>
        </w:tc>
        <w:tc>
          <w:tcPr>
            <w:tcW w:type="dxa" w:w="3931"/>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原文只读保存</w:t>
            </w:r>
          </w:p>
        </w:tc>
        <w:tc>
          <w:tcPr>
            <w:tcW w:type="dxa" w:w="3744"/>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抽取事实及出处；另生成去除答案的实验输入</w:t>
            </w:r>
          </w:p>
        </w:tc>
      </w:tr>
      <w:tr>
        <w:trPr>
          <w:cantSplit/>
        </w:trPr>
        <w:tc>
          <w:tcPr>
            <w:tcW w:type="dxa" w:w="1685"/>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F 判决结果</w:t>
            </w:r>
          </w:p>
        </w:tc>
        <w:tc>
          <w:tcPr>
            <w:tcW w:type="dxa" w:w="3931"/>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作为原始二分类标签保存</w:t>
            </w:r>
          </w:p>
        </w:tc>
        <w:tc>
          <w:tcPr>
            <w:tcW w:type="dxa" w:w="3744"/>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填写复核后的细分标签、理由和原文位置</w:t>
            </w:r>
          </w:p>
        </w:tc>
      </w:tr>
      <w:tr>
        <w:trPr>
          <w:cantSplit/>
        </w:trPr>
        <w:tc>
          <w:tcPr>
            <w:tcW w:type="dxa" w:w="1685"/>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G 案件来源</w:t>
            </w:r>
          </w:p>
        </w:tc>
        <w:tc>
          <w:tcPr>
            <w:tcW w:type="dxa" w:w="3931"/>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保存原链接</w:t>
            </w:r>
          </w:p>
        </w:tc>
        <w:tc>
          <w:tcPr>
            <w:tcW w:type="dxa" w:w="3744"/>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核对对应案件、材料形态、完整程度及可获取版本</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C列主要重复“1988年1月1日—2025年12月31日”区间，最后一条该格为空。这不是65个裁判日期。F列现有55条“不免除赔偿责任”和10条“免除赔偿责任”，属于待复核原标签分布。</w:t>
      </w:r>
    </w:p>
    <w:p>
      <w:pPr>
        <w:pStyle w:val="Heading2"/>
        <w:keepNext/>
        <w:pageBreakBefore w:val="0"/>
      </w:pPr>
      <w:r>
        <w:rPr>
          <w:rFonts w:ascii="Garamond" w:hAnsi="Garamond" w:eastAsia="Noto Sans CJK SC" w:cs="Garamond"/>
          <w:b/>
          <w:color w:val="000000"/>
          <w:sz w:val="24"/>
          <w:u w:val="none"/>
          <w:lang w:val="en-US" w:eastAsia="zh-CN"/>
        </w:rPr>
        <w:t>4.2 案件身份与判断对象</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每条至少登记：标准案名、原案名、国家或法域、法院或仲裁机构、案号、裁判日期、程序阶段、关联案件簇和来源。不能从当事人国籍推断法院，也不能把合同履行地当成仲裁地。</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判断对象写成一句话，例如“本份裁判是否支持卖方就某批货物在某期间未交付所产生的损害赔偿责任，依据第79条获得免责”。同案涉及买卖双方、多个期间或不同请求时分别标注，再决定能否形成案件级汇总。</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字段</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填写要求</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CISG适用状态</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裁判认定适用；认定不适用；仅讨论或假设适用；未作判断；材料不足。附适用依据及位置</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免责主张人</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具体主体及买方或卖方身份；不能只写“原告”而不注明程序</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义务与违约</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指明交付、付款等具体义务和被主张的未履行行为</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请求与期间</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涉及哪项损害赔偿、哪一履行阶段或期间；其他救济另列</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主张与处理</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是否提出第79条主张；裁判是否实际处理；处理段落及适用路径</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研究判断</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如团队另有法律评价，另填观点、依据与不确定性，不覆盖裁判判断</w:t>
            </w:r>
          </w:p>
        </w:tc>
      </w:tr>
    </w:tbl>
    <w:p>
      <w:pPr>
        <w:spacing w:after="0" w:before="0" w:line="80" w:lineRule="exact"/>
      </w:pPr>
      <w:r>
        <w:rPr>
          <w:rFonts w:ascii="Garamond" w:hAnsi="Garamond" w:eastAsia="Noto Sans CJK SC" w:cs="Garamond"/>
          <w:b w:val="0"/>
          <w:color w:val="000000"/>
          <w:sz w:val="8"/>
          <w:u w:val="none"/>
          <w:lang w:val="en-US" w:eastAsia="zh-CN"/>
        </w:rPr>
      </w:r>
    </w:p>
    <w:p>
      <w:pPr>
        <w:pStyle w:val="Heading2"/>
        <w:keepNext/>
        <w:pageBreakBefore w:val="0"/>
      </w:pPr>
      <w:r>
        <w:rPr>
          <w:rFonts w:ascii="Garamond" w:hAnsi="Garamond" w:eastAsia="Noto Sans CJK SC" w:cs="Garamond"/>
          <w:b/>
          <w:color w:val="000000"/>
          <w:sz w:val="24"/>
          <w:u w:val="none"/>
          <w:lang w:val="en-US" w:eastAsia="zh-CN"/>
        </w:rPr>
        <w:t>4.3 第79条要素记录</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以下是提取提示，不是自动裁判公式。法学应以该案适用文本、裁判理由及规则卡确定具体解释。每个要素都分别记录当事人的说法、裁判的处理和支持位置。</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提取项目</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要观察的内容</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障碍与因果联系</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所称障碍是什么，何时发生，怎样导致特定义务未履行；仅出现事件名称不足以证明因果联系</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控制范围</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裁判如何判断障碍与当事人控制范围的关系；区分风险承担、履行能力与一般经营困难</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订约时可预见性</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以哪个订约时间与可得信息为基础；不要用后来发生的结果倒推当时应知</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避免或克服</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是否能够合理避免或克服障碍及其后果；分别提取替代履行、成本与所需措施的论证</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第三人履行</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是否涉及受托履行全部或部分合同的第三人，裁判是否讨论第79条第2款及相关条件</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持续期间</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障碍持续期间与被请求免责期间是否对应；是否只支持部分期间</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障碍通知</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通知内容、发出与收到时间、合理期间及因通知未及时到达而主张的损失；与基础免责分别记录</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救济范围</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裁判处理的是损害赔偿还是其他救济；记录第79条第5款相关讨论，不把全部合同权利合并为一个免责值</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特殊解释争议</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情势变化、履行艰难、价格波动等如何定性；记录裁判实际路径，不能只凭中文“不可抗力”标签推断</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每个要素使用“法院认定满足／认定不满足／未处理／材料不足／不适用”之一。法院明确以某一必要条件不满足而驳回免责，不代表其已认定所有其他条件均不满足。举证主体、标准和未证明的后果只按有依据的规则与裁判记载填入。</w:t>
      </w:r>
    </w:p>
    <w:p>
      <w:pPr>
        <w:pStyle w:val="Heading2"/>
        <w:keepNext/>
        <w:pageBreakBefore w:val="0"/>
      </w:pPr>
      <w:r>
        <w:rPr>
          <w:rFonts w:ascii="Garamond" w:hAnsi="Garamond" w:eastAsia="Noto Sans CJK SC" w:cs="Garamond"/>
          <w:b/>
          <w:color w:val="000000"/>
          <w:sz w:val="24"/>
          <w:u w:val="none"/>
          <w:lang w:val="en-US" w:eastAsia="zh-CN"/>
        </w:rPr>
        <w:t>4.4 结果标签和二分类准入</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先标“裁判是否处理该问题”，再标“处理结果”，最后判断能否导出二分类。不能先看F列，再从案情中挑支持原标签的句子。</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483"/>
        <w:gridCol w:w="5285"/>
        <w:gridCol w:w="2592"/>
      </w:tblGrid>
      <w:tr>
        <w:trPr>
          <w:cantSplit/>
          <w:tblHeader/>
        </w:trPr>
        <w:tc>
          <w:tcPr>
            <w:tcW w:type="dxa" w:w="1483"/>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细分标签</w:t>
            </w:r>
          </w:p>
        </w:tc>
        <w:tc>
          <w:tcPr>
            <w:tcW w:type="dxa" w:w="5285"/>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使用条件</w:t>
            </w:r>
          </w:p>
        </w:tc>
        <w:tc>
          <w:tcPr>
            <w:tcW w:type="dxa" w:w="2592"/>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二分类处理</w:t>
            </w:r>
          </w:p>
        </w:tc>
      </w:tr>
      <w:tr>
        <w:trPr>
          <w:cantSplit/>
        </w:trPr>
        <w:tc>
          <w:tcPr>
            <w:tcW w:type="dxa" w:w="1483"/>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支持免责</w:t>
            </w:r>
          </w:p>
        </w:tc>
        <w:tc>
          <w:tcPr>
            <w:tcW w:type="dxa" w:w="5285"/>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对明确的判断对象，裁判实际依据第79条支持所涉损害赔偿免责</w:t>
            </w:r>
          </w:p>
        </w:tc>
        <w:tc>
          <w:tcPr>
            <w:tcW w:type="dxa" w:w="259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复核通过后可映射“免除”</w:t>
            </w:r>
          </w:p>
        </w:tc>
      </w:tr>
      <w:tr>
        <w:trPr>
          <w:cantSplit/>
        </w:trPr>
        <w:tc>
          <w:tcPr>
            <w:tcW w:type="dxa" w:w="1483"/>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不支持免责</w:t>
            </w:r>
          </w:p>
        </w:tc>
        <w:tc>
          <w:tcPr>
            <w:tcW w:type="dxa" w:w="5285"/>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裁判实际处理该项第79条免责并予以否定，包括明确的未完成证明</w:t>
            </w:r>
          </w:p>
        </w:tc>
        <w:tc>
          <w:tcPr>
            <w:tcW w:type="dxa" w:w="2592"/>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复核通过后可映射“不免除”</w:t>
            </w:r>
          </w:p>
        </w:tc>
      </w:tr>
      <w:tr>
        <w:trPr>
          <w:cantSplit/>
        </w:trPr>
        <w:tc>
          <w:tcPr>
            <w:tcW w:type="dxa" w:w="1483"/>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部分支持</w:t>
            </w:r>
          </w:p>
        </w:tc>
        <w:tc>
          <w:tcPr>
            <w:tcW w:type="dxa" w:w="5285"/>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不同义务、请求或期间的处理不同</w:t>
            </w:r>
          </w:p>
        </w:tc>
        <w:tc>
          <w:tcPr>
            <w:tcW w:type="dxa" w:w="259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先拆判断单位；不能拆则不进入简单二分类</w:t>
            </w:r>
          </w:p>
        </w:tc>
      </w:tr>
      <w:tr>
        <w:trPr>
          <w:cantSplit/>
        </w:trPr>
        <w:tc>
          <w:tcPr>
            <w:tcW w:type="dxa" w:w="1483"/>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未作判断</w:t>
            </w:r>
          </w:p>
        </w:tc>
        <w:tc>
          <w:tcPr>
            <w:tcW w:type="dxa" w:w="5285"/>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核读相关完整材料后确认未处理、无需处理或明确保留该问题</w:t>
            </w:r>
          </w:p>
        </w:tc>
        <w:tc>
          <w:tcPr>
            <w:tcW w:type="dxa" w:w="2592"/>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不映射负例</w:t>
            </w:r>
          </w:p>
        </w:tc>
      </w:tr>
      <w:tr>
        <w:trPr>
          <w:cantSplit/>
        </w:trPr>
        <w:tc>
          <w:tcPr>
            <w:tcW w:type="dxa" w:w="1483"/>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不适用</w:t>
            </w:r>
          </w:p>
        </w:tc>
        <w:tc>
          <w:tcPr>
            <w:tcW w:type="dxa" w:w="5285"/>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有依据确认本判断对象不属于该任务，例如裁判排除CISG适用且未作第79条实体判断</w:t>
            </w:r>
          </w:p>
        </w:tc>
        <w:tc>
          <w:tcPr>
            <w:tcW w:type="dxa" w:w="259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不映射负例</w:t>
            </w:r>
          </w:p>
        </w:tc>
      </w:tr>
      <w:tr>
        <w:trPr>
          <w:cantSplit/>
        </w:trPr>
        <w:tc>
          <w:tcPr>
            <w:tcW w:type="dxa" w:w="1483"/>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无法判断</w:t>
            </w:r>
          </w:p>
        </w:tc>
        <w:tc>
          <w:tcPr>
            <w:tcW w:type="dxa" w:w="5285"/>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身份、材料、法条路径或处理范围不能可靠确认</w:t>
            </w:r>
          </w:p>
        </w:tc>
        <w:tc>
          <w:tcPr>
            <w:tcW w:type="dxa" w:w="2592"/>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不映射；附NR、UV或CF原因</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若裁判仅假设公约适用后讨论免责，分别保存“假设适用”和所作分析，原则上先列为专门子集，经法学负责人确定评价任务后使用。其他法律路径支持免责而第79条未被处理时，不能将其自动标为“支持第79条免责”。</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复核结果另填“原标签一致／拟更正／口径不同暂不可比／待核”。不一致时写出原标签、新标签、差异原因和依据；保留全部原值。案件总体胜负、赔偿金额和第79条结果分别保存。</w:t>
      </w:r>
    </w:p>
    <w:p>
      <w:pPr>
        <w:pStyle w:val="Heading1"/>
        <w:keepNext/>
        <w:pageBreakBefore w:val="0"/>
      </w:pPr>
      <w:bookmarkStart w:id="105" w:name="sec_5"/>
      <w:r>
        <w:rPr>
          <w:rFonts w:ascii="Garamond" w:hAnsi="Garamond" w:eastAsia="Noto Sans CJK SC" w:cs="Garamond"/>
          <w:b/>
          <w:color w:val="000000"/>
          <w:sz w:val="24"/>
          <w:u w:val="single"/>
          <w:lang w:val="en-US" w:eastAsia="zh-CN"/>
        </w:rPr>
        <w:t>5 A组常见边界与整备顺序</w:t>
      </w:r>
      <w:bookmarkEnd w:id="105"/>
    </w:p>
    <w:p>
      <w:pPr>
        <w:pStyle w:val="Heading2"/>
        <w:keepNext/>
        <w:pageBreakBefore w:val="0"/>
      </w:pPr>
      <w:r>
        <w:rPr>
          <w:rFonts w:ascii="Garamond" w:hAnsi="Garamond" w:eastAsia="Noto Sans CJK SC" w:cs="Garamond"/>
          <w:b/>
          <w:color w:val="000000"/>
          <w:sz w:val="24"/>
          <w:u w:val="none"/>
          <w:lang w:val="en-US" w:eastAsia="zh-CN"/>
        </w:rPr>
        <w:t>5.1 先处理会影响身份和评价的记录</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以下项目来自现有材料盘点，用于确定整备优先级。它们不是对65条记录全部真实性与标签的审计结论。</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131"/>
        <w:gridCol w:w="3571"/>
        <w:gridCol w:w="3658"/>
      </w:tblGrid>
      <w:tr>
        <w:trPr>
          <w:cantSplit/>
          <w:tblHeader/>
        </w:trPr>
        <w:tc>
          <w:tcPr>
            <w:tcW w:type="dxa" w:w="213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原表位置</w:t>
            </w:r>
          </w:p>
        </w:tc>
        <w:tc>
          <w:tcPr>
            <w:tcW w:type="dxa" w:w="357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当前应登记的问题</w:t>
            </w:r>
          </w:p>
        </w:tc>
        <w:tc>
          <w:tcPr>
            <w:tcW w:type="dxa" w:w="3658"/>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处理方式</w:t>
            </w:r>
          </w:p>
        </w:tc>
      </w:tr>
      <w:tr>
        <w:trPr>
          <w:cantSplit/>
        </w:trPr>
        <w:tc>
          <w:tcPr>
            <w:tcW w:type="dxa" w:w="2131"/>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序号43与44 E45和E46</w:t>
            </w:r>
          </w:p>
        </w:tc>
        <w:tc>
          <w:tcPr>
            <w:tcW w:type="dxa" w:w="3571"/>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案情文本完全相同，来源链接不同；序号44已发现案情与来源身份错配</w:t>
            </w:r>
          </w:p>
        </w:tc>
        <w:tc>
          <w:tcPr>
            <w:tcW w:type="dxa" w:w="3658"/>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保留两条原记录，分别核定目标裁判。确认前设来源冲突并暂停该条正式评测；不自动删除其中一行</w:t>
            </w:r>
          </w:p>
        </w:tc>
      </w:tr>
      <w:tr>
        <w:trPr>
          <w:cantSplit/>
        </w:trPr>
        <w:tc>
          <w:tcPr>
            <w:tcW w:type="dxa" w:w="213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序号4 E6</w:t>
            </w:r>
          </w:p>
        </w:tc>
        <w:tc>
          <w:tcPr>
            <w:tcW w:type="dxa" w:w="3571"/>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“案情”含裁判关于第79条的处理结论</w:t>
            </w:r>
          </w:p>
        </w:tc>
        <w:tc>
          <w:tcPr>
            <w:tcW w:type="dxa" w:w="3658"/>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原文保留；为实验制作独立事实视图，标记删去的位置和原因</w:t>
            </w:r>
          </w:p>
        </w:tc>
      </w:tr>
      <w:tr>
        <w:trPr>
          <w:cantSplit/>
        </w:trPr>
        <w:tc>
          <w:tcPr>
            <w:tcW w:type="dxa" w:w="2131"/>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序号35与64 22与65 38与39</w:t>
            </w:r>
          </w:p>
        </w:tc>
        <w:tc>
          <w:tcPr>
            <w:tcW w:type="dxa" w:w="3571"/>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存在同案或不同阶段的关联线索</w:t>
            </w:r>
          </w:p>
        </w:tc>
        <w:tc>
          <w:tcPr>
            <w:tcW w:type="dxa" w:w="3658"/>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核对文书日期、法院、案号及请求，确认后建立案件簇，不按文本相似度直接合并</w:t>
            </w:r>
          </w:p>
        </w:tc>
      </w:tr>
      <w:tr>
        <w:trPr>
          <w:cantSplit/>
        </w:trPr>
        <w:tc>
          <w:tcPr>
            <w:tcW w:type="dxa" w:w="213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序号36与51</w:t>
            </w:r>
          </w:p>
        </w:tc>
        <w:tc>
          <w:tcPr>
            <w:tcW w:type="dxa" w:w="3571"/>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相近争议叙述对应不同原标签</w:t>
            </w:r>
          </w:p>
        </w:tc>
        <w:tc>
          <w:tcPr>
            <w:tcW w:type="dxa" w:w="3658"/>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先检查是否审级、请求、期间或法律路径不同，再判断是否标错</w:t>
            </w:r>
          </w:p>
        </w:tc>
      </w:tr>
    </w:tbl>
    <w:p>
      <w:pPr>
        <w:spacing w:after="0" w:before="0" w:line="80" w:lineRule="exact"/>
      </w:pPr>
      <w:r>
        <w:rPr>
          <w:rFonts w:ascii="Garamond" w:hAnsi="Garamond" w:eastAsia="Noto Sans CJK SC" w:cs="Garamond"/>
          <w:b w:val="0"/>
          <w:color w:val="000000"/>
          <w:sz w:val="8"/>
          <w:u w:val="none"/>
          <w:lang w:val="en-US" w:eastAsia="zh-CN"/>
        </w:rPr>
      </w:r>
    </w:p>
    <w:p>
      <w:pPr>
        <w:pStyle w:val="Heading2"/>
        <w:keepNext/>
        <w:pageBreakBefore w:val="0"/>
      </w:pPr>
      <w:r>
        <w:rPr>
          <w:rFonts w:ascii="Garamond" w:hAnsi="Garamond" w:eastAsia="Noto Sans CJK SC" w:cs="Garamond"/>
          <w:b/>
          <w:color w:val="000000"/>
          <w:sz w:val="24"/>
          <w:u w:val="none"/>
          <w:lang w:val="en-US" w:eastAsia="zh-CN"/>
        </w:rPr>
        <w:t>5.2 标签判断时的五项检查</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1. 判决提到第79条，不等于依该条给予免责。先找到实际处理段落。</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2. 当事人胜诉，不等于其第79条主张成立。胜诉可能基于其他请求或程序理由。</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3. 法院因证据不足否定免责，可以是明确的否定标签；标注人员没有全文，只能是材料不足。</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4. 对通知迟延所生损失的处理，应与其他损害赔偿的免责分别记录。</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5. 某一期间免责或某一请求被支持，不代表全部期间和请求同样处理。</w:t>
      </w:r>
    </w:p>
    <w:p>
      <w:pPr>
        <w:pStyle w:val="Heading2"/>
        <w:keepNext/>
        <w:pageBreakBefore w:val="0"/>
      </w:pPr>
      <w:r>
        <w:rPr>
          <w:rFonts w:ascii="Garamond" w:hAnsi="Garamond" w:eastAsia="Noto Sans CJK SC" w:cs="Garamond"/>
          <w:b/>
          <w:color w:val="000000"/>
          <w:sz w:val="24"/>
          <w:u w:val="none"/>
          <w:lang w:val="en-US" w:eastAsia="zh-CN"/>
        </w:rPr>
        <w:t>5.3 事实输入与答案分离</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原案情作为资料保留；实验输入从可用材料另行整理。结果、法院推理、裁判主文、F列及复核标签进入评价侧。案名、文件标题、链接文字和摘要也可能暴露结果，需逐项检查。</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用于法律分析的必要事实可以来自判决，但须标明由研究者从裁判叙事中提取。不得为了删除答案而删除影响争点的事实。存在争议的事实仍保留争议身份，不改写成“既定事实”。</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原标签中多数类占55/65，约84.6%。这一数字只是按原标签全部猜“不免除”可获得的比例。评价须报告分组表现与混淆情况；完成去重、拆分和标签复核后重新计算，不能把此比例当成模型成果。</w:t>
      </w:r>
    </w:p>
    <w:p>
      <w:pPr>
        <w:pStyle w:val="Heading1"/>
        <w:keepNext/>
        <w:pageBreakBefore/>
      </w:pPr>
      <w:bookmarkStart w:id="106" w:name="sec_6"/>
      <w:r>
        <w:rPr>
          <w:rFonts w:ascii="Garamond" w:hAnsi="Garamond" w:eastAsia="Noto Sans CJK SC" w:cs="Garamond"/>
          <w:b/>
          <w:color w:val="000000"/>
          <w:sz w:val="24"/>
          <w:u w:val="single"/>
          <w:lang w:val="en-US" w:eastAsia="zh-CN"/>
        </w:rPr>
        <w:t>6 B组案件包与程序链标注</w:t>
      </w:r>
      <w:bookmarkEnd w:id="106"/>
    </w:p>
    <w:p>
      <w:pPr>
        <w:pStyle w:val="Heading2"/>
        <w:keepNext/>
        <w:pageBreakBefore w:val="0"/>
      </w:pPr>
      <w:r>
        <w:rPr>
          <w:rFonts w:ascii="Garamond" w:hAnsi="Garamond" w:eastAsia="Noto Sans CJK SC" w:cs="Garamond"/>
          <w:b/>
          <w:color w:val="000000"/>
          <w:sz w:val="24"/>
          <w:u w:val="none"/>
          <w:lang w:val="en-US" w:eastAsia="zh-CN"/>
        </w:rPr>
        <w:t>6.1 先确认研究范围</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每个候选案件登记执行或审查法域、中国关联、相关仲裁裁决和具体程序。中国关联分别记录当事人注册地、仲裁地、裁决来源或其他联系，并附依据；中文名称和交易涉及中国本身不足以证明某主体在中国内地注册。</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首期专题以材料能够支持双方争议及人工复核为准。香港、澳门、中国内地及其他司法辖区分别编码，不用“中国”一个值抹去制度差异。公约是否适用、是否存在其他执行机制须逐案确认。</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范围状态</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使用方式</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主研究样本候选</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涉中国关联且涉及仲裁裁决承认或执行，争点和材料与当前专题相符</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关联程序材料</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撤销仲裁裁决、上诉、执行程序中的中间命令等，可解释程序链，是否单独评价另定</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比较或边界材料</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程序终结、资料缺失等对方法有价值，但不与已处理公约抗辩的文书混为一类</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暂缓纳入</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身份、中国关联或关键文书待核。保留候选记录和补证任务</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排除本轮</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不符合本次任务，写明理由；可以保留为其他模块的资料</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目录第15项主体身份待核的状态应继续保留。目录第2项等含多个程序节点，应逐项登记。目录第22项的多份文书适合检查程序链拆分，不能将各阶段结果压成一项“承认或拒绝”。</w:t>
      </w:r>
    </w:p>
    <w:p>
      <w:pPr>
        <w:pStyle w:val="Heading2"/>
        <w:keepNext/>
        <w:pageBreakBefore w:val="0"/>
      </w:pPr>
      <w:r>
        <w:rPr>
          <w:rFonts w:ascii="Garamond" w:hAnsi="Garamond" w:eastAsia="Noto Sans CJK SC" w:cs="Garamond"/>
          <w:b/>
          <w:color w:val="000000"/>
          <w:sz w:val="24"/>
          <w:u w:val="none"/>
          <w:lang w:val="en-US" w:eastAsia="zh-CN"/>
        </w:rPr>
        <w:t>6.2 每份文书的身份卡</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字段组</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必填内容</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文书身份</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案名、案号或中立引注、法院、法域、裁判日期及精度、文书类型、来源编号</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关联实体</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案件簇、程序、相关仲裁裁决、上下级或前后文书、关联依据</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程序阶段</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初次申请、单方许可、撤销许可申请、异议、上诉、中间命令或其他；保留当地正式名称</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当事人与请求</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本阶段谁请求什么、谁反对；分别记录承认、执行、撤销许可、撤销裁决、延期等请求</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中国关联与地点</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关联类型和依据；仲裁地、执行地、机构所在地分别填写，缺失不得互相替代</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状态与效力</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本文书在本阶段的处理、后续是否维持或变更、核查截止时点；不知道后续则填UV</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当多个网站转载同一判决时，关联同一文书编号。若后续裁判转述一项早期命令，可创建“仅经转述确认”的程序节点，但来源仍指向后续裁判；不得生成虚假的独立原件或原文锚点。</w:t>
      </w:r>
    </w:p>
    <w:p>
      <w:pPr>
        <w:pStyle w:val="Heading2"/>
        <w:keepNext/>
        <w:pageBreakBefore w:val="0"/>
      </w:pPr>
      <w:r>
        <w:rPr>
          <w:rFonts w:ascii="Garamond" w:hAnsi="Garamond" w:eastAsia="Noto Sans CJK SC" w:cs="Garamond"/>
          <w:b/>
          <w:color w:val="000000"/>
          <w:sz w:val="24"/>
          <w:u w:val="none"/>
          <w:lang w:val="en-US" w:eastAsia="zh-CN"/>
        </w:rPr>
        <w:t>6.3 六栏案件包</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栏目</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内容与最低要求</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程序事实</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按时间列关键事件，标明谁实施、何时、在哪个程序、事实身份及来源</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双方实际主张</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记录本阶段实际提出的请求、抗辩及依据；由法院转述的注明转述，未披露的保留未知</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法院认定与理由</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分开事实认定、规则解释、适用理由、主文和未处理事项；说明对应请求</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相关法律依据</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记录法院真正援引的法源与条款；团队补充的公约分类或比较规则另列</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材料缺口</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列缺失、冲突、间接来源和不能判断的事项及其影响</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原文位置索引</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让前五栏每项关键内容通过编号定位到具体来源版本与原文片段</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这六栏是案件包的阅读结构，底层可用多张表保存。不要把所有内容写进一段无出处的案情摘要。法院判决中未公开的仲裁书状、通知附件和送达回证不应被模拟补齐。</w:t>
      </w:r>
    </w:p>
    <w:p>
      <w:pPr>
        <w:pStyle w:val="Heading2"/>
        <w:keepNext/>
        <w:pageBreakBefore w:val="0"/>
      </w:pPr>
      <w:r>
        <w:rPr>
          <w:rFonts w:ascii="Garamond" w:hAnsi="Garamond" w:eastAsia="Noto Sans CJK SC" w:cs="Garamond"/>
          <w:b/>
          <w:color w:val="000000"/>
          <w:sz w:val="24"/>
          <w:u w:val="none"/>
          <w:lang w:val="en-US" w:eastAsia="zh-CN"/>
        </w:rPr>
        <w:t>6.4 争点层级与法源记录</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先填法院实际处理的争点及本地条号，再由法学映射到研究分类。研究分类仅用于检索和比较，不表示法院实际援引了《纽约公约》该条。</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研究分类</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记录重点</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第V条第1款甲项</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行为能力、仲裁协议效力等分别记录；实际适用法及冲突规范按材料填写</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第V条第1款乙项</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仲裁员指定或程序通知、不能陈述意见等子争点；通知与实质机会分别提取</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第V条第1款丙项</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提交仲裁范围、超裁以及是否涉及可分部分</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第V条第1款丁项</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仲裁庭组成、仲裁程序及其依据，注意协议、机构规则与法律的关系</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第V条第1款戊项</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裁决约束力、被撤销或停止等事项，注明由谁、在何地、何程序作出</w:t>
            </w:r>
          </w:p>
        </w:tc>
      </w:tr>
      <w:tr>
        <w:trPr>
          <w:cantSplit/>
        </w:trPr>
        <w:tc>
          <w:tcPr>
            <w:tcW w:type="dxa" w:w="1901"/>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第V条第2款甲项和乙项</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可仲裁性与公共政策分开；记录法院具体解释，不以“重大问题”替代</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其他公约问题</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第III、IV、VI、VII条等按实际材料新增细项，不能塞入第V条</w:t>
            </w:r>
          </w:p>
        </w:tc>
      </w:tr>
      <w:tr>
        <w:trPr>
          <w:cantSplit/>
        </w:trPr>
        <w:tc>
          <w:tcPr>
            <w:tcW w:type="dxa" w:w="1901"/>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执行地本地程序及其他</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管辖、期限、送达法院文件、程序命令、费用等单独分类；没有合适类别时登记待定并提议增类</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每个争点记录提出者、主张、事实依据、实际援引规则、法院是否处理、处理结果、理由、研究映射及映射者。举证负担、审查标准、放弃或未及时异议等事项均需要具体来源，不能在各法域间直接套用。</w:t>
      </w:r>
    </w:p>
    <w:p>
      <w:pPr>
        <w:pStyle w:val="Heading2"/>
        <w:keepNext/>
        <w:pageBreakBefore w:val="0"/>
      </w:pPr>
      <w:r>
        <w:rPr>
          <w:rFonts w:ascii="Garamond" w:hAnsi="Garamond" w:eastAsia="Noto Sans CJK SC" w:cs="Garamond"/>
          <w:b/>
          <w:color w:val="000000"/>
          <w:sz w:val="24"/>
          <w:u w:val="none"/>
          <w:lang w:val="en-US" w:eastAsia="zh-CN"/>
        </w:rPr>
        <w:t>6.5 结果必须分层</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层次</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可填结果及约束</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具体请求结果</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支持、驳回、部分支持、未处理、延期或待决、撤回、无法判断；必须写明请求对象</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争点处理</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抗辩被采纳、抗辩被否定、未处理、无法判断；法院处理程度与理由分别记录</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程序处置</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继续、终结、程序性驳回、发回、许可被撤销等，保留原文术语和原因</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承认结果</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承认、拒绝承认、部分、未处理、无法判断；仅在文书实际涉及该结果时赋值</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执行结果</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准许执行、拒绝执行、部分、未处理、无法判断；不直接由承认结果复制</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后续关系</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维持、变更、撤销、发回或待核；保留本份文书原有判断，不被最新结果覆盖</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撤销承认执行许可”与“撤销仲裁裁决”作用于不同对象。“因不遵守执行地法院程序命令而终结某申请”也不当然说明公约第V条抗辩成立。法院最终处理了一个请求，而未讨论另一争点时，后者标“未处理”。</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实际执行到款、财产控制和法律上的准许执行是不同事项。文书仅准许执行，不能据此标记债权已经实现；如果当前研究不涉及到款情况，该扩展字段可记NA。</w:t>
      </w:r>
    </w:p>
    <w:p>
      <w:pPr>
        <w:pStyle w:val="Heading1"/>
        <w:keepNext/>
        <w:pageBreakBefore w:val="0"/>
      </w:pPr>
      <w:bookmarkStart w:id="107" w:name="sec_7"/>
      <w:r>
        <w:rPr>
          <w:rFonts w:ascii="Garamond" w:hAnsi="Garamond" w:eastAsia="Noto Sans CJK SC" w:cs="Garamond"/>
          <w:b/>
          <w:color w:val="000000"/>
          <w:sz w:val="24"/>
          <w:u w:val="single"/>
          <w:lang w:val="en-US" w:eastAsia="zh-CN"/>
        </w:rPr>
        <w:t>7 通知与陈述机会专题</w:t>
      </w:r>
      <w:bookmarkEnd w:id="107"/>
    </w:p>
    <w:p>
      <w:pPr>
        <w:pStyle w:val="Heading2"/>
        <w:keepNext/>
        <w:pageBreakBefore w:val="0"/>
      </w:pPr>
      <w:r>
        <w:rPr>
          <w:rFonts w:ascii="Garamond" w:hAnsi="Garamond" w:eastAsia="Noto Sans CJK SC" w:cs="Garamond"/>
          <w:b/>
          <w:color w:val="000000"/>
          <w:sz w:val="24"/>
          <w:u w:val="none"/>
          <w:lang w:val="en-US" w:eastAsia="zh-CN"/>
        </w:rPr>
        <w:t>7.1 建立逐事件时间线</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同一案件中的仲裁通知、听证安排、仲裁裁决发送和执行法院程序文件分别记录。一行对应一次通知或一次关键程序行为。没有原件而仅有裁判转述时，在来源类型中明示。</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字段组</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提取内容</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事件身份</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所属程序、通知或文件名称、发出者、预定接收者及其当时身份</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地址与渠道</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合同约定地址、登记地址、实际使用地址、电子邮箱或其他渠道；各地址来源及变更信息</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时间与到达</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发送时间、尝试送达、退回、签收或接收时间；实际到达与依法视为送达分别记录</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语言与内容</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使用语言、所告知事项、能否识别程序与应对要求；译文情况按材料填写</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应对机会</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可用期限、参加或提交材料的机会、延期请求及处理、实际采取的行动</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异议与认知</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是否提出异议、何时得知程序、相关证据；实际知悉与法律上的推定分别记录</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规范与裁判评价</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协议、机构规则、法律与法院解释各自的作用；裁判如何连接事实与“适当通知”等评价</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“发送成功”“有人签收”“曾经出庭”都是具体事实，不能单独自动决定通知适当或充分陈述机会已获保障。判断需要结合通知对象、时间、规则、具体程序与法院理由。</w:t>
      </w:r>
    </w:p>
    <w:p>
      <w:pPr>
        <w:pStyle w:val="Heading2"/>
        <w:keepNext/>
        <w:pageBreakBefore w:val="0"/>
      </w:pPr>
      <w:r>
        <w:rPr>
          <w:rFonts w:ascii="Garamond" w:hAnsi="Garamond" w:eastAsia="Noto Sans CJK SC" w:cs="Garamond"/>
          <w:b/>
          <w:color w:val="000000"/>
          <w:sz w:val="24"/>
          <w:u w:val="none"/>
          <w:lang w:val="en-US" w:eastAsia="zh-CN"/>
        </w:rPr>
        <w:t>7.2 双方论证如何整理</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围绕同一争点，分别记录支持承认执行与反对承认执行的论证。申请方可能依赖约定渠道、实际知悉或已有应对机会；反对方可能指出通知对象、到达、期限或特定回应机会存在问题。只有材料实际支持时才能填写，不把这些提示当作每案已有事实。</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对方观点未公开时，“双方实际主张”保留NR。研究团队可以另写有依据的重构论证，标为“研究者重构”，引用现有事实与规范，并列出其所依赖的假设或缺口。不要求为凑齐双方而创造历史陈述。</w:t>
      </w:r>
    </w:p>
    <w:p>
      <w:pPr>
        <w:pStyle w:val="Heading2"/>
        <w:keepNext/>
        <w:pageBreakBefore w:val="0"/>
      </w:pPr>
      <w:r>
        <w:rPr>
          <w:rFonts w:ascii="Garamond" w:hAnsi="Garamond" w:eastAsia="Noto Sans CJK SC" w:cs="Garamond"/>
          <w:b/>
          <w:color w:val="000000"/>
          <w:sz w:val="24"/>
          <w:u w:val="none"/>
          <w:lang w:val="en-US" w:eastAsia="zh-CN"/>
        </w:rPr>
        <w:t>7.3 区分历史缺陷与实验变化</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历史程序是否提供适当机会，由真实材料和适用规则支持。模拟过程中增加一轮反驳，只是本次实验的互动安排，不能证明历史程序中的缺陷已被补救。</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自然缺失是案件材料原本未取得；实验遮蔽是从已核验母包中有意移除某项材料。两者分开标记。遮蔽时列明删除位置、各角色剩余材料及预期应转为未知的问题，不预设模型必须转向某个胜负结论。</w:t>
      </w:r>
    </w:p>
    <w:p>
      <w:pPr>
        <w:pStyle w:val="Heading1"/>
        <w:keepNext/>
        <w:pageBreakBefore w:val="0"/>
      </w:pPr>
      <w:bookmarkStart w:id="108" w:name="sec_8"/>
      <w:r>
        <w:rPr>
          <w:rFonts w:ascii="Garamond" w:hAnsi="Garamond" w:eastAsia="Noto Sans CJK SC" w:cs="Garamond"/>
          <w:b/>
          <w:color w:val="000000"/>
          <w:sz w:val="24"/>
          <w:u w:val="single"/>
          <w:lang w:val="en-US" w:eastAsia="zh-CN"/>
        </w:rPr>
        <w:t>8 法学规则卡</w:t>
      </w:r>
      <w:bookmarkEnd w:id="108"/>
    </w:p>
    <w:p>
      <w:pPr>
        <w:pStyle w:val="Heading2"/>
        <w:keepNext/>
        <w:pageBreakBefore w:val="0"/>
      </w:pPr>
      <w:r>
        <w:rPr>
          <w:rFonts w:ascii="Garamond" w:hAnsi="Garamond" w:eastAsia="Noto Sans CJK SC" w:cs="Garamond"/>
          <w:b/>
          <w:color w:val="000000"/>
          <w:sz w:val="24"/>
          <w:u w:val="none"/>
          <w:lang w:val="en-US" w:eastAsia="zh-CN"/>
        </w:rPr>
        <w:t>8.1 一张卡只表达一个可辨识规则问题</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规则卡连接法源、适用条件和论证边界。过长条文可以拆卡，互相引用；多个法域对同一问题采用不同解释时分别建卡，再填写比较说明，不合成无来源的统一规则。</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字段</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填写要求</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名称与身份</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规则编号、简明名称；公约、制定法、判例解释、机构规则、协议或研究概括</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来源与版本</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正式名称、条款、公布机关或裁判、适用版本与时间、原文位置；不能确认的标UV</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使用情境</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法域、程序阶段、适用对象；区分执行地法、仲裁地法、公约解释、实际涉及的外国法</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规则内容</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保留原文与团队解释两栏；说明核心条件、例外、法律后果和相关规则</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事实需求</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判断该规则需要哪些事实与证据；哪些材料欠缺时不能得出确定结论</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主张与证明</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如资料支持，写谁提出、提供什么、法院采用何种标准；争议或法域差异另记</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解释空间</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已存在的解释分歧、可接受路径和不能由该规则推出的结论</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计算机使用边界</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可做形式检查的事项；需要法律判断的事项；禁止的简化推断</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复核</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整理人、复核人、日期、适用的指南版本及待解决问题</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外国裁判作为比较材料时，不得标成执行地的当然约束性规则。公约条文、执行地实施法和外国法查明各有不同角色。是否存在明确适用关系，应由法学填写证据与判断，技术只保存该关系。</w:t>
      </w:r>
    </w:p>
    <w:p>
      <w:pPr>
        <w:pStyle w:val="Heading2"/>
        <w:keepNext/>
        <w:pageBreakBefore w:val="0"/>
      </w:pPr>
      <w:r>
        <w:rPr>
          <w:rFonts w:ascii="Garamond" w:hAnsi="Garamond" w:eastAsia="Noto Sans CJK SC" w:cs="Garamond"/>
          <w:b/>
          <w:color w:val="000000"/>
          <w:sz w:val="24"/>
          <w:u w:val="none"/>
          <w:lang w:val="en-US" w:eastAsia="zh-CN"/>
        </w:rPr>
        <w:t>8.2 写给技术的边界说明</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可以写“该材料中是否存在发送记录可以检查”，但不能直接写成“有发送记录则通知有效”。应补充评价所需条件、反例与不确定情况。对于开放性概念，技术应提示或组织论证，避免强行转换为没有法律依据的布尔规则。</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规则变更后记录影响哪些案件、争点和实验。法律规则的版本、研究者解释的版本与仿真协议的版本分别维护，不以更新某一张卡静默改变既有运行的依据。</w:t>
      </w:r>
    </w:p>
    <w:p>
      <w:pPr>
        <w:pStyle w:val="Heading1"/>
        <w:keepNext/>
        <w:pageBreakBefore w:val="0"/>
      </w:pPr>
      <w:bookmarkStart w:id="109" w:name="sec_9"/>
      <w:r>
        <w:rPr>
          <w:rFonts w:ascii="Garamond" w:hAnsi="Garamond" w:eastAsia="Noto Sans CJK SC" w:cs="Garamond"/>
          <w:b/>
          <w:color w:val="000000"/>
          <w:sz w:val="24"/>
          <w:u w:val="single"/>
          <w:lang w:val="en-US" w:eastAsia="zh-CN"/>
        </w:rPr>
        <w:t>9 双方论证与反驳的标注</w:t>
      </w:r>
      <w:bookmarkEnd w:id="109"/>
    </w:p>
    <w:p>
      <w:pPr>
        <w:pStyle w:val="Heading2"/>
        <w:keepNext/>
        <w:pageBreakBefore w:val="0"/>
      </w:pPr>
      <w:r>
        <w:rPr>
          <w:rFonts w:ascii="Garamond" w:hAnsi="Garamond" w:eastAsia="Noto Sans CJK SC" w:cs="Garamond"/>
          <w:b/>
          <w:color w:val="000000"/>
          <w:sz w:val="24"/>
          <w:u w:val="none"/>
          <w:lang w:val="en-US" w:eastAsia="zh-CN"/>
        </w:rPr>
        <w:t>9.1 每条论证的结构</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字段</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具体要求</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论证身份</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所属案件、文书、争点、提出主体与阶段；历史主张、研究重构或模型输出</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主张</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一句话表达希望成立的法律命题及其作用，不只写“同意”或“反对”</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事实依据</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引用事实编号和原文位置，标明是已认定、主张中还是未知</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规范依据</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引用规则卡及条文或裁判位置，说明该法源在本案的角色</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解释与适用</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说明上述事实如何满足或不满足规则条件，以及推论的限制</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反驳目标</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指向对方哪条论证、哪个事实前提或规则解释；没有具体目标时说明</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回应与动作</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维持、补充、修正、撤回、承认材料不足；记录改变内容及触发依据</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评价参照</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法院实际处理、可接受的其他路径、重大错误及尚无法判断的部分</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要求提供可供核对的法律理由，包括前提、依据和适用关系；不要求记录模型不可见的内部思维过程。引用原文也不能替代对事实与规则如何关联的解释。</w:t>
      </w:r>
    </w:p>
    <w:p>
      <w:pPr>
        <w:pStyle w:val="Heading2"/>
        <w:keepNext/>
        <w:pageBreakBefore w:val="0"/>
      </w:pPr>
      <w:r>
        <w:rPr>
          <w:rFonts w:ascii="Garamond" w:hAnsi="Garamond" w:eastAsia="Noto Sans CJK SC" w:cs="Garamond"/>
          <w:b/>
          <w:color w:val="000000"/>
          <w:sz w:val="24"/>
          <w:u w:val="none"/>
          <w:lang w:val="en-US" w:eastAsia="zh-CN"/>
        </w:rPr>
        <w:t>9.2 论证可以怎样变化</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“补充”增加新的支持内容而不改变核心主张；“修正”改变范围、前提或结论；“撤回”停止主张某命题；“承认材料不足”限定当前能够判断的范围。动作必须针对已有论证，保留前后文本和原因。</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有效反驳可以揭示事实身份误认、来源不支持、规则适用范围错误、必要条件欠缺或对方没有回应的关键点。仅换一种措辞、重复立场或增加无关引文，不计作新的有效反驳。</w:t>
      </w:r>
    </w:p>
    <w:p>
      <w:pPr>
        <w:pStyle w:val="Heading2"/>
        <w:keepNext/>
        <w:pageBreakBefore w:val="0"/>
      </w:pPr>
      <w:r>
        <w:rPr>
          <w:rFonts w:ascii="Garamond" w:hAnsi="Garamond" w:eastAsia="Noto Sans CJK SC" w:cs="Garamond"/>
          <w:b/>
          <w:color w:val="000000"/>
          <w:sz w:val="24"/>
          <w:u w:val="none"/>
          <w:lang w:val="en-US" w:eastAsia="zh-CN"/>
        </w:rPr>
        <w:t>9.3 评价参照允许不同路径</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每个核心争点至少列出：法院采用的路径、材料允许的其他路径及其条件、明确不被支持的路径、应当保留的未知。不是每个案件都必须有同等有力的两方论证；没有依据的主张可以合理撤回。</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“与实际裁判结论一致”单独作为比较项，不作为六维质量的替代。研究者认为法院路径有争议时，保留法院原判断，并另写有出处的评价，不能用研究立场改写历史标签。</w:t>
      </w:r>
    </w:p>
    <w:p>
      <w:pPr>
        <w:pStyle w:val="Heading1"/>
        <w:keepNext/>
        <w:pageBreakBefore w:val="0"/>
      </w:pPr>
      <w:bookmarkStart w:id="110" w:name="sec_10"/>
      <w:r>
        <w:rPr>
          <w:rFonts w:ascii="Garamond" w:hAnsi="Garamond" w:eastAsia="Noto Sans CJK SC" w:cs="Garamond"/>
          <w:b/>
          <w:color w:val="000000"/>
          <w:sz w:val="24"/>
          <w:u w:val="single"/>
          <w:lang w:val="en-US" w:eastAsia="zh-CN"/>
        </w:rPr>
        <w:t>10 为模拟实验标注材料可见性</w:t>
      </w:r>
      <w:bookmarkEnd w:id="110"/>
    </w:p>
    <w:p>
      <w:pPr>
        <w:pStyle w:val="Heading2"/>
        <w:keepNext/>
        <w:pageBreakBefore w:val="0"/>
      </w:pPr>
      <w:r>
        <w:rPr>
          <w:rFonts w:ascii="Garamond" w:hAnsi="Garamond" w:eastAsia="Noto Sans CJK SC" w:cs="Garamond"/>
          <w:b/>
          <w:color w:val="000000"/>
          <w:sz w:val="24"/>
          <w:u w:val="none"/>
          <w:lang w:val="en-US" w:eastAsia="zh-CN"/>
        </w:rPr>
        <w:t>10.1 每项材料标明谁能在何时看到</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可见性按材料或片段设置，记录角色、开放阶段、条件编号及理由。技术负责执行权限；法学负责判断可见内容是否影响研究问题。现有工作台是否已实现这些控制，应以技术验收为准。</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800"/>
        <w:gridCol w:w="4032"/>
        <w:gridCol w:w="3528"/>
      </w:tblGrid>
      <w:tr>
        <w:trPr>
          <w:cantSplit/>
          <w:tblHeader/>
        </w:trPr>
        <w:tc>
          <w:tcPr>
            <w:tcW w:type="dxa" w:w="1800"/>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角色</w:t>
            </w:r>
          </w:p>
        </w:tc>
        <w:tc>
          <w:tcPr>
            <w:tcW w:type="dxa" w:w="4032"/>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一般可见内容</w:t>
            </w:r>
          </w:p>
        </w:tc>
        <w:tc>
          <w:tcPr>
            <w:tcW w:type="dxa" w:w="3528"/>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默认不直接提供的内容</w:t>
            </w:r>
          </w:p>
        </w:tc>
      </w:tr>
      <w:tr>
        <w:trPr>
          <w:cantSplit/>
        </w:trPr>
        <w:tc>
          <w:tcPr>
            <w:tcW w:type="dxa" w:w="1800"/>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申请方与反对方</w:t>
            </w:r>
          </w:p>
        </w:tc>
        <w:tc>
          <w:tcPr>
            <w:tcW w:type="dxa" w:w="403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协议确定的事实、证据、规范材料及已公开的对方论证</w:t>
            </w:r>
          </w:p>
        </w:tc>
        <w:tc>
          <w:tcPr>
            <w:tcW w:type="dxa" w:w="3528"/>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本案隐藏的裁判结果、评价标签、参考论证答案；不属于本角色视图的片段</w:t>
            </w:r>
          </w:p>
        </w:tc>
      </w:tr>
      <w:tr>
        <w:trPr>
          <w:cantSplit/>
        </w:trPr>
        <w:tc>
          <w:tcPr>
            <w:tcW w:type="dxa" w:w="1800"/>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程序主持</w:t>
            </w:r>
          </w:p>
        </w:tc>
        <w:tc>
          <w:tcPr>
            <w:tcW w:type="dxa" w:w="4032"/>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当前阶段允许公开的材料、双方已提交论证、程序规则</w:t>
            </w:r>
          </w:p>
        </w:tc>
        <w:tc>
          <w:tcPr>
            <w:tcW w:type="dxa" w:w="3528"/>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不能通过主持提示泄漏隐藏结果或未开放材料</w:t>
            </w:r>
          </w:p>
        </w:tc>
      </w:tr>
      <w:tr>
        <w:trPr>
          <w:cantSplit/>
        </w:trPr>
        <w:tc>
          <w:tcPr>
            <w:tcW w:type="dxa" w:w="1800"/>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来源核验</w:t>
            </w:r>
          </w:p>
        </w:tc>
        <w:tc>
          <w:tcPr>
            <w:tcW w:type="dxa" w:w="403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被引用且在该条件下允许核验的来源片段、身份与版本记录</w:t>
            </w:r>
          </w:p>
        </w:tc>
        <w:tc>
          <w:tcPr>
            <w:tcW w:type="dxa" w:w="3528"/>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不自动获得答案库；扩大检索范围必须作为明确实验条件</w:t>
            </w:r>
          </w:p>
        </w:tc>
      </w:tr>
      <w:tr>
        <w:trPr>
          <w:cantSplit/>
        </w:trPr>
        <w:tc>
          <w:tcPr>
            <w:tcW w:type="dxa" w:w="1800"/>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评价人员</w:t>
            </w:r>
          </w:p>
        </w:tc>
        <w:tc>
          <w:tcPr>
            <w:tcW w:type="dxa" w:w="4032"/>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完整评价包、可见性清单、运行日志及参考路径</w:t>
            </w:r>
          </w:p>
        </w:tc>
        <w:tc>
          <w:tcPr>
            <w:tcW w:type="dxa" w:w="3528"/>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评价前避免看到会诱导打分的系统排名或预期优胜条件</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主持和来源核验是独立职责，不能用同一段“法官总结”混在一起。是否由同一程序组件执行由技术决定，但权限、输出和日志必须可区分。</w:t>
      </w:r>
    </w:p>
    <w:p>
      <w:pPr>
        <w:pStyle w:val="Heading2"/>
        <w:keepNext/>
        <w:pageBreakBefore w:val="0"/>
      </w:pPr>
      <w:r>
        <w:rPr>
          <w:rFonts w:ascii="Garamond" w:hAnsi="Garamond" w:eastAsia="Noto Sans CJK SC" w:cs="Garamond"/>
          <w:b/>
          <w:color w:val="000000"/>
          <w:sz w:val="24"/>
          <w:u w:val="none"/>
          <w:lang w:val="en-US" w:eastAsia="zh-CN"/>
        </w:rPr>
        <w:t>10.2 每次实验须有一张配置说明</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法学与技术共同填写：研究问题、任务截止时点、母包版本、角色职责、可见材料、交互顺序、轮次或预算上限、允许动作、停止条件、是否允许外部检索、对照条件和评价方式。</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真实程序参照与研究设计分开记录。某流程参考哪份法律或程序材料要给出处；为便于对照而统一的发言顺序、轮次数或提示词写明“研究设计”，不表述为各法域共同的真实规则。</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可采用的停止情形包括达到预设轮次或预算、双方已对当前核心争点完成回应且无新材料、材料缺口导致无法继续、技术故障。记录实际触发原因；技术故障不转换为法律结论或论证质量零分。</w:t>
      </w:r>
    </w:p>
    <w:p>
      <w:pPr>
        <w:pStyle w:val="Heading2"/>
        <w:keepNext/>
        <w:pageBreakBefore w:val="0"/>
      </w:pPr>
      <w:r>
        <w:rPr>
          <w:rFonts w:ascii="Garamond" w:hAnsi="Garamond" w:eastAsia="Noto Sans CJK SC" w:cs="Garamond"/>
          <w:b/>
          <w:color w:val="000000"/>
          <w:sz w:val="24"/>
          <w:u w:val="none"/>
          <w:lang w:val="en-US" w:eastAsia="zh-CN"/>
        </w:rPr>
        <w:t>10.3 条件变化与信息泄漏检查</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比较单次分析、增加反方回应或加入来源核验时，应预先写清比较的是整体流程还是在相近资源预算下的效果；记录模型、参数、可用材料、检索范围和资源差异。不能把更多材料或更多预算的作用一并归因为“互动更好”。</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法学标记需要隐藏的答案、法院结论、评价解释及带结论的片段；技术同时检查检索库、缓存、文件名、链接标题、摘要、对话历史与角色提示。对被遮蔽材料的引用不得通过核验反馈重新泄漏。</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人工增加材料、纠正事实、调整规则或改变视图后，形成新材料或协议版本并开启新运行，关联前次运行。旧输出继续保留。模型可能已从预训练记忆中了解名案这一风险只能记录和控制，不能仅凭隐藏F列就声称完全消除。</w:t>
      </w:r>
    </w:p>
    <w:p>
      <w:pPr>
        <w:pStyle w:val="Heading1"/>
        <w:keepNext/>
        <w:pageBreakBefore w:val="0"/>
      </w:pPr>
      <w:bookmarkStart w:id="111" w:name="sec_11"/>
      <w:r>
        <w:rPr>
          <w:rFonts w:ascii="Garamond" w:hAnsi="Garamond" w:eastAsia="Noto Sans CJK SC" w:cs="Garamond"/>
          <w:b/>
          <w:color w:val="000000"/>
          <w:sz w:val="24"/>
          <w:u w:val="single"/>
          <w:lang w:val="en-US" w:eastAsia="zh-CN"/>
        </w:rPr>
        <w:t>11 论证评价与错误标注</w:t>
      </w:r>
      <w:bookmarkEnd w:id="111"/>
    </w:p>
    <w:p>
      <w:pPr>
        <w:pStyle w:val="Heading2"/>
        <w:keepNext/>
        <w:pageBreakBefore w:val="0"/>
      </w:pPr>
      <w:r>
        <w:rPr>
          <w:rFonts w:ascii="Garamond" w:hAnsi="Garamond" w:eastAsia="Noto Sans CJK SC" w:cs="Garamond"/>
          <w:b/>
          <w:color w:val="000000"/>
          <w:sz w:val="24"/>
          <w:u w:val="none"/>
          <w:lang w:val="en-US" w:eastAsia="zh-CN"/>
        </w:rPr>
        <w:t>11.1 六个维度分别评分</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统一使用0至3分：0为关键错误或应做而未做；1为有相关内容但存在实质缺陷；2为主要部分成立且局限明确；3为充分、准确并妥善处理重要限制。每项评分必须写理由和运行片段编号，不按篇幅、语气或关键词数量打分。</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368"/>
        <w:gridCol w:w="4147"/>
        <w:gridCol w:w="3845"/>
      </w:tblGrid>
      <w:tr>
        <w:trPr>
          <w:cantSplit/>
          <w:tblHeader/>
        </w:trPr>
        <w:tc>
          <w:tcPr>
            <w:tcW w:type="dxa" w:w="1368"/>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维度</w:t>
            </w:r>
          </w:p>
        </w:tc>
        <w:tc>
          <w:tcPr>
            <w:tcW w:type="dxa" w:w="4147"/>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2至3分应具备的表现</w:t>
            </w:r>
          </w:p>
        </w:tc>
        <w:tc>
          <w:tcPr>
            <w:tcW w:type="dxa" w:w="3845"/>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0至1分的典型问题</w:t>
            </w:r>
          </w:p>
        </w:tc>
      </w:tr>
      <w:tr>
        <w:trPr>
          <w:cantSplit/>
        </w:trPr>
        <w:tc>
          <w:tcPr>
            <w:tcW w:type="dxa" w:w="1368"/>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争点识别</w:t>
            </w:r>
          </w:p>
        </w:tc>
        <w:tc>
          <w:tcPr>
            <w:tcW w:type="dxa" w:w="4147"/>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找到与请求及程序阶段有关的核心争点，区分已处理与未处理</w:t>
            </w:r>
          </w:p>
        </w:tc>
        <w:tc>
          <w:tcPr>
            <w:tcW w:type="dxa" w:w="3845"/>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混淆撤销裁决与撤销执行许可；遗漏决定性争点</w:t>
            </w:r>
          </w:p>
        </w:tc>
      </w:tr>
      <w:tr>
        <w:trPr>
          <w:cantSplit/>
        </w:trPr>
        <w:tc>
          <w:tcPr>
            <w:tcW w:type="dxa" w:w="1368"/>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事实支持</w:t>
            </w:r>
          </w:p>
        </w:tc>
        <w:tc>
          <w:tcPr>
            <w:tcW w:type="dxa" w:w="4147"/>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关键事实可追查，区分主张、认定及争议，引用支持相应命题</w:t>
            </w:r>
          </w:p>
        </w:tc>
        <w:tc>
          <w:tcPr>
            <w:tcW w:type="dxa" w:w="3845"/>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编造事实；将一方说法当作既定事实；依据与命题不对应</w:t>
            </w:r>
          </w:p>
        </w:tc>
      </w:tr>
      <w:tr>
        <w:trPr>
          <w:cantSplit/>
        </w:trPr>
        <w:tc>
          <w:tcPr>
            <w:tcW w:type="dxa" w:w="1368"/>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规范适用</w:t>
            </w:r>
          </w:p>
        </w:tc>
        <w:tc>
          <w:tcPr>
            <w:tcW w:type="dxa" w:w="4147"/>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法源、版本、法域与程序适配，说明条件和法律后果</w:t>
            </w:r>
          </w:p>
        </w:tc>
        <w:tc>
          <w:tcPr>
            <w:tcW w:type="dxa" w:w="3845"/>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套错制度；把研究映射写成法院原引；省略必要条件</w:t>
            </w:r>
          </w:p>
        </w:tc>
      </w:tr>
      <w:tr>
        <w:trPr>
          <w:cantSplit/>
        </w:trPr>
        <w:tc>
          <w:tcPr>
            <w:tcW w:type="dxa" w:w="1368"/>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反驳回应</w:t>
            </w:r>
          </w:p>
        </w:tc>
        <w:tc>
          <w:tcPr>
            <w:tcW w:type="dxa" w:w="4147"/>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回应对方具体问题，有理由地维持、调整或承认不足</w:t>
            </w:r>
          </w:p>
        </w:tc>
        <w:tc>
          <w:tcPr>
            <w:tcW w:type="dxa" w:w="3845"/>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重复立场；回避决定性反驳；无依据地让步</w:t>
            </w:r>
          </w:p>
        </w:tc>
      </w:tr>
      <w:tr>
        <w:trPr>
          <w:cantSplit/>
        </w:trPr>
        <w:tc>
          <w:tcPr>
            <w:tcW w:type="dxa" w:w="1368"/>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引用准确</w:t>
            </w:r>
          </w:p>
        </w:tc>
        <w:tc>
          <w:tcPr>
            <w:tcW w:type="dxa" w:w="4147"/>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来源真实、位置可定位、原文支持主张，转述和翻译标识清楚</w:t>
            </w:r>
          </w:p>
        </w:tc>
        <w:tc>
          <w:tcPr>
            <w:tcW w:type="dxa" w:w="3845"/>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假引文、错案错段、断章取义或无来源的权威声称</w:t>
            </w:r>
          </w:p>
        </w:tc>
      </w:tr>
      <w:tr>
        <w:trPr>
          <w:cantSplit/>
        </w:trPr>
        <w:tc>
          <w:tcPr>
            <w:tcW w:type="dxa" w:w="1368"/>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未知处理</w:t>
            </w:r>
          </w:p>
        </w:tc>
        <w:tc>
          <w:tcPr>
            <w:tcW w:type="dxa" w:w="4147"/>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识别材料限制，结论强度与可见证据相称，说明补证需求</w:t>
            </w:r>
          </w:p>
        </w:tc>
        <w:tc>
          <w:tcPr>
            <w:tcW w:type="dxa" w:w="3845"/>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把未知当否定或确定事实；对有充分材料的事项无理由回避</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2分与3分的区别在于：是否覆盖了本任务的重要限制、反例和必要回应，而非回答更长。1分与0分的区别在于：局部问题能否修复而不改变核心判断；核心事实或法源错误影响结论时，应按严重程度标记。</w:t>
      </w:r>
    </w:p>
    <w:p>
      <w:pPr>
        <w:pStyle w:val="Heading2"/>
        <w:keepNext/>
        <w:pageBreakBefore w:val="0"/>
      </w:pPr>
      <w:r>
        <w:rPr>
          <w:rFonts w:ascii="Garamond" w:hAnsi="Garamond" w:eastAsia="Noto Sans CJK SC" w:cs="Garamond"/>
          <w:b/>
          <w:color w:val="000000"/>
          <w:sz w:val="24"/>
          <w:u w:val="none"/>
          <w:lang w:val="en-US" w:eastAsia="zh-CN"/>
        </w:rPr>
        <w:t>11.2 适用范围与重大错误</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某条件不提供反驳环节时，该次输出的“反驳回应”维度标NA并说明，不机械记0；如果另有离线反驳任务，则按该任务评分。不同条件比较时报告可比维度及分母，不能混用不同维度数量的总分。</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重大错误单独打标：关键事实伪造；伪造或关键错配引用；决定性的程序类型误认；明显不适用的法源被作为核心依据；将关键未知写成确定；通过隐藏答案替代可见材料论证。记录错误类型、证据、影响维度和是否影响核心结论。</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只要存在影响核心判断的重大错误，该输出不得被判为“高质量”，即使最后结果与裁判相同。各维度原分仍保留，避免一个总分掩盖错误。合格阈值和权重在试评后、正式评测前冻结，不根据某系统得分反向调整。</w:t>
      </w:r>
    </w:p>
    <w:p>
      <w:pPr>
        <w:pStyle w:val="Heading2"/>
        <w:keepNext/>
        <w:pageBreakBefore w:val="0"/>
      </w:pPr>
      <w:r>
        <w:rPr>
          <w:rFonts w:ascii="Garamond" w:hAnsi="Garamond" w:eastAsia="Noto Sans CJK SC" w:cs="Garamond"/>
          <w:b/>
          <w:color w:val="000000"/>
          <w:sz w:val="24"/>
          <w:u w:val="none"/>
          <w:lang w:val="en-US" w:eastAsia="zh-CN"/>
        </w:rPr>
        <w:t>11.3 按角色当时可见材料评价</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完整历史答案与在某实验条件下合理可得的判断分开保存。被遮蔽材料恰是关键依据时，合理限定结论或指出无法判断可能是高质量表现；不能因与完整材料下的裁判结论不同而直接扣分。</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评价人员同时记录遗漏、失败、分歧、无法判断和技术异常。跨法域法律结论引用真实裁判与可靠法源；实验指标只说明系统在设定条件下的论证表现，不能单独证明某法域真实法院会怎样裁判。</w:t>
      </w:r>
    </w:p>
    <w:p>
      <w:pPr>
        <w:pStyle w:val="Heading1"/>
        <w:keepNext/>
        <w:pageBreakBefore w:val="0"/>
      </w:pPr>
      <w:bookmarkStart w:id="112" w:name="sec_12"/>
      <w:r>
        <w:rPr>
          <w:rFonts w:ascii="Garamond" w:hAnsi="Garamond" w:eastAsia="Noto Sans CJK SC" w:cs="Garamond"/>
          <w:b/>
          <w:color w:val="000000"/>
          <w:sz w:val="24"/>
          <w:u w:val="single"/>
          <w:lang w:val="en-US" w:eastAsia="zh-CN"/>
        </w:rPr>
        <w:t>12 标注复核和验收</w:t>
      </w:r>
      <w:bookmarkEnd w:id="112"/>
    </w:p>
    <w:p>
      <w:pPr>
        <w:pStyle w:val="Heading2"/>
        <w:keepNext/>
        <w:pageBreakBefore w:val="0"/>
      </w:pPr>
      <w:r>
        <w:rPr>
          <w:rFonts w:ascii="Garamond" w:hAnsi="Garamond" w:eastAsia="Noto Sans CJK SC" w:cs="Garamond"/>
          <w:b/>
          <w:color w:val="000000"/>
          <w:sz w:val="24"/>
          <w:u w:val="none"/>
          <w:lang w:val="en-US" w:eastAsia="zh-CN"/>
        </w:rPr>
        <w:t>12.1 角色分工</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角色</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负责事项</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初标人员</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阅读材料、登记身份、提取原文、填写本组字段、报告缺口与疑问</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独立复核人员</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独立核读关键来源后判断身份、标签、规则和锚点；保留与初标的差异</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法学裁决负责人</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处理实质分歧，说明理由与依据；决定规则解释、样本范围和正式评价口径</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技术人员</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生成与校验编号、保留原值、导入和回链、实施视图与版本控制；不代填法律结论</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初标与独立复核由不同人员完成。争议不能通过简单多数或复制初标来消除。人员不足以独立复核时，可以形成开发样板，但状态不能写成已完成独立复核。</w:t>
      </w:r>
    </w:p>
    <w:p>
      <w:pPr>
        <w:pStyle w:val="Heading2"/>
        <w:keepNext/>
        <w:pageBreakBefore w:val="0"/>
      </w:pPr>
      <w:r>
        <w:rPr>
          <w:rFonts w:ascii="Garamond" w:hAnsi="Garamond" w:eastAsia="Noto Sans CJK SC" w:cs="Garamond"/>
          <w:b/>
          <w:color w:val="000000"/>
          <w:sz w:val="24"/>
          <w:u w:val="none"/>
          <w:lang w:val="en-US" w:eastAsia="zh-CN"/>
        </w:rPr>
        <w:t>12.2 首轮校准</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建议先试标3条CISG记录和3份承认执行文书，尽量覆盖明确处理、范围或程序边界、材料不足等不同情况。选不到某类时如实记录，不为凑配额补造案例。先校准少量关键字段，再展开全文细标。</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两名成员先独立作答再对照，记录分歧发生在哪个字段、为何不同、最终如何处理。汇总身份、结果、争点分类和来源定位的一致情况；小样本只用于改进指南，不据此宣称稳定的统计可靠性。</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规则或标签定义调整后，形成指南新版本并复查受影响的已标记录。正式实验前冻结材料、指南和评价口径；后续更正按新版本追踪，不覆盖已经完成的实验。</w:t>
      </w:r>
    </w:p>
    <w:p>
      <w:pPr>
        <w:pStyle w:val="Heading2"/>
        <w:keepNext/>
        <w:pageBreakBefore w:val="0"/>
      </w:pPr>
      <w:r>
        <w:rPr>
          <w:rFonts w:ascii="Garamond" w:hAnsi="Garamond" w:eastAsia="Noto Sans CJK SC" w:cs="Garamond"/>
          <w:b/>
          <w:color w:val="000000"/>
          <w:sz w:val="24"/>
          <w:u w:val="none"/>
          <w:lang w:val="en-US" w:eastAsia="zh-CN"/>
        </w:rPr>
        <w:t>12.3 分歧处理步骤</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1. 双方分别写出判断、原文位置及适用的指南条目。</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2. 先排除错案、漏页、译文和程序阶段差异，再讨论法律解释。</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3. 可以补证的列任务；存在可接受不同路径的并列保留；当前无法确定的保留未知。</w:t>
      </w:r>
    </w:p>
    <w:p>
      <w:pPr>
        <w:widowControl/>
        <w:spacing w:line="420" w:lineRule="exact" w:after="160"/>
        <w:ind w:left="360" w:hanging="360"/>
        <w:jc w:val="both"/>
        <w:rPr>
          <w:rFonts w:ascii="Garamond" w:cs="Garamond" w:eastAsia="Garamond" w:hAnsi="Garamond"/>
        </w:rPr>
      </w:pPr>
      <w:r>
        <w:rPr>
          <w:rFonts w:ascii="Garamond" w:hAnsi="Garamond" w:eastAsia="Noto Sans CJK SC" w:cs="Garamond"/>
          <w:b w:val="0"/>
          <w:color w:val="000000"/>
          <w:sz w:val="24"/>
          <w:u w:val="none"/>
          <w:lang w:val="en-US" w:eastAsia="zh-CN"/>
        </w:rPr>
        <w:t>4. 裁决负责人记录最终处理、理由与受影响范围。原始意见、分歧及裁决记录均保留。</w:t>
      </w:r>
    </w:p>
    <w:p>
      <w:pPr>
        <w:pStyle w:val="Heading2"/>
        <w:keepNext/>
        <w:pageBreakBefore w:val="0"/>
      </w:pPr>
      <w:r>
        <w:rPr>
          <w:rFonts w:ascii="Garamond" w:hAnsi="Garamond" w:eastAsia="Noto Sans CJK SC" w:cs="Garamond"/>
          <w:b/>
          <w:color w:val="000000"/>
          <w:sz w:val="24"/>
          <w:u w:val="none"/>
          <w:lang w:val="en-US" w:eastAsia="zh-CN"/>
        </w:rPr>
        <w:t>12.4 三类交付状态</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800"/>
        <w:gridCol w:w="4032"/>
        <w:gridCol w:w="3528"/>
      </w:tblGrid>
      <w:tr>
        <w:trPr>
          <w:cantSplit/>
          <w:tblHeader/>
        </w:trPr>
        <w:tc>
          <w:tcPr>
            <w:tcW w:type="dxa" w:w="1800"/>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状态</w:t>
            </w:r>
          </w:p>
        </w:tc>
        <w:tc>
          <w:tcPr>
            <w:tcW w:type="dxa" w:w="4032"/>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允许存在什么</w:t>
            </w:r>
          </w:p>
        </w:tc>
        <w:tc>
          <w:tcPr>
            <w:tcW w:type="dxa" w:w="3528"/>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能用于什么</w:t>
            </w:r>
          </w:p>
        </w:tc>
      </w:tr>
      <w:tr>
        <w:trPr>
          <w:cantSplit/>
        </w:trPr>
        <w:tc>
          <w:tcPr>
            <w:tcW w:type="dxa" w:w="1800"/>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待整备</w:t>
            </w:r>
          </w:p>
        </w:tc>
        <w:tc>
          <w:tcPr>
            <w:tcW w:type="dxa" w:w="403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身份、全文或标签尚待核实，但原始记录和问题清单明确</w:t>
            </w:r>
          </w:p>
        </w:tc>
        <w:tc>
          <w:tcPr>
            <w:tcW w:type="dxa" w:w="3528"/>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任务分配、材料追踪；不进入正式效果评价</w:t>
            </w:r>
          </w:p>
        </w:tc>
      </w:tr>
      <w:tr>
        <w:trPr>
          <w:cantSplit/>
        </w:trPr>
        <w:tc>
          <w:tcPr>
            <w:tcW w:type="dxa" w:w="1800"/>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开发样板</w:t>
            </w:r>
          </w:p>
        </w:tc>
        <w:tc>
          <w:tcPr>
            <w:tcW w:type="dxa" w:w="4032"/>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身份和核心来源已核；关键内容可追查；仍有明确的复核或范围问题</w:t>
            </w:r>
          </w:p>
        </w:tc>
        <w:tc>
          <w:tcPr>
            <w:tcW w:type="dxa" w:w="3528"/>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导入联调、流程验证和指南校准；标明开发用途</w:t>
            </w:r>
          </w:p>
        </w:tc>
      </w:tr>
      <w:tr>
        <w:trPr>
          <w:cantSplit/>
        </w:trPr>
        <w:tc>
          <w:tcPr>
            <w:tcW w:type="dxa" w:w="1800"/>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正式研究包</w:t>
            </w:r>
          </w:p>
        </w:tc>
        <w:tc>
          <w:tcPr>
            <w:tcW w:type="dxa" w:w="403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在明确任务范围内，关键标注及规则已复核、分歧有处理、视图及版本固定</w:t>
            </w:r>
          </w:p>
        </w:tc>
        <w:tc>
          <w:tcPr>
            <w:tcW w:type="dxa" w:w="3528"/>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该范围内的论证实验和可复核评价</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正式研究包可以包含真实的未知与材料限制。关键在于这些限制已被核对、界定，并与研究任务相容。若身份冲突或缺失使目标问题无法形成可靠评价依据，则应转为专门的缺失研究样本或暂缓，不能当成普通确定标签样本。</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验收检查：原始记录可追查；关键判断有位置；事实身份清楚；本组标签符合定义；多阶段与部分结果正确拆分；规则有来源和边界；缺口有状态；模型输入与答案分开；复核记录完整；材料和指南版本明确。任何一项不通过，写明退回对象和原因，避免笼统要求“补充材料”。</w:t>
      </w:r>
    </w:p>
    <w:p>
      <w:pPr>
        <w:pStyle w:val="Heading1"/>
        <w:keepNext/>
        <w:pageBreakBefore w:val="0"/>
      </w:pPr>
      <w:bookmarkStart w:id="113" w:name="sec_13"/>
      <w:r>
        <w:rPr>
          <w:rFonts w:ascii="Garamond" w:hAnsi="Garamond" w:eastAsia="Noto Sans CJK SC" w:cs="Garamond"/>
          <w:b/>
          <w:color w:val="000000"/>
          <w:sz w:val="24"/>
          <w:u w:val="single"/>
          <w:lang w:val="en-US" w:eastAsia="zh-CN"/>
        </w:rPr>
        <w:t>13 交付结构与技术接收约定</w:t>
      </w:r>
      <w:bookmarkEnd w:id="113"/>
    </w:p>
    <w:p>
      <w:pPr>
        <w:pStyle w:val="Heading2"/>
        <w:keepNext/>
        <w:pageBreakBefore w:val="0"/>
      </w:pPr>
      <w:r>
        <w:rPr>
          <w:rFonts w:ascii="Garamond" w:hAnsi="Garamond" w:eastAsia="Noto Sans CJK SC" w:cs="Garamond"/>
          <w:b/>
          <w:color w:val="000000"/>
          <w:sz w:val="24"/>
          <w:u w:val="none"/>
          <w:lang w:val="en-US" w:eastAsia="zh-CN"/>
        </w:rPr>
        <w:t>13.1 法学每个案件交什么</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每案交付一个可阅读的案件说明、结构化标注表及对应来源文件。先沿用技术提供的编号；法学使用中文字段即可。引用同一规则卡或来源时复用编号，无需重复抄写。</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800"/>
        <w:gridCol w:w="4032"/>
        <w:gridCol w:w="3528"/>
      </w:tblGrid>
      <w:tr>
        <w:trPr>
          <w:cantSplit/>
          <w:tblHeader/>
        </w:trPr>
        <w:tc>
          <w:tcPr>
            <w:tcW w:type="dxa" w:w="1800"/>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交付项</w:t>
            </w:r>
          </w:p>
        </w:tc>
        <w:tc>
          <w:tcPr>
            <w:tcW w:type="dxa" w:w="4032"/>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A组</w:t>
            </w:r>
          </w:p>
        </w:tc>
        <w:tc>
          <w:tcPr>
            <w:tcW w:type="dxa" w:w="3528"/>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B组</w:t>
            </w:r>
          </w:p>
        </w:tc>
      </w:tr>
      <w:tr>
        <w:trPr>
          <w:cantSplit/>
        </w:trPr>
        <w:tc>
          <w:tcPr>
            <w:tcW w:type="dxa" w:w="1800"/>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原始对应与身份</w:t>
            </w:r>
          </w:p>
        </w:tc>
        <w:tc>
          <w:tcPr>
            <w:tcW w:type="dxa" w:w="403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原表序号、实际行号、裁判身份、关联案件簇</w:t>
            </w:r>
          </w:p>
        </w:tc>
        <w:tc>
          <w:tcPr>
            <w:tcW w:type="dxa" w:w="3528"/>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原目录序号、案件簇、文书清单及程序链</w:t>
            </w:r>
          </w:p>
        </w:tc>
      </w:tr>
      <w:tr>
        <w:trPr>
          <w:cantSplit/>
        </w:trPr>
        <w:tc>
          <w:tcPr>
            <w:tcW w:type="dxa" w:w="1800"/>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事实与原文</w:t>
            </w:r>
          </w:p>
        </w:tc>
        <w:tc>
          <w:tcPr>
            <w:tcW w:type="dxa" w:w="4032"/>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关键事实、主体状态、来源位置、缺口</w:t>
            </w:r>
          </w:p>
        </w:tc>
        <w:tc>
          <w:tcPr>
            <w:tcW w:type="dxa" w:w="3528"/>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六栏案件包及每项来源位置</w:t>
            </w:r>
          </w:p>
        </w:tc>
      </w:tr>
      <w:tr>
        <w:trPr>
          <w:cantSplit/>
        </w:trPr>
        <w:tc>
          <w:tcPr>
            <w:tcW w:type="dxa" w:w="1800"/>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专用判断</w:t>
            </w:r>
          </w:p>
        </w:tc>
        <w:tc>
          <w:tcPr>
            <w:tcW w:type="dxa" w:w="403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第79条适用、要素、判断单位、结果与原标签差异</w:t>
            </w:r>
          </w:p>
        </w:tc>
        <w:tc>
          <w:tcPr>
            <w:tcW w:type="dxa" w:w="3528"/>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请求、争点、实际法源、公约映射、各层结果</w:t>
            </w:r>
          </w:p>
        </w:tc>
      </w:tr>
      <w:tr>
        <w:trPr>
          <w:cantSplit/>
        </w:trPr>
        <w:tc>
          <w:tcPr>
            <w:tcW w:type="dxa" w:w="1800"/>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规则与论证</w:t>
            </w:r>
          </w:p>
        </w:tc>
        <w:tc>
          <w:tcPr>
            <w:tcW w:type="dxa" w:w="4032"/>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本条需要的规则卡、解释路径与反例</w:t>
            </w:r>
          </w:p>
        </w:tc>
        <w:tc>
          <w:tcPr>
            <w:tcW w:type="dxa" w:w="3528"/>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专题规则卡、双方实际主张与研究论证</w:t>
            </w:r>
          </w:p>
        </w:tc>
      </w:tr>
      <w:tr>
        <w:trPr>
          <w:cantSplit/>
        </w:trPr>
        <w:tc>
          <w:tcPr>
            <w:tcW w:type="dxa" w:w="1800"/>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实验与评价</w:t>
            </w:r>
          </w:p>
        </w:tc>
        <w:tc>
          <w:tcPr>
            <w:tcW w:type="dxa" w:w="4032"/>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输入答案分离、可见性、可接受判断</w:t>
            </w:r>
          </w:p>
        </w:tc>
        <w:tc>
          <w:tcPr>
            <w:tcW w:type="dxa" w:w="3528"/>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角色可见性、条件变化、参考路径与错误标准</w:t>
            </w:r>
          </w:p>
        </w:tc>
      </w:tr>
      <w:tr>
        <w:trPr>
          <w:cantSplit/>
        </w:trPr>
        <w:tc>
          <w:tcPr>
            <w:tcW w:type="dxa" w:w="1800"/>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复核记录</w:t>
            </w:r>
          </w:p>
        </w:tc>
        <w:tc>
          <w:tcPr>
            <w:tcW w:type="dxa" w:w="4032"/>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初标、复核、分歧、裁决、版本和用途</w:t>
            </w:r>
          </w:p>
        </w:tc>
        <w:tc>
          <w:tcPr>
            <w:tcW w:type="dxa" w:w="3528"/>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同左，另确认不同程序文书的关联与状态</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来源文件按编号命名即可，保留原名映射。目录中包含可访问链接而暂不保存全文的，说明保存状态与原因。附录中的空白模板可复制到Word或Excel填写；技术可据此提供正式工作簿，但本指南不要求法学手写JSON或数据库字段。</w:t>
      </w:r>
    </w:p>
    <w:p>
      <w:pPr>
        <w:pStyle w:val="Heading2"/>
        <w:keepNext/>
        <w:pageBreakBefore w:val="0"/>
      </w:pPr>
      <w:r>
        <w:rPr>
          <w:rFonts w:ascii="Garamond" w:hAnsi="Garamond" w:eastAsia="Noto Sans CJK SC" w:cs="Garamond"/>
          <w:b/>
          <w:color w:val="000000"/>
          <w:sz w:val="24"/>
          <w:u w:val="none"/>
          <w:lang w:val="en-US" w:eastAsia="zh-CN"/>
        </w:rPr>
        <w:t>13.2 结构化表的一行代表什么</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下表是技术接收时的统一关系约定。可放在一个工作簿的多个工作表中，也可由标注平台呈现为表单。ID为技术编号，不要求标注人员设计编号规则。</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表名</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一行的单位与最小字段</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记录与文书</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一个文书或待核文书：记录ID、原始位置、案件簇ID、文书ID、身份、程序、状态</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来源登记</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一个来源版本：来源ID、文书ID、标题、链接、发布者、材料形态、完整度、核验、语言、版本</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原文位置</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一个可定位片段：位置ID、来源ID、页段、起止文字、摘录、译文及校核状态</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事实与主张</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一个命题：事实ID、文书ID、命题、主体、来源类型、内容性质、争议状态、支持状态</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A组判断</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一个判断单位：判断ID、文书ID、主张人、义务请求期间、适用状态、结果、原标签差异、缺口</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A组要素</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一个判断中的一个要素：要素ID、判断ID、要素类型、双方说法、裁判处理、理由</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B组请求与争点</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一个请求或该请求下一个争点：请求或争点ID、文书ID、父请求ID、类型、主张人、实际规则、处理、理由</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规则卡</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一条规则的一个版本：规则ID、法源、版本、法域程序、条件、后果、边界、复核</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论证与回应</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一条论证或回应：论证ID、争点或判断ID、主体、来源类型、主张、事实与规则、理由、目标、动作</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材料可见性</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一个片段对一个角色在一个条件中的权限：位置ID、角色、条件ID、开放阶段、可见状态、理由</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复核与变更</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一次审查或变更：对象ID、字段、初标、复核、分歧、裁决、依据、人员、时间、版本</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多对多依据关系用附表“一行一个关联”：对象ID、关联类型、依据ID。例如同一事实由三个位置支持，写三行关联，不将三个位置伪装成一条无法定位的长引文。Word填写时可列出多个编号，技术转换时展开。</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所有记录共用标注人、标注日期、指南版本、记录状态。条件必填字段：发生冲突须填冲突双方及依据；标未知须填原因；更正原标签须填理由；研究重构须标来源类型；正式研究使用须有独立复核。允许备注，但备注不能替代关键字段。</w:t>
      </w:r>
    </w:p>
    <w:p>
      <w:pPr>
        <w:pStyle w:val="Heading2"/>
        <w:keepNext/>
        <w:pageBreakBefore w:val="0"/>
      </w:pPr>
      <w:r>
        <w:rPr>
          <w:rFonts w:ascii="Garamond" w:hAnsi="Garamond" w:eastAsia="Noto Sans CJK SC" w:cs="Garamond"/>
          <w:b/>
          <w:color w:val="000000"/>
          <w:sz w:val="24"/>
          <w:u w:val="none"/>
          <w:lang w:val="en-US" w:eastAsia="zh-CN"/>
        </w:rPr>
        <w:t>13.3 技术接收与退回</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技术检查编号引用、必填字段、合法标签、日期精度、原文定位、版本及输入视图；法学确认实质内容。校验失败时返回具体对象、字段、失败原因和建议动作。技术不得用默认值把NR、UV、CF填成“否”，也不得自动修改法学争议结论。</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案件簇层面分配开发与评测用途，必要时进一步检查同一裁决跨法域程序的泄漏。运行保存案件包、规则卡、协议、角色视图和评价标准版本。材料更新后原运行仍能用当时的版本回看。</w:t>
      </w:r>
    </w:p>
    <w:p>
      <w:pPr>
        <w:pStyle w:val="Heading1"/>
        <w:keepNext/>
        <w:pageBreakBefore w:val="0"/>
      </w:pPr>
      <w:bookmarkStart w:id="114" w:name="sec_14"/>
      <w:r>
        <w:rPr>
          <w:rFonts w:ascii="Garamond" w:hAnsi="Garamond" w:eastAsia="Noto Sans CJK SC" w:cs="Garamond"/>
          <w:b/>
          <w:color w:val="000000"/>
          <w:sz w:val="24"/>
          <w:u w:val="single"/>
          <w:lang w:val="en-US" w:eastAsia="zh-CN"/>
        </w:rPr>
        <w:t>14 填写示例</w:t>
      </w:r>
      <w:bookmarkEnd w:id="114"/>
    </w:p>
    <w:p>
      <w:pPr>
        <w:pStyle w:val="Heading2"/>
        <w:keepNext/>
        <w:pageBreakBefore w:val="0"/>
      </w:pPr>
      <w:r>
        <w:rPr>
          <w:rFonts w:ascii="Garamond" w:hAnsi="Garamond" w:eastAsia="Noto Sans CJK SC" w:cs="Garamond"/>
          <w:b/>
          <w:color w:val="000000"/>
          <w:sz w:val="24"/>
          <w:u w:val="none"/>
          <w:lang w:val="en-US" w:eastAsia="zh-CN"/>
        </w:rPr>
        <w:t>14.1 A组原记录存在冲突时</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以下示例使用原表中已发现的结构问题，展示登记方式；不替代法学对该条目标裁判的完整标注。</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字段</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示例填写</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原始定位</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原序号44；Sheet1!A46:G46</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原始案情与标签</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完整保留E46和F46，不在原表中改写</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问题</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E46与E45相同，而G46来源所指案件与E46叙述身份不一致</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状态</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来源身份CF；复核标签“无法判断”；二分类准入“否”</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依据</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原表对应单元格，以及另行保存的来源身份核对记录；若本次交接未附核对记录，其可用性标UV</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后续动作</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由法学确认该行意在收录哪个裁判，再决定修订案情、修订来源或拆分记录；保留修改链</w:t>
            </w:r>
          </w:p>
        </w:tc>
      </w:tr>
    </w:tbl>
    <w:p>
      <w:pPr>
        <w:spacing w:after="0" w:before="0" w:line="80" w:lineRule="exact"/>
      </w:pPr>
      <w:r>
        <w:rPr>
          <w:rFonts w:ascii="Garamond" w:hAnsi="Garamond" w:eastAsia="Noto Sans CJK SC" w:cs="Garamond"/>
          <w:b w:val="0"/>
          <w:color w:val="000000"/>
          <w:sz w:val="8"/>
          <w:u w:val="none"/>
          <w:lang w:val="en-US" w:eastAsia="zh-CN"/>
        </w:rPr>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不得直接抄用第43条的复核结论，也不得因为链接看起来更权威就静默替换整段案情。此时“无法判断”说明记录身份冲突，并不表示法院未判断第79条。</w:t>
      </w:r>
    </w:p>
    <w:p>
      <w:pPr>
        <w:pStyle w:val="Heading2"/>
        <w:keepNext/>
        <w:pageBreakBefore w:val="0"/>
      </w:pPr>
      <w:r>
        <w:rPr>
          <w:rFonts w:ascii="Garamond" w:hAnsi="Garamond" w:eastAsia="Noto Sans CJK SC" w:cs="Garamond"/>
          <w:b/>
          <w:color w:val="000000"/>
          <w:sz w:val="24"/>
          <w:u w:val="none"/>
          <w:lang w:val="en-US" w:eastAsia="zh-CN"/>
        </w:rPr>
        <w:t>14.2 A组部分期间的教学示例</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本例为教学设定，编号以DEMO开头，不对应真实裁判，不纳入数据集。假定教学材料D1第1段明确记载：裁判支持卖方就P1期间的指定损害赔偿请求依第79条免责，但对P2期间同类请求明确否定免责；D1第2段讨论其他救济仍须另行判断。</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对象</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正确填写</w:t>
            </w:r>
          </w:p>
        </w:tc>
      </w:tr>
      <w:tr>
        <w:trPr>
          <w:cantSplit/>
        </w:trPr>
        <w:tc>
          <w:tcPr>
            <w:tcW w:type="dxa" w:w="1901"/>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DEMO A 判断1</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主张人卖方；期间P1；对象为指定损害赔偿；“支持免责”；依据D1第1段</w:t>
            </w:r>
          </w:p>
        </w:tc>
      </w:tr>
      <w:tr>
        <w:trPr>
          <w:cantSplit/>
        </w:trPr>
        <w:tc>
          <w:tcPr>
            <w:tcW w:type="dxa" w:w="1901"/>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DEMO A 判断2</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主张人卖方；期间P2；对象为同类损害赔偿；“不支持免责”；依据D1第1段</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文书汇总</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“部分支持”；不得导出一个未经说明的案件级二分类值</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其他救济</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另设对象；不能由上述两项直接推断全部履行义务或救济消失</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实验视图</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D1中的裁判结论置于评价侧；只有另行给定的事实材料可以作为无答案分析输入</w:t>
            </w:r>
          </w:p>
        </w:tc>
      </w:tr>
    </w:tbl>
    <w:p>
      <w:pPr>
        <w:spacing w:after="0" w:before="0" w:line="80" w:lineRule="exact"/>
      </w:pPr>
      <w:r>
        <w:rPr>
          <w:rFonts w:ascii="Garamond" w:hAnsi="Garamond" w:eastAsia="Noto Sans CJK SC" w:cs="Garamond"/>
          <w:b w:val="0"/>
          <w:color w:val="000000"/>
          <w:sz w:val="8"/>
          <w:u w:val="none"/>
          <w:lang w:val="en-US" w:eastAsia="zh-CN"/>
        </w:rPr>
      </w:r>
    </w:p>
    <w:p>
      <w:pPr>
        <w:pStyle w:val="Heading2"/>
        <w:keepNext/>
        <w:pageBreakBefore w:val="0"/>
      </w:pPr>
      <w:r>
        <w:rPr>
          <w:rFonts w:ascii="Garamond" w:hAnsi="Garamond" w:eastAsia="Noto Sans CJK SC" w:cs="Garamond"/>
          <w:b/>
          <w:color w:val="000000"/>
          <w:sz w:val="24"/>
          <w:u w:val="none"/>
          <w:lang w:val="en-US" w:eastAsia="zh-CN"/>
        </w:rPr>
        <w:t>14.3 B组程序结果的教学示例</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本例为教学设定。假定材料D2第3段记载：法院因一方未遵守程序命令，撤销先前给予的执行许可；D2第4段明确说明无需判断当事人提出的仲裁通知抗辩。材料未显示仲裁地法院撤销了仲裁裁决。</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1901"/>
        <w:gridCol w:w="7459"/>
      </w:tblGrid>
      <w:tr>
        <w:trPr>
          <w:cantSplit/>
          <w:tblHeader/>
        </w:trPr>
        <w:tc>
          <w:tcPr>
            <w:tcW w:type="dxa" w:w="1901"/>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字段</w:t>
            </w:r>
          </w:p>
        </w:tc>
        <w:tc>
          <w:tcPr>
            <w:tcW w:type="dxa" w:w="7459"/>
            <w:vAlign w:val="center"/>
            <w:shd w:fill="404040"/>
          </w:tcPr>
          <w:p>
            <w:pPr>
              <w:keepNext/>
              <w:widowControl/>
              <w:spacing w:before="0" w:after="0" w:line="320" w:lineRule="exact"/>
              <w:ind w:firstLine="0"/>
              <w:jc w:val="center"/>
            </w:pPr>
            <w:r>
              <w:rPr>
                <w:rFonts w:ascii="Garamond" w:hAnsi="Garamond" w:eastAsia="Noto Sans CJK SC" w:cs="Garamond"/>
                <w:b/>
                <w:color w:val="FFFFFF"/>
                <w:sz w:val="21"/>
                <w:u w:val="none"/>
                <w:lang w:val="en-US" w:eastAsia="zh-CN"/>
              </w:rPr>
              <w:t>正确填写</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请求对象</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撤销本执行地法院先前给予的执行许可</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本次请求结果</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支持；依据D2第3段</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程序处置</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执行许可被撤销；原文说明原因为不遵守程序命令</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通知争点</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已提出，但法院未处理；依据D2第4段</w:t>
            </w:r>
          </w:p>
        </w:tc>
      </w:tr>
      <w:tr>
        <w:trPr>
          <w:cantSplit/>
        </w:trPr>
        <w:tc>
          <w:tcPr>
            <w:tcW w:type="dxa" w:w="1901"/>
            <w:vAlign w:val="center"/>
            <w:shd w:fill="FFFFFF"/>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仲裁裁决撤销</w:t>
            </w:r>
          </w:p>
        </w:tc>
        <w:tc>
          <w:tcPr>
            <w:tcW w:type="dxa" w:w="7459"/>
            <w:vAlign w:val="center"/>
            <w:shd w:fill="FFFFFF"/>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当前材料未披露；不能由执行许可被撤销推断裁决本身被撤销</w:t>
            </w:r>
          </w:p>
        </w:tc>
      </w:tr>
      <w:tr>
        <w:trPr>
          <w:cantSplit/>
        </w:trPr>
        <w:tc>
          <w:tcPr>
            <w:tcW w:type="dxa" w:w="1901"/>
            <w:vAlign w:val="center"/>
            <w:shd w:fill="F5F5F5"/>
          </w:tcPr>
          <w:p>
            <w:pPr>
              <w:keepNext w:val="0"/>
              <w:widowControl/>
              <w:spacing w:before="0" w:after="0" w:line="320" w:lineRule="exact"/>
              <w:ind w:firstLine="0"/>
              <w:jc w:val="center"/>
            </w:pPr>
            <w:r>
              <w:rPr>
                <w:rFonts w:ascii="Garamond" w:hAnsi="Garamond" w:eastAsia="Noto Sans CJK SC" w:cs="Garamond"/>
                <w:b w:val="0"/>
                <w:color w:val="000000"/>
                <w:sz w:val="21"/>
                <w:u w:val="none"/>
                <w:lang w:val="en-US" w:eastAsia="zh-CN"/>
              </w:rPr>
              <w:t>研究分类</w:t>
            </w:r>
          </w:p>
        </w:tc>
        <w:tc>
          <w:tcPr>
            <w:tcW w:type="dxa" w:w="7459"/>
            <w:vAlign w:val="center"/>
            <w:shd w:fill="F5F5F5"/>
          </w:tcPr>
          <w:p>
            <w:pPr>
              <w:keepNext w:val="0"/>
              <w:widowControl/>
              <w:spacing w:before="0" w:after="0" w:line="320" w:lineRule="exact"/>
              <w:ind w:firstLine="0"/>
              <w:jc w:val="left"/>
            </w:pPr>
            <w:r>
              <w:rPr>
                <w:rFonts w:ascii="Garamond" w:hAnsi="Garamond" w:eastAsia="Noto Sans CJK SC" w:cs="Garamond"/>
                <w:b w:val="0"/>
                <w:color w:val="000000"/>
                <w:sz w:val="21"/>
                <w:u w:val="none"/>
                <w:lang w:val="en-US" w:eastAsia="zh-CN"/>
              </w:rPr>
              <w:t>执行地程序处理；不得标记“第V条第1款乙项抗辩成立”</w:t>
            </w:r>
          </w:p>
        </w:tc>
      </w:tr>
    </w:tbl>
    <w:p>
      <w:pPr>
        <w:spacing w:after="0" w:before="0" w:line="80" w:lineRule="exact"/>
      </w:pPr>
      <w:r>
        <w:rPr>
          <w:rFonts w:ascii="Garamond" w:hAnsi="Garamond" w:eastAsia="Noto Sans CJK SC" w:cs="Garamond"/>
          <w:b w:val="0"/>
          <w:color w:val="000000"/>
          <w:sz w:val="8"/>
          <w:u w:val="none"/>
          <w:lang w:val="en-US" w:eastAsia="zh-CN"/>
        </w:rPr>
      </w:r>
    </w:p>
    <w:p>
      <w:pPr>
        <w:pStyle w:val="Heading2"/>
        <w:keepNext/>
        <w:pageBreakBefore w:val="0"/>
      </w:pPr>
      <w:r>
        <w:rPr>
          <w:rFonts w:ascii="Garamond" w:hAnsi="Garamond" w:eastAsia="Noto Sans CJK SC" w:cs="Garamond"/>
          <w:b/>
          <w:color w:val="000000"/>
          <w:sz w:val="24"/>
          <w:u w:val="none"/>
          <w:lang w:val="en-US" w:eastAsia="zh-CN"/>
        </w:rPr>
        <w:t>14.4 同一结论的不同评分</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假设教学运行只提供材料D2。输出甲写“执行许可应撤销，因为仲裁裁决已被撤销”；输出乙写“材料记载执行许可因程序原因被撤销，通知抗辩未被处理，不能据此认定仲裁裁决被撤销”。</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甲虽复述了部分结果，却将程序对象与理由混淆，应标记重大错误，不能评价为高质量。乙正确区分了对象、理由及未知；具体六维分数还须结合任务要求、完整输出、引用位置和是否提供了回应机会确定，不能仅凭一句示例给出总分。</w:t>
      </w:r>
    </w:p>
    <w:p>
      <w:pPr>
        <w:pStyle w:val="Heading1"/>
        <w:keepNext/>
        <w:pageBreakBefore/>
      </w:pPr>
      <w:bookmarkStart w:id="115" w:name="sec_15"/>
      <w:r>
        <w:rPr>
          <w:rFonts w:ascii="Garamond" w:hAnsi="Garamond" w:eastAsia="Noto Sans CJK SC" w:cs="Garamond"/>
          <w:b/>
          <w:color w:val="000000"/>
          <w:sz w:val="24"/>
          <w:u w:val="single"/>
          <w:lang w:val="en-US" w:eastAsia="zh-CN"/>
        </w:rPr>
        <w:t>15 可复制的法学交付模板</w:t>
      </w:r>
      <w:bookmarkEnd w:id="115"/>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以下为空白填写模板。方括号表示待填写内容，可直接复制使用；重复事实、争点、来源和论证按同样格式增加。提交时用实际值或第2节状态替换待填项。</w:t>
      </w:r>
    </w:p>
    <w:p>
      <w:pPr>
        <w:pStyle w:val="Heading2"/>
        <w:keepNext/>
        <w:pageBreakBefore w:val="0"/>
      </w:pPr>
      <w:r>
        <w:rPr>
          <w:rFonts w:ascii="Garamond" w:hAnsi="Garamond" w:eastAsia="Noto Sans CJK SC" w:cs="Garamond"/>
          <w:b/>
          <w:color w:val="000000"/>
          <w:sz w:val="24"/>
          <w:u w:val="none"/>
          <w:lang w:val="en-US" w:eastAsia="zh-CN"/>
        </w:rPr>
        <w:t>15.1 共用登记与来源模板</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记录编号［　］  资料组［A／B］  原文件版本［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原始序号与位置［　］  案件簇编号［　］  文书编号［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案名与原名［　］  法院或机构［　］  法域［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案号或引注［　］  裁判日期与精度［　］  程序类型与阶段［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来源编号［　］  标题与发布者［　］  链接及保存文件［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材料形态与完整度［　］  语言及译文关系［　］  本次核验状态［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位置编号［　］  页段与起止文字［　］  原文摘录［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该片段支持的判断［　］  翻译或归纳［　］  缺口与影响［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标注人及日期［　］  复核人及日期［　］  指南版本与用途［　］</w:t>
      </w:r>
    </w:p>
    <w:p>
      <w:pPr>
        <w:pStyle w:val="Heading2"/>
        <w:keepNext/>
        <w:pageBreakBefore/>
      </w:pPr>
      <w:r>
        <w:rPr>
          <w:rFonts w:ascii="Garamond" w:hAnsi="Garamond" w:eastAsia="Noto Sans CJK SC" w:cs="Garamond"/>
          <w:b/>
          <w:color w:val="000000"/>
          <w:sz w:val="24"/>
          <w:u w:val="none"/>
          <w:lang w:val="en-US" w:eastAsia="zh-CN"/>
        </w:rPr>
        <w:t>15.2 共用事实与主张模板</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事实编号［　］  所属文书与程序［　］  单一命题［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事件时间与精度［　］  行为人及角色［　］  具体行为或状态［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来源类型［　］  陈述主体［　］  内容性质［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争议状态［　］  支持状态［　］  原文位置编号［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是否可向论证角色提供［　］  相关条件及阶段［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需要保留的限定或未知［　］  复核意见［　］</w:t>
      </w:r>
    </w:p>
    <w:p>
      <w:pPr>
        <w:pStyle w:val="Heading2"/>
        <w:keepNext/>
        <w:pageBreakBefore/>
      </w:pPr>
      <w:r>
        <w:rPr>
          <w:rFonts w:ascii="Garamond" w:hAnsi="Garamond" w:eastAsia="Noto Sans CJK SC" w:cs="Garamond"/>
          <w:b/>
          <w:color w:val="000000"/>
          <w:sz w:val="24"/>
          <w:u w:val="none"/>
          <w:lang w:val="en-US" w:eastAsia="zh-CN"/>
        </w:rPr>
        <w:t>15.3 A组专用填写模板</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判断编号［　］  关联文书［　］  原标签［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判断对象  谁就哪项义务或请求的哪个期间主张什么免责［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CISG适用状态及依据［　］  第79条是否实际处理及依据［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要素名称［　］  主张人说法［　］  对方说法［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法院对该要素的处理［　］  理由［　］  位置编号［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裁判细分结果［　］  损害赔偿范围与期间［　］  其他救济［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二分类准入及理由［　］  与原标签的关系［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研究判断及其依据［　］  待核事项及影响［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关联重复或其他审级［　］  输入中需移至评价侧的内容［　］</w:t>
      </w:r>
    </w:p>
    <w:p>
      <w:pPr>
        <w:pStyle w:val="Heading2"/>
        <w:keepNext/>
        <w:pageBreakBefore/>
      </w:pPr>
      <w:r>
        <w:rPr>
          <w:rFonts w:ascii="Garamond" w:hAnsi="Garamond" w:eastAsia="Noto Sans CJK SC" w:cs="Garamond"/>
          <w:b/>
          <w:color w:val="000000"/>
          <w:sz w:val="24"/>
          <w:u w:val="none"/>
          <w:lang w:val="en-US" w:eastAsia="zh-CN"/>
        </w:rPr>
        <w:t>15.4 B组专用填写模板</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案件簇与文书编号［　］  仲裁裁决编号及身份［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中国关联及依据［　］  仲裁地［　］  执行地［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本阶段当事人及其请求［　］  前后文书关系及依据［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六栏正文  程序事实［　］  双方实际主张［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法院认定与理由［　］  相关法律依据［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材料缺口［　］  原文位置索引［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争点编号与父请求［　］  主张人［　］  争点内容［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实际援引法源及条号［　］  研究分类与映射依据［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是否处理及处理结果［　］  关键理由［　］  位置编号［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请求结果［　］  程序处置［　］  承认结果［　］  执行结果［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后续状态及核查时点［　］  原件与转述材料的区别［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通知事件如适用  文件［　］ 发出者［　］ 接收者［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渠道与地址依据［　］  发送与到达时间［　］  语言［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可用回应机会及实际行动［　］  异议与认知［　］  裁判评价及位置［　］</w:t>
      </w:r>
    </w:p>
    <w:p>
      <w:pPr>
        <w:pStyle w:val="Heading2"/>
        <w:keepNext/>
        <w:pageBreakBefore/>
      </w:pPr>
      <w:r>
        <w:rPr>
          <w:rFonts w:ascii="Garamond" w:hAnsi="Garamond" w:eastAsia="Noto Sans CJK SC" w:cs="Garamond"/>
          <w:b/>
          <w:color w:val="000000"/>
          <w:sz w:val="24"/>
          <w:u w:val="none"/>
          <w:lang w:val="en-US" w:eastAsia="zh-CN"/>
        </w:rPr>
        <w:t>15.5 规则与论证填写模板</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规则编号与名称［　］  类型［　］  来源与版本［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适用法域程序［　］  原文与位置［　］  团队解释［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条件与事实需求［　］  例外与后果［　］  主张证明要求及依据［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解释分歧［　］  使用边界［　］  可形式检查与须法律判断的部分［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论证编号［　］  所属争点或判断［　］  提出者与阶段［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历史主张或研究重构［　］  主张［　］  事实编号［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规则编号［　］  解释与适用理由［　］  原文位置［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反驳目标［　］  可能回应［　］  维持补充修正撤回或承认不足及理由［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可接受的其他路径［　］  重大错误边界［　］  未知项［　］</w:t>
      </w:r>
    </w:p>
    <w:p>
      <w:pPr>
        <w:pStyle w:val="Heading2"/>
        <w:keepNext/>
        <w:pageBreakBefore/>
      </w:pPr>
      <w:r>
        <w:rPr>
          <w:rFonts w:ascii="Garamond" w:hAnsi="Garamond" w:eastAsia="Noto Sans CJK SC" w:cs="Garamond"/>
          <w:b/>
          <w:color w:val="000000"/>
          <w:sz w:val="24"/>
          <w:u w:val="none"/>
          <w:lang w:val="en-US" w:eastAsia="zh-CN"/>
        </w:rPr>
        <w:t>15.6 实验与复核填写模板</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母包与版本［　］  任务截止时点［　］  研究问题［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角色［　］  片段或材料编号［　］  可见状态［　］  开放阶段［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条件变化［　］  自然缺失或人为遮蔽［　］  保持固定的事项［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顺序与回应机会［　］  停止条件［　］  真实程序参照或研究设计［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评价对象及片段［　］  六维各分与理由［　］  NA维度及理由［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重大错误及依据［　］  允许的不同结论与未知［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复核对象及字段［　］  初标意见及依据［　］  独立复核意见及依据［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分歧及补证［　］  最终处理与理由［　］  裁决人及日期［　］</w:t>
      </w:r>
    </w:p>
    <w:p>
      <w:pPr>
        <w:widowControl/>
        <w:spacing w:line="420" w:lineRule="exact" w:after="200"/>
        <w:ind w:firstLine="0"/>
        <w:jc w:val="left"/>
        <w:rPr>
          <w:rFonts w:ascii="Garamond" w:cs="Garamond" w:eastAsia="Garamond" w:hAnsi="Garamond"/>
        </w:rPr>
      </w:pPr>
      <w:r>
        <w:rPr>
          <w:rFonts w:ascii="Garamond" w:hAnsi="Garamond" w:eastAsia="Noto Sans CJK SC" w:cs="Garamond"/>
          <w:b w:val="0"/>
          <w:color w:val="000000"/>
          <w:sz w:val="24"/>
          <w:u w:val="none"/>
          <w:lang w:val="en-US" w:eastAsia="zh-CN"/>
        </w:rPr>
        <w:t>原值与新值［　］  影响范围［　］  新版本与关联运行［　］</w:t>
      </w:r>
    </w:p>
    <w:p>
      <w:pPr>
        <w:pStyle w:val="Heading1"/>
        <w:keepNext/>
        <w:pageBreakBefore/>
      </w:pPr>
      <w:bookmarkStart w:id="116" w:name="sec_16"/>
      <w:r>
        <w:rPr>
          <w:rFonts w:ascii="Garamond" w:hAnsi="Garamond" w:eastAsia="Noto Sans CJK SC" w:cs="Garamond"/>
          <w:b/>
          <w:color w:val="000000"/>
          <w:sz w:val="24"/>
          <w:u w:val="single"/>
          <w:lang w:val="en-US" w:eastAsia="zh-CN"/>
        </w:rPr>
        <w:t>16 首批工作安排与文件依据</w:t>
      </w:r>
      <w:bookmarkEnd w:id="116"/>
    </w:p>
    <w:p>
      <w:pPr>
        <w:pStyle w:val="Heading2"/>
        <w:keepNext/>
        <w:pageBreakBefore w:val="0"/>
      </w:pPr>
      <w:r>
        <w:rPr>
          <w:rFonts w:ascii="Garamond" w:hAnsi="Garamond" w:eastAsia="Noto Sans CJK SC" w:cs="Garamond"/>
          <w:b/>
          <w:color w:val="000000"/>
          <w:sz w:val="24"/>
          <w:u w:val="none"/>
          <w:lang w:val="en-US" w:eastAsia="zh-CN"/>
        </w:rPr>
        <w:t>16.1 首批交付顺序</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第一批先完成一个承认执行样板的身份、六栏正文和必要规则，再补论证、可见性与评价参照；CISG小批试标同步校准标签。双方走查“原文—角色输入—评价”的完整路径，按第12节验收。后续扩展以材料质量与复核能力为依据，负责人、数量和时间另记排期表。</w:t>
      </w:r>
    </w:p>
    <w:p>
      <w:pPr>
        <w:pStyle w:val="Heading2"/>
        <w:keepNext/>
        <w:pageBreakBefore w:val="0"/>
      </w:pPr>
      <w:r>
        <w:rPr>
          <w:rFonts w:ascii="Garamond" w:hAnsi="Garamond" w:eastAsia="Noto Sans CJK SC" w:cs="Garamond"/>
          <w:b/>
          <w:color w:val="000000"/>
          <w:sz w:val="24"/>
          <w:u w:val="none"/>
          <w:lang w:val="en-US" w:eastAsia="zh-CN"/>
        </w:rPr>
        <w:t>16.2 本版对应的已有文件</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《计算法比赛-测试集 (2)(1).xlsx》：Sheet1表头、全表说明、65条编号记录及其案情、原标签和来源字段；第4、5、14节说明具体映射与已登记问题。</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《国际商事仲裁案件名案号网站汇总(2).docx》：案件簇目录、文书数量与案名案号来源入口；第6、7节规定后续加工方式。目录既有核验备注在新标注中原样保存，另记录本次核验动作。</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《规则驱动的法律智能与域外法查明困境的破解路径(6).docx》：作为规则表达与专家参与的方法背景，不作为具体案件事实或已完成规则卡。</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《SYSTEM_STATUS.md》：2026年9月11日系统现状，说明当前民事仿真工作台与承认执行研究材料、协议和评价之间仍需接通的环节。本指南中的字段和流程是技术接收约定，不表示这些能力已全部实现。</w:t>
      </w:r>
    </w:p>
    <w:p>
      <w:pPr>
        <w:widowControl/>
        <w:spacing w:line="420" w:lineRule="exact" w:after="160"/>
        <w:ind w:firstLine="480"/>
        <w:jc w:val="both"/>
        <w:rPr>
          <w:rFonts w:ascii="Garamond" w:cs="Garamond" w:eastAsia="Garamond" w:hAnsi="Garamond"/>
        </w:rPr>
      </w:pPr>
      <w:r>
        <w:rPr>
          <w:rFonts w:ascii="Garamond" w:hAnsi="Garamond" w:eastAsia="Noto Sans CJK SC" w:cs="Garamond"/>
          <w:b w:val="0"/>
          <w:color w:val="000000"/>
          <w:sz w:val="24"/>
          <w:u w:val="none"/>
          <w:lang w:val="en-US" w:eastAsia="zh-CN"/>
        </w:rPr>
        <w:t>后续法学标注应为实际使用的条文、判例解释、程序规则和事实补齐可核原文。未完成的来源工作保留相应状态，只有满足所选任务要求的材料才进入正式评价。</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CJK SC">
    <w:charset w:val="86"/>
    <w:family w:val="swiss"/>
    <w:pitch w:val="variable"/>
    <w:embedRegular r:id="rIdNotoRegular" w:fontKey="{3EF4E376-6151-4489-8444-B11F29514D4D}"/>
    <w:embedBold r:id="rIdNotoBold" w:fontKey="{4160EF4F-6B92-4D15-8BD8-1FCFCEE4852B}"/>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Garamond" w:hAnsi="Garamond" w:eastAsia="Noto Sans CJK SC" w:cs="Garamond"/>
        <w:b w:val="0"/>
        <w:color w:val="000000"/>
        <w:sz w:val="18"/>
        <w:u w:val="none"/>
        <w:lang w:val="en-US" w:eastAsia="zh-CN"/>
      </w:rPr>
      <w:t>LexGentium  法律数据标注指南  1.0</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keepLines w:val="1"/>
      <w:widowControl/>
      <w:spacing w:after="200" w:before="320" w:lineRule="exact" w:line="360"/>
      <w:jc w:val="center"/>
    </w:pPr>
    <w:rPr>
      <w:rFonts w:ascii="Garamond" w:cs="Play" w:eastAsia="Noto Sans CJK SC" w:hAnsi="Garamond"/>
      <w:b/>
      <w:color w:val="000000"/>
      <w:sz w:val="24"/>
      <w:szCs w:val="40"/>
      <w:u w:val="single"/>
    </w:rPr>
  </w:style>
  <w:style w:type="paragraph" w:styleId="Heading2">
    <w:name w:val="heading 2"/>
    <w:basedOn w:val="Normal"/>
    <w:next w:val="Normal"/>
    <w:pPr>
      <w:keepNext/>
      <w:keepLines w:val="1"/>
      <w:widowControl/>
      <w:spacing w:after="120" w:before="240" w:lineRule="exact" w:line="360"/>
    </w:pPr>
    <w:rPr>
      <w:rFonts w:ascii="Garamond" w:cs="Play" w:eastAsia="Noto Sans CJK SC" w:hAnsi="Garamond"/>
      <w:b/>
      <w:color w:val="000000"/>
      <w:sz w:val="24"/>
      <w:szCs w:val="32"/>
      <w:u w:val="none"/>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widowControl/>
      <w:spacing w:after="160" w:line="276" w:lineRule="auto"/>
      <w:jc w:val="center"/>
    </w:pPr>
    <w:rPr>
      <w:rFonts w:ascii="Garamond" w:cs="Play" w:eastAsia="Noto Sans CJK SC" w:hAnsi="Garamond"/>
      <w:b/>
      <w:color w:val="000000"/>
      <w:sz w:val="48"/>
      <w:szCs w:val="56"/>
      <w:u w:val="none"/>
    </w:rPr>
  </w:style>
  <w:style w:type="paragraph" w:styleId="Subtitle">
    <w:name w:val="Subtitle"/>
    <w:basedOn w:val="Normal"/>
    <w:next w:val="Normal"/>
    <w:pPr/>
    <w:rPr>
      <w:color w:val="595959"/>
      <w:sz w:val="28"/>
      <w:szCs w:val="28"/>
    </w:rPr>
  </w:style>
  <w:style w:type="paragraph" w:customStyle="1" w:styleId="Normal">
    <w:name w:val="Normal"/>
    <w:pPr>
      <w:widowControl/>
      <w:spacing w:after="160" w:line="420" w:lineRule="exact"/>
    </w:pPr>
    <w:rPr>
      <w:rFonts w:ascii="Garamond" w:hAnsi="Garamond" w:eastAsia="Noto Sans CJK SC"/>
      <w:b w:val="0"/>
      <w:color w:val="000000"/>
      <w:sz w:val="24"/>
      <w:u w:val="no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 Id="rIdNotoRegular" Type="http://schemas.openxmlformats.org/officeDocument/2006/relationships/font" Target="fonts/3EF4E376-6151-4489-8444-B11F29514D4D.odttf"/><Relationship Id="rIdNotoBold" Type="http://schemas.openxmlformats.org/officeDocument/2006/relationships/font" Target="fonts/4160EF4F-6B92-4D15-8BD8-1FCFCEE4852B.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