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F84BF">
      <w:pPr>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文森特•赫罗纳•易泽盖多与泰州远大足球俱乐部有限公司申请承认和执行外国</w:t>
      </w:r>
      <w:bookmarkStart w:id="0" w:name="_GoBack"/>
      <w:bookmarkEnd w:id="0"/>
      <w:r>
        <w:rPr>
          <w:rFonts w:hint="eastAsia" w:ascii="宋体" w:hAnsi="宋体" w:eastAsia="宋体" w:cs="宋体"/>
          <w:b/>
          <w:bCs/>
          <w:sz w:val="24"/>
          <w:szCs w:val="24"/>
        </w:rPr>
        <w:t>仲裁裁决案</w:t>
      </w:r>
    </w:p>
    <w:p w14:paraId="0FBFF310">
      <w:pPr>
        <w:spacing w:line="360" w:lineRule="auto"/>
        <w:jc w:val="both"/>
        <w:rPr>
          <w:sz w:val="24"/>
          <w:szCs w:val="24"/>
        </w:rPr>
      </w:pPr>
      <w:r>
        <w:rPr>
          <w:rFonts w:hint="default"/>
          <w:sz w:val="24"/>
          <w:szCs w:val="24"/>
        </w:rPr>
        <w:t>【裁判要旨】</w:t>
      </w:r>
    </w:p>
    <w:p w14:paraId="71A25BDD">
      <w:pPr>
        <w:spacing w:line="360" w:lineRule="auto"/>
        <w:ind w:firstLine="420" w:firstLineChars="0"/>
        <w:jc w:val="both"/>
        <w:rPr>
          <w:rFonts w:hint="default"/>
          <w:sz w:val="24"/>
          <w:szCs w:val="24"/>
        </w:rPr>
      </w:pPr>
      <w:r>
        <w:rPr>
          <w:rFonts w:hint="default"/>
          <w:sz w:val="24"/>
          <w:szCs w:val="24"/>
        </w:rPr>
        <w:t>国际体育仲裁院（CAS）作为国际奥委会下属专门为解决体育纠纷而设立的国际性仲裁机构，根据其仲裁规则第28条规定，“CAS所在地和每个仲裁庭的仲裁地是瑞士洛桑”，故其仲裁裁决在法律意义上的作出地为瑞士洛桑。同时国际体育仲裁院所作裁决涉及教练员与俱乐部之间的职业合同纠纷的，经审查后如认为仲裁裁决所处理的争议系因平等主体之间订立的契约关系所引起经济上的权利义务纠纷，排除因内部管理、处罚等行为引发纠纷的，应视为裁决事项符合我国加入《承认及执行外国仲裁裁决公约》所作的商事保留声明，予以承认和执行。</w:t>
      </w:r>
    </w:p>
    <w:p w14:paraId="0259C2AB">
      <w:pPr>
        <w:spacing w:line="360" w:lineRule="auto"/>
        <w:jc w:val="both"/>
        <w:rPr>
          <w:rFonts w:hint="default"/>
          <w:sz w:val="24"/>
          <w:szCs w:val="24"/>
        </w:rPr>
      </w:pPr>
      <w:r>
        <w:rPr>
          <w:rFonts w:hint="default"/>
          <w:sz w:val="24"/>
          <w:szCs w:val="24"/>
        </w:rPr>
        <w:t>【基本案情】</w:t>
      </w:r>
    </w:p>
    <w:p w14:paraId="52ACCB63">
      <w:pPr>
        <w:spacing w:line="360" w:lineRule="auto"/>
        <w:ind w:firstLine="420" w:firstLineChars="0"/>
        <w:jc w:val="both"/>
        <w:rPr>
          <w:rFonts w:hint="default"/>
          <w:sz w:val="24"/>
          <w:szCs w:val="24"/>
        </w:rPr>
      </w:pPr>
      <w:r>
        <w:rPr>
          <w:rFonts w:hint="default"/>
          <w:sz w:val="24"/>
          <w:szCs w:val="24"/>
        </w:rPr>
        <w:t>文某申请请求：一、认可国际体育仲裁院CAS 2019/A/6490号裁决书；二、远某公司向文某支付1875250元人民币；三、远某公司向文某支付上述款项自2018年5月3日起至实际支付之日止，按照年利率5%计算的利息；四、远某公司承担本案执行费。事实和理由：当事人间因涉及“一线队主教练”服务雇佣合同纠纷一案，国际足联球员身份委员会已于2019年6月19日作出18-00924/ssp号裁决。2019年9月24日，远某公司向国际体育仲裁院提出上诉。目前该纠纷已经由国际体育仲裁院于2021年2月22日作出CAS 2019/A/6490号裁决，该裁决支持了国际足联球员身份委员会于2019年6月19日作出18-00924/ssp号裁决中的内容。现远某公司不遵照裁决履行相关义务，文某依据《承认及执行外国仲裁裁决公约》（以下简称《纽约公约》）请求人民法院认可CAS 2019/A/6490号裁决并对该裁决内容强制执行。</w:t>
      </w:r>
    </w:p>
    <w:p w14:paraId="10700028">
      <w:pPr>
        <w:spacing w:line="360" w:lineRule="auto"/>
        <w:ind w:firstLine="420" w:firstLineChars="0"/>
        <w:jc w:val="both"/>
        <w:rPr>
          <w:rFonts w:hint="default"/>
          <w:sz w:val="24"/>
          <w:szCs w:val="24"/>
        </w:rPr>
      </w:pPr>
      <w:r>
        <w:rPr>
          <w:rFonts w:hint="default"/>
          <w:sz w:val="24"/>
          <w:szCs w:val="24"/>
        </w:rPr>
        <w:t>远某公司辩称，一、泰兴市人民法院于2022年4月26日受理了远某公司破产清算案件，并在2022年5月10日指定江苏联盛律师事务所作为远某公司管理人。管理人接受指定后，于2022年5月13日在全国企业破产案件信息网进行公告。后泰兴市人民法院宣告远某公司破产，管理人根据法院相关裁定于2023年4月14日办理了远某公司的注销登记手续，远某公司的主体自注销之日消灭。二、在确定远某公司主体时文某提供了企业信用公示报告，显示查询时间是2023年2月17日，在该信息报告中明确列明破产信息，因此，文某无论是在破产程序中还是在向法院递交申请书之时，都完全有理由或者有时间向远某公司了解相关破产情况，但文某从未与远某公司或者管理人取得联系。三、对于文某所申请承认和执行的裁决书，远某公司从未向管理人提供过任何信息。根据国内的司法实践，管理人也没有查询获悉的渠道，因此对于本案认可与执行程序中应当赋予远某公司的程序抗辩权，管理人无法行使。</w:t>
      </w:r>
    </w:p>
    <w:p w14:paraId="73485FB6">
      <w:pPr>
        <w:spacing w:line="360" w:lineRule="auto"/>
        <w:ind w:firstLine="420" w:firstLineChars="0"/>
        <w:jc w:val="both"/>
        <w:rPr>
          <w:rFonts w:hint="default"/>
          <w:sz w:val="24"/>
          <w:szCs w:val="24"/>
        </w:rPr>
      </w:pPr>
      <w:r>
        <w:rPr>
          <w:rFonts w:hint="default"/>
          <w:sz w:val="24"/>
          <w:szCs w:val="24"/>
        </w:rPr>
        <w:t>法院经审查查明：2017年8月8日，文某与远某公司签订《主教练职业工作合同》，双方约定远某公司雇佣文某为一线队主教练。合同同时就文某工作职责、生活工作条件和健康保护、肖像权使用、工资奖金、福利待遇、应遵守的纪律和义务以及合同解除等条款进行约定。合同最后约定，若双方之间的争议未能通过协商解决时，双方声明放弃向任一国国内法院起诉的权利，同意国际足联为具有管辖权的机构，并同意位于瑞士的国际体育仲裁院为最终上诉机构并同意将国际体育仲裁院上海听证中心作为听证举行地。</w:t>
      </w:r>
    </w:p>
    <w:p w14:paraId="2EF8685D">
      <w:pPr>
        <w:spacing w:line="360" w:lineRule="auto"/>
        <w:ind w:firstLine="420" w:firstLineChars="0"/>
        <w:jc w:val="both"/>
        <w:rPr>
          <w:rFonts w:hint="default"/>
          <w:sz w:val="24"/>
          <w:szCs w:val="24"/>
        </w:rPr>
      </w:pPr>
      <w:r>
        <w:rPr>
          <w:rFonts w:hint="default"/>
          <w:sz w:val="24"/>
          <w:szCs w:val="24"/>
        </w:rPr>
        <w:t>后双方因合同履行产生争议，文某诉诸权利于国际足联球员身份委员会，该委员会独任审判员裁决：一、文某之请求被部分支持；二、远某公司之反请求被驳回；三、远某公司须于裁决送达之日起30日内，向文某支付违约赔偿金人民币1885000元并外加自2018年5月3日起至有效付款日期的5%年利率之利息；四、其他文某之请求均被驳回。该委员会同时裁决：双方应在通知裁决送达之日起30日内支付25000瑞士法郎的最终诉讼费用，具体如下：一、5000瑞士法郎的金额必须由文某直接支付给国际足联。考虑到文某在本诉讼开始时已经支付了5000瑞士法郎的预付款，文某免于支付上述金额作为诉讼费用。二、20000瑞士法郎之金额必须由远某公司直接支付给国际足联。考虑到远某公司在提出反诉时已经支付了5000瑞士法郎作为预付款，远某公司必须参照案件编号18-00924/ssp向国际足联支付剩余的15000瑞士法郎到相关银行账户。该裁决书同时载明可向国际体育仲裁院（CAS）提出上诉并附《国际体育仲裁院关于上诉程序之指引》。</w:t>
      </w:r>
    </w:p>
    <w:p w14:paraId="1FF9DC37">
      <w:pPr>
        <w:spacing w:line="360" w:lineRule="auto"/>
        <w:jc w:val="both"/>
        <w:rPr>
          <w:rFonts w:hint="default"/>
          <w:sz w:val="24"/>
          <w:szCs w:val="24"/>
        </w:rPr>
      </w:pPr>
      <w:r>
        <w:rPr>
          <w:rFonts w:hint="default"/>
          <w:sz w:val="24"/>
          <w:szCs w:val="24"/>
        </w:rPr>
        <w:t>远某公司不服该裁决，向国际体育仲裁院提出上诉。国际体育仲裁院作出CAS 2019/A/6490号仲裁裁决：“一、部分支持远某公司于2019年9月24日针对国际足联球员身份委员会独任审判员于2019年6月19日做出的裁决提起的上诉。二、特此确认国际足联球员身份委员会独任审判员2019年6月19日做出的裁决，但执行部分第3款除外，该条款修改如下：‘3.泰州远某足球俱乐部必须在本决定通知之日起30天内向Vicente Girona Lzquierdo支付违约赔偿金，金额为人民币1875250元，外加自2018年5月3日起至有效付款日止每年5%的利息。’三、仲裁费用将由国际体育仲裁院办公室决定并将通知送达各方；该费用全部由泰州远某足球俱乐部承担。四、判令泰州远某足球俱乐部向Vicente Girona Lzquierdo支付4000瑞士法郎，并向国际足联支付1000瑞士法郎，作为与这些仲裁程序相关的费用的赔偿金额;五、驳回所有其他要求救济的动议或诉讼请求”。该裁决中载明仲裁地点为瑞士洛桑。</w:t>
      </w:r>
    </w:p>
    <w:p w14:paraId="18B676AA">
      <w:pPr>
        <w:spacing w:line="360" w:lineRule="auto"/>
        <w:jc w:val="both"/>
        <w:rPr>
          <w:rFonts w:hint="default"/>
          <w:sz w:val="24"/>
          <w:szCs w:val="24"/>
        </w:rPr>
      </w:pPr>
      <w:r>
        <w:rPr>
          <w:rFonts w:hint="default"/>
          <w:sz w:val="24"/>
          <w:szCs w:val="24"/>
        </w:rPr>
        <w:t>【裁判结果】</w:t>
      </w:r>
    </w:p>
    <w:p w14:paraId="75F6B2DB">
      <w:pPr>
        <w:spacing w:line="360" w:lineRule="auto"/>
        <w:ind w:firstLine="420" w:firstLineChars="0"/>
        <w:jc w:val="both"/>
        <w:rPr>
          <w:rFonts w:hint="default"/>
          <w:sz w:val="24"/>
          <w:szCs w:val="24"/>
        </w:rPr>
      </w:pPr>
      <w:r>
        <w:rPr>
          <w:rFonts w:hint="default"/>
          <w:sz w:val="24"/>
          <w:szCs w:val="24"/>
        </w:rPr>
        <w:t>江苏省泰州市中级人民法院于2024年2月28日作出（2023）苏12协外认1号民事裁定：承认和执行国际体育仲裁院2021年2月22日作出的CAS 2019/A/6490号仲裁裁决。</w:t>
      </w:r>
    </w:p>
    <w:p w14:paraId="79BF9368">
      <w:pPr>
        <w:spacing w:line="360" w:lineRule="auto"/>
        <w:jc w:val="both"/>
        <w:rPr>
          <w:rFonts w:hint="default"/>
          <w:sz w:val="24"/>
          <w:szCs w:val="24"/>
        </w:rPr>
      </w:pPr>
      <w:r>
        <w:rPr>
          <w:rFonts w:hint="default"/>
          <w:sz w:val="24"/>
          <w:szCs w:val="24"/>
        </w:rPr>
        <w:t>【裁判理由】</w:t>
      </w:r>
    </w:p>
    <w:p w14:paraId="442E64AB">
      <w:pPr>
        <w:spacing w:line="360" w:lineRule="auto"/>
        <w:jc w:val="both"/>
        <w:rPr>
          <w:rFonts w:hint="default"/>
          <w:sz w:val="24"/>
          <w:szCs w:val="24"/>
        </w:rPr>
      </w:pPr>
      <w:r>
        <w:rPr>
          <w:rFonts w:hint="default"/>
          <w:sz w:val="24"/>
          <w:szCs w:val="24"/>
        </w:rPr>
        <w:t>法院生效裁定认为：</w:t>
      </w:r>
    </w:p>
    <w:p w14:paraId="457B50EC">
      <w:pPr>
        <w:spacing w:line="360" w:lineRule="auto"/>
        <w:ind w:firstLine="420" w:firstLineChars="0"/>
        <w:jc w:val="both"/>
        <w:rPr>
          <w:rFonts w:hint="default"/>
          <w:sz w:val="24"/>
          <w:szCs w:val="24"/>
        </w:rPr>
      </w:pPr>
      <w:r>
        <w:rPr>
          <w:rFonts w:hint="default"/>
          <w:sz w:val="24"/>
          <w:szCs w:val="24"/>
        </w:rPr>
        <w:t>根据《中华人民共和国民事诉讼法》第三百零四条规定，在中华人民共和国领域外作出的发生法律效力的仲裁裁决，需要人民法院承认和执行的，当事人可以直接向被执行人住所地或者其财产所在地的中级人民法院申请。本案中文某与远某公司订立的《主教练职业工作合同》中约定将国际体育仲裁院作为最终上诉机构。根据国际体育仲裁院CAS 2019/A/6490号仲裁裁决内容显示，案涉仲裁裁决在瑞士作出。中国与瑞士均系《纽约公约》的缔约国，根据该公约规定，在缔约国作出的仲裁裁决的一方当事人可以向我国法院提出承认和执行缔约国仲裁裁决的申请。</w:t>
      </w:r>
    </w:p>
    <w:p w14:paraId="375C97CF">
      <w:pPr>
        <w:spacing w:line="360" w:lineRule="auto"/>
        <w:ind w:firstLine="420" w:firstLineChars="0"/>
        <w:jc w:val="both"/>
        <w:rPr>
          <w:rFonts w:hint="default"/>
          <w:sz w:val="24"/>
          <w:szCs w:val="24"/>
        </w:rPr>
      </w:pPr>
      <w:r>
        <w:rPr>
          <w:rFonts w:hint="default"/>
          <w:sz w:val="24"/>
          <w:szCs w:val="24"/>
        </w:rPr>
        <w:t>同时根据我国加入该公约时所作的互惠保留声明和商事保留声明,我国对在另一缔约国领土内作出的仲裁裁决的承认和执行适用该公约,且仅对按照我国法律属于契约性和非契约性商事法律关系(指由于合同、侵权或者根据有关法律规定而产生的经济上的权利义务关系)所引起的争议适用该公约。根据案涉《主教练职业工作合同》相关条款约定，文某可以自行任命三名助理教练，远某公司据此再与助理教练签订合同。关于生活条件方面，远某公司需事先向文某提供多个公寓供其选择入住。同时合同约定如俱乐部有偿使用文某肖像权进行其他商业广告开发时，文某有权从收益中获得50%分成。因此，纵观合同整体内容，双方虽在合同中约定了工作内容、工资和奖金标准、福利待遇以及应遵守的纪律等条款，但同时赋予了文某较大的自主权，亦体现出一定的共同合作共享收益的意思表示，案涉合同有别于单一的、从属性较强的劳动合同，更多地体现为包含有提供劳务、支付报酬、合作收益等多种合同关系的综合性商事合同。案涉合同应视为平等主体之间的契约关系，属于我国加入《纽约公约》时保留声明中的商事法律关系，且案涉争议也并非基于俱乐部与教练员之间因纪律处分、处罚等内部管理行为产生。故本院在对上述仲裁裁决进行审查时应适用《纽约公约》。</w:t>
      </w:r>
    </w:p>
    <w:p w14:paraId="613C61CE">
      <w:pPr>
        <w:spacing w:line="360" w:lineRule="auto"/>
        <w:ind w:firstLine="420" w:firstLineChars="0"/>
        <w:jc w:val="both"/>
        <w:rPr>
          <w:rFonts w:hint="default"/>
          <w:sz w:val="24"/>
          <w:szCs w:val="24"/>
        </w:rPr>
      </w:pPr>
      <w:r>
        <w:rPr>
          <w:rFonts w:hint="default"/>
          <w:sz w:val="24"/>
          <w:szCs w:val="24"/>
        </w:rPr>
        <w:t>本案中，远某公司并未提出案涉仲裁裁决存在诸如仲裁协议无效、裁决事项超出仲裁范围、仲裁程序不当等依照《纽约公约》第五条规定可拒绝承认和执行仲裁裁决的情形。同时如前所述，文某与远某公司系基于平等主体关系而达成的契约，就此类纠纷当事人有权选择以仲裁方式解决争议，据此作出的裁决并非依据我国法律属于不可裁决之事项。另外承认或执行该裁决也并不违反我国公共政策，故本案不存在《纽约公约》第五条规定的拒绝承认和执行仲裁裁决的情形。</w:t>
      </w:r>
    </w:p>
    <w:p w14:paraId="28943A9C">
      <w:pPr>
        <w:spacing w:line="360" w:lineRule="auto"/>
        <w:jc w:val="both"/>
        <w:rPr>
          <w:rFonts w:hint="default"/>
          <w:sz w:val="24"/>
          <w:szCs w:val="24"/>
        </w:rPr>
      </w:pPr>
      <w:r>
        <w:rPr>
          <w:rFonts w:hint="default"/>
          <w:sz w:val="24"/>
          <w:szCs w:val="24"/>
        </w:rPr>
        <w:t>综上，文某关于承认和执行国际体育仲裁院2021年2月22日作出的CAS 2019/A/6490号裁决书的申请,不存在《纽约公约》规定的拒绝承认和执行的情形,该申请也符合我国相关法律的规定。</w:t>
      </w:r>
    </w:p>
    <w:p w14:paraId="6F503F30">
      <w:pPr>
        <w:spacing w:line="360" w:lineRule="auto"/>
        <w:jc w:val="both"/>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A155EB"/>
    <w:rsid w:val="14A15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2026-09-14T14:55:00Z</dcterms:created>
  <dc:creator>赵瞳心</dc:creator>
  <cp:lastModifiedBy>赵瞳心</cp:lastModifiedBy>
  <dcterms:modified xsi:type="dcterms:W3CDTF">2026-09-14T14:59:02Z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55AFFEE60EDE4E07A1CB875C0B844650_11</vt:lpwstr>
  </property>
  <property fmtid="{D5CDD505-2E9C-101B-9397-08002B2CF9AE}" pid="4" name="KSOTemplateDocerSaveRecord">
    <vt:lpwstr>eyJoZGlkIjoiZGJhMzcwODg3MjZhYjIwNGI3NDk0MjM3NjczM2EyN2EiLCJ1c2VySWQiOiIxNjUxODA1MzQ5In0=</vt:lpwstr>
  </property>
</Properties>
</file>