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BEC88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>Shanghai Liyu Optoelectronics Co., Ltd. v. Brite Lite Tribe, LLC</w:t>
      </w:r>
    </w:p>
    <w:p w14:paraId="592F71E6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1. 选案清单与研究范围说明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E3D946">
        <w:tc>
          <w:tcPr>
            <w:tcW w:w="4320" w:type="dxa"/>
          </w:tcPr>
          <w:p w14:paraId="2BFBB924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案名/案号</w:t>
            </w:r>
          </w:p>
        </w:tc>
        <w:tc>
          <w:tcPr>
            <w:tcW w:w="4320" w:type="dxa"/>
          </w:tcPr>
          <w:p w14:paraId="16DC88D7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Shanghai Liyu Optoelectronics Co., Ltd. v. Brite Lite Tribe, LLC；Case No. 24-CV-80690-RLR</w:t>
            </w:r>
          </w:p>
        </w:tc>
      </w:tr>
      <w:tr w14:paraId="6F5E45E3">
        <w:tc>
          <w:tcPr>
            <w:tcW w:w="4320" w:type="dxa"/>
          </w:tcPr>
          <w:p w14:paraId="0CB47F4B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法院/裁判日期</w:t>
            </w:r>
          </w:p>
        </w:tc>
        <w:tc>
          <w:tcPr>
            <w:tcW w:w="4320" w:type="dxa"/>
          </w:tcPr>
          <w:p w14:paraId="7E03ECF7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United States District Court, Southern District of Florida；2025-04-08</w:t>
            </w:r>
          </w:p>
        </w:tc>
      </w:tr>
      <w:tr w14:paraId="00359AA9">
        <w:tc>
          <w:tcPr>
            <w:tcW w:w="4320" w:type="dxa"/>
          </w:tcPr>
          <w:p w14:paraId="32731506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所属专题</w:t>
            </w:r>
          </w:p>
        </w:tc>
        <w:tc>
          <w:tcPr>
            <w:tcW w:w="4320" w:type="dxa"/>
          </w:tcPr>
          <w:p w14:paraId="1CEE17DC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通知与陈述机会｜注册地址、实际迁址与多渠道送达</w:t>
            </w:r>
          </w:p>
        </w:tc>
      </w:tr>
      <w:tr w14:paraId="554764B0">
        <w:tc>
          <w:tcPr>
            <w:tcW w:w="4320" w:type="dxa"/>
          </w:tcPr>
          <w:p w14:paraId="0E32F516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核心争点</w:t>
            </w:r>
          </w:p>
        </w:tc>
        <w:tc>
          <w:tcPr>
            <w:tcW w:w="4320" w:type="dxa"/>
          </w:tcPr>
          <w:p w14:paraId="40B83E75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申请人向公司登记地址通过DHL等送达仲裁材料，而被申请人称申请人已实际知悉其迁址时，是否仍构成V(1)(b)项下适当通知。</w:t>
            </w:r>
          </w:p>
        </w:tc>
      </w:tr>
      <w:tr w14:paraId="6C31C1C0">
        <w:tc>
          <w:tcPr>
            <w:tcW w:w="4320" w:type="dxa"/>
          </w:tcPr>
          <w:p w14:paraId="46F0930C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纳入理由</w:t>
            </w:r>
          </w:p>
        </w:tc>
        <w:tc>
          <w:tcPr>
            <w:tcW w:w="4320" w:type="dxa"/>
          </w:tcPr>
          <w:p w14:paraId="723B08B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直接处理或实质讨论《纽约公约》第V(1)(b)条的通知/陈述机会问题，并具有中国主体、在中国作出的裁决或中国仲裁程序关联。</w:t>
            </w:r>
          </w:p>
        </w:tc>
      </w:tr>
      <w:tr w14:paraId="34CC195F">
        <w:tc>
          <w:tcPr>
            <w:tcW w:w="4320" w:type="dxa"/>
          </w:tcPr>
          <w:p w14:paraId="301B204F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材料取得情况</w:t>
            </w:r>
          </w:p>
        </w:tc>
        <w:tc>
          <w:tcPr>
            <w:tcW w:w="4320" w:type="dxa"/>
          </w:tcPr>
          <w:p w14:paraId="51F8952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已取得：当前样本裁判全文/Westlaw导出PDF（Shanghai Liyu Optoelectronics Co Ltd v Brite Lite Tribe LLC-2.pdf，PDF pp.1–6）。其他案卷附件、仲裁通知原件或同案其他审级文书：按本包“缺口”逐项标记。</w:t>
            </w:r>
          </w:p>
        </w:tc>
      </w:tr>
    </w:tbl>
    <w:p w14:paraId="6A89F3DE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本批支持的研究问题：①程序事件如何编码为通知、语言、地址、送达、听证、证据开示、仲裁庭组成与陈述机会等子要素；②V(1)(b)如何连接论坛正当程序标准；③何种证据足以支持“通知充分/不足”或“无法陈述”；④材料缺口如何影响模拟法庭中的论证与未知项保留。</w:t>
      </w:r>
    </w:p>
    <w:p w14:paraId="4806984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版本标记：</w:t>
      </w:r>
      <w:r>
        <w:rPr>
          <w:rFonts w:hint="eastAsia" w:ascii="Hiragino Sans GB W3" w:hAnsi="Hiragino Sans GB W3" w:eastAsia="Hiragino Sans GB W3" w:cs="Hiragino Sans GB W3"/>
          <w:lang w:val="en-US" w:eastAsia="zh-CN"/>
        </w:rPr>
        <w:t>本案例文件</w:t>
      </w:r>
      <w:r>
        <w:rPr>
          <w:rFonts w:hint="eastAsia" w:ascii="Hiragino Sans GB W3" w:hAnsi="Hiragino Sans GB W3" w:eastAsia="Hiragino Sans GB W3" w:cs="Hiragino Sans GB W3"/>
        </w:rPr>
        <w:t>首页显示“Amended by … July 25, 2025”；本</w:t>
      </w:r>
      <w:r>
        <w:rPr>
          <w:rFonts w:hint="eastAsia" w:ascii="Hiragino Sans GB W3" w:hAnsi="Hiragino Sans GB W3" w:eastAsia="Hiragino Sans GB W3" w:cs="Hiragino Sans GB W3"/>
          <w:lang w:val="en-US" w:eastAsia="zh-CN"/>
        </w:rPr>
        <w:t>材料</w:t>
      </w:r>
      <w:r>
        <w:rPr>
          <w:rFonts w:hint="eastAsia" w:ascii="Hiragino Sans GB W3" w:hAnsi="Hiragino Sans GB W3" w:eastAsia="Hiragino Sans GB W3" w:cs="Hiragino Sans GB W3"/>
        </w:rPr>
        <w:t>不把修正文书推定为已核读，列为待补材料。</w:t>
      </w:r>
    </w:p>
    <w:p w14:paraId="5EECA79F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3. 法源原文与专题规则卡</w:t>
      </w:r>
    </w:p>
    <w:p w14:paraId="375A4791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共用法源索引</w:t>
      </w:r>
      <w:bookmarkStart w:id="0" w:name="_GoBack"/>
      <w:bookmarkEnd w:id="0"/>
      <w:r>
        <w:rPr>
          <w:rFonts w:hint="eastAsia" w:ascii="Hiragino Sans GB W3" w:hAnsi="Hiragino Sans GB W3" w:eastAsia="Hiragino Sans GB W3" w:cs="Hiragino Sans GB W3"/>
        </w:rPr>
        <w:t>：</w:t>
      </w:r>
    </w:p>
    <w:p w14:paraId="7DD64DC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纽约公约（UNCITRAL官方）：https://uncitral.un.org/en/texts/arbitration/conventions/foreign_arbitral_awards</w:t>
      </w:r>
    </w:p>
    <w:p w14:paraId="3669266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美国法典9 U.S.C. Chapter 2：</w:t>
      </w:r>
    </w:p>
    <w:p w14:paraId="145EBF04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https://law.justia.com/codes/us/title-9/chapter-2/</w:t>
      </w:r>
    </w:p>
    <w:p w14:paraId="11B8485F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9 U.S.C. §207：</w:t>
      </w:r>
    </w:p>
    <w:p w14:paraId="4C22C83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https://law.justia.com/codes/us/title-9/chapter-2/sec-207/</w:t>
      </w:r>
    </w:p>
    <w:p w14:paraId="16E5DCB5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联邦民事诉讼规则：</w:t>
      </w:r>
    </w:p>
    <w:p w14:paraId="70987E50">
      <w:pPr>
        <w:rPr>
          <w:rFonts w:hint="eastAsia" w:ascii="Hiragino Sans GB W3" w:hAnsi="Hiragino Sans GB W3" w:eastAsia="Hiragino Sans GB W3" w:cs="Hiragino Sans GB W3"/>
          <w:lang w:val="en-US" w:eastAsia="zh-CN"/>
        </w:rPr>
      </w:pPr>
      <w:r>
        <w:rPr>
          <w:rFonts w:hint="eastAsia" w:ascii="Hiragino Sans GB W3" w:hAnsi="Hiragino Sans GB W3" w:eastAsia="Hiragino Sans GB W3" w:cs="Hiragino Sans GB W3"/>
        </w:rPr>
        <w:fldChar w:fldCharType="begin"/>
      </w:r>
      <w:r>
        <w:rPr>
          <w:rFonts w:hint="eastAsia" w:ascii="Hiragino Sans GB W3" w:hAnsi="Hiragino Sans GB W3" w:eastAsia="Hiragino Sans GB W3" w:cs="Hiragino Sans GB W3"/>
        </w:rPr>
        <w:instrText xml:space="preserve"> HYPERLINK "https://www.wipo.int/wipolex/zh/legislation/details/23152" </w:instrText>
      </w:r>
      <w:r>
        <w:rPr>
          <w:rFonts w:hint="eastAsia" w:ascii="Hiragino Sans GB W3" w:hAnsi="Hiragino Sans GB W3" w:eastAsia="Hiragino Sans GB W3" w:cs="Hiragino Sans GB W3"/>
        </w:rPr>
        <w:fldChar w:fldCharType="separate"/>
      </w:r>
      <w:r>
        <w:rPr>
          <w:rFonts w:hint="eastAsia" w:ascii="Hiragino Sans GB W3" w:hAnsi="Hiragino Sans GB W3" w:eastAsia="Hiragino Sans GB W3" w:cs="Hiragino Sans GB W3"/>
        </w:rPr>
        <w:t>https://www.wipo.int/wipolex/zh/legislation/details/23152</w:t>
      </w:r>
      <w:r>
        <w:rPr>
          <w:rFonts w:hint="eastAsia" w:ascii="Hiragino Sans GB W3" w:hAnsi="Hiragino Sans GB W3" w:eastAsia="Hiragino Sans GB W3" w:cs="Hiragino Sans GB W3"/>
        </w:rPr>
        <w:fldChar w:fldCharType="end"/>
      </w:r>
    </w:p>
    <w:p w14:paraId="1CFB57BC">
      <w:pPr>
        <w:pStyle w:val="4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规则卡：纽约公约第V(1)(b)｜通知与陈述机会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A70383">
        <w:tc>
          <w:tcPr>
            <w:tcW w:w="4320" w:type="dxa"/>
          </w:tcPr>
          <w:p w14:paraId="5B01D28E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原文核心</w:t>
            </w:r>
          </w:p>
        </w:tc>
        <w:tc>
          <w:tcPr>
            <w:tcW w:w="4320" w:type="dxa"/>
          </w:tcPr>
          <w:p w14:paraId="521A7518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The party … was not given proper notice of the appointment of the arbitrator or of the arbitration proceedings or was otherwise unable to present his case.</w:t>
            </w:r>
          </w:p>
        </w:tc>
      </w:tr>
      <w:tr w14:paraId="5413DC25">
        <w:tc>
          <w:tcPr>
            <w:tcW w:w="4320" w:type="dxa"/>
          </w:tcPr>
          <w:p w14:paraId="3EA80386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适用条件</w:t>
            </w:r>
          </w:p>
        </w:tc>
        <w:tc>
          <w:tcPr>
            <w:tcW w:w="4320" w:type="dxa"/>
          </w:tcPr>
          <w:p w14:paraId="6813B1CA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执行/承认程序中，由抗辩方证明未获适当通知，或因程序安排无法陈述案件。</w:t>
            </w:r>
          </w:p>
        </w:tc>
      </w:tr>
      <w:tr w14:paraId="32E75BFE">
        <w:tc>
          <w:tcPr>
            <w:tcW w:w="4320" w:type="dxa"/>
          </w:tcPr>
          <w:p w14:paraId="591FD842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本批共同解释</w:t>
            </w:r>
          </w:p>
        </w:tc>
        <w:tc>
          <w:tcPr>
            <w:tcW w:w="4320" w:type="dxa"/>
          </w:tcPr>
          <w:p w14:paraId="2D1C91C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美国法院样本普遍以论坛正当程序为参照，关注通知是否在全部情形下“reasonably calculated”使当事人知悉程序并有机会提出意见。</w:t>
            </w:r>
          </w:p>
        </w:tc>
      </w:tr>
      <w:tr w14:paraId="034D088F">
        <w:tc>
          <w:tcPr>
            <w:tcW w:w="4320" w:type="dxa"/>
          </w:tcPr>
          <w:p w14:paraId="6AA6D395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通知子要素</w:t>
            </w:r>
          </w:p>
        </w:tc>
        <w:tc>
          <w:tcPr>
            <w:tcW w:w="4320" w:type="dxa"/>
          </w:tcPr>
          <w:p w14:paraId="493C0286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语言可理解性；文件是否足以识别案件；地址选择与退件后补救；送达证据；实际知悉与事后行为。</w:t>
            </w:r>
          </w:p>
        </w:tc>
      </w:tr>
      <w:tr w14:paraId="40D57A96">
        <w:tc>
          <w:tcPr>
            <w:tcW w:w="4320" w:type="dxa"/>
          </w:tcPr>
          <w:p w14:paraId="0ED898F6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陈述机会子要素</w:t>
            </w:r>
          </w:p>
        </w:tc>
        <w:tc>
          <w:tcPr>
            <w:tcW w:w="4320" w:type="dxa"/>
          </w:tcPr>
          <w:p w14:paraId="633AD120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提交材料机会；证据开示；口头/证据听证；仲裁庭组成参与；程序是否依当事人约定。</w:t>
            </w:r>
          </w:p>
        </w:tc>
      </w:tr>
      <w:tr w14:paraId="4048D805">
        <w:tc>
          <w:tcPr>
            <w:tcW w:w="4320" w:type="dxa"/>
          </w:tcPr>
          <w:p w14:paraId="1D6E2D51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例外/边界</w:t>
            </w:r>
          </w:p>
        </w:tc>
        <w:tc>
          <w:tcPr>
            <w:tcW w:w="4320" w:type="dxa"/>
          </w:tcPr>
          <w:p w14:paraId="6746C419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“未实际收到”“未出庭”不当然等于V(1)(b)成立；反之，形式寄送也不当然充分。必须结合程序整体与具体不利后果。</w:t>
            </w:r>
          </w:p>
        </w:tc>
      </w:tr>
      <w:tr w14:paraId="10741F16">
        <w:tc>
          <w:tcPr>
            <w:tcW w:w="4320" w:type="dxa"/>
          </w:tcPr>
          <w:p w14:paraId="426FED6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法律后果</w:t>
            </w:r>
          </w:p>
        </w:tc>
        <w:tc>
          <w:tcPr>
            <w:tcW w:w="4320" w:type="dxa"/>
          </w:tcPr>
          <w:p w14:paraId="79D563DB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抗辩成立时，可作为拒绝承认或执行的依据；不应将程序性裁定或临时措施误记为最终承认结果。</w:t>
            </w:r>
          </w:p>
        </w:tc>
      </w:tr>
      <w:tr w14:paraId="705AC806">
        <w:tc>
          <w:tcPr>
            <w:tcW w:w="4320" w:type="dxa"/>
          </w:tcPr>
          <w:p w14:paraId="7CCB40DE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关联案件</w:t>
            </w:r>
          </w:p>
        </w:tc>
        <w:tc>
          <w:tcPr>
            <w:tcW w:w="4320" w:type="dxa"/>
          </w:tcPr>
          <w:p w14:paraId="3C28B7F1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Shanghai Liyu Optoelectronics Co., Ltd. v. Brite Lite Tribe, LLC</w:t>
            </w:r>
          </w:p>
        </w:tc>
      </w:tr>
    </w:tbl>
    <w:p w14:paraId="7C4FA111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4. 核心争点双方论证与反驳参照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34AEEC">
        <w:tc>
          <w:tcPr>
            <w:tcW w:w="4320" w:type="dxa"/>
          </w:tcPr>
          <w:p w14:paraId="38B6349B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申请方真实程序主张</w:t>
            </w:r>
          </w:p>
        </w:tc>
        <w:tc>
          <w:tcPr>
            <w:tcW w:w="4320" w:type="dxa"/>
          </w:tcPr>
          <w:p w14:paraId="1DF99D0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仅依据样本文书披露：Liyu主张通过登记地址DHL送达等方式已给予适当通知，并提交运单和追踪资料。</w:t>
            </w:r>
          </w:p>
        </w:tc>
      </w:tr>
      <w:tr w14:paraId="59DD2608">
        <w:tc>
          <w:tcPr>
            <w:tcW w:w="4320" w:type="dxa"/>
          </w:tcPr>
          <w:p w14:paraId="30903E5B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反对方真实程序主张</w:t>
            </w:r>
          </w:p>
        </w:tc>
        <w:tc>
          <w:tcPr>
            <w:tcW w:w="4320" w:type="dxa"/>
          </w:tcPr>
          <w:p w14:paraId="60E498A6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仅依据样本文书披露：Brite Lite主张未收到仲裁通知，且Liyu实际知道其已迁址；另质疑签收人身份及主张应依邮件方式通知。</w:t>
            </w:r>
          </w:p>
        </w:tc>
      </w:tr>
      <w:tr w14:paraId="7D1B54F2">
        <w:tc>
          <w:tcPr>
            <w:tcW w:w="4320" w:type="dxa"/>
          </w:tcPr>
          <w:p w14:paraId="11660727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申请方可补充研究论证（非历史事实）</w:t>
            </w:r>
          </w:p>
        </w:tc>
        <w:tc>
          <w:tcPr>
            <w:tcW w:w="4320" w:type="dxa"/>
          </w:tcPr>
          <w:p w14:paraId="5DD9E4C5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强调V(1)(b)的整体程序审查、抗辩方举证负担、可替代送达或书面程序的合理性，以及需证明具体不利后果。</w:t>
            </w:r>
          </w:p>
        </w:tc>
      </w:tr>
      <w:tr w14:paraId="651CDFEA">
        <w:tc>
          <w:tcPr>
            <w:tcW w:w="4320" w:type="dxa"/>
          </w:tcPr>
          <w:p w14:paraId="3993F2B2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反对方可补充研究论证（非历史事实）</w:t>
            </w:r>
          </w:p>
        </w:tc>
        <w:tc>
          <w:tcPr>
            <w:tcW w:w="4320" w:type="dxa"/>
          </w:tcPr>
          <w:p w14:paraId="50DBA8BC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逐一攻击通知的可识别性、语言可理解性、地址适当性或程序限制，并将具体程序缺陷与“无法有效陈述”之间建立因果链。</w:t>
            </w:r>
          </w:p>
        </w:tc>
      </w:tr>
      <w:tr w14:paraId="3F2AF26F">
        <w:tc>
          <w:tcPr>
            <w:tcW w:w="4320" w:type="dxa"/>
          </w:tcPr>
          <w:p w14:paraId="5EBD08D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可能反驳</w:t>
            </w:r>
          </w:p>
        </w:tc>
        <w:tc>
          <w:tcPr>
            <w:tcW w:w="4320" w:type="dxa"/>
          </w:tcPr>
          <w:p w14:paraId="71819642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仅指出形式瑕疵不足；须讨论全部情形与实际参与机会。若主张“实际知悉”，须提供时间、来源与后续行为证据，不能凭常识补写。</w:t>
            </w:r>
          </w:p>
        </w:tc>
      </w:tr>
      <w:tr w14:paraId="1E093917">
        <w:tc>
          <w:tcPr>
            <w:tcW w:w="4320" w:type="dxa"/>
          </w:tcPr>
          <w:p w14:paraId="4D4350CA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材料限制</w:t>
            </w:r>
          </w:p>
        </w:tc>
        <w:tc>
          <w:tcPr>
            <w:tcW w:w="4320" w:type="dxa"/>
          </w:tcPr>
          <w:p w14:paraId="5BB523CF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研究者补充论证不得倒灌为“当事人当时已提出”。样本文书未披露的仲裁通知原件、快递签收原件、完整庭审记录等均应保留未知。</w:t>
            </w:r>
          </w:p>
        </w:tc>
      </w:tr>
    </w:tbl>
    <w:p w14:paraId="01214015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lang w:eastAsia="zh-CN"/>
        </w:rPr>
        <w:t>——</w:t>
      </w:r>
      <w:r>
        <w:rPr>
          <w:rFonts w:hint="eastAsia" w:ascii="Hiragino Sans GB W3" w:hAnsi="Hiragino Sans GB W3" w:eastAsia="Hiragino Sans GB W3" w:cs="Hiragino Sans GB W3"/>
        </w:rPr>
        <w:t>缺口、来源登记与交叉复核</w:t>
      </w:r>
    </w:p>
    <w:p w14:paraId="55F1E417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S1｜已核读：当前样本裁判PDF。来源文件名：Shanghai Liyu Optoelectronics Co Ltd v Brite Lite Tribe LLC-2.pdf；页码：PDF1–6。</w:t>
      </w:r>
    </w:p>
    <w:p w14:paraId="63197BE1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L1｜待补：仲裁裁决全文、仲裁通知及送达/邮件/快递原件（影响对“通知事件”与证据链的精确编码）。</w:t>
      </w:r>
    </w:p>
    <w:p w14:paraId="14A95427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L2｜待补：同案其他审级或修正文书（如样本明确显示存在）。不得以现有结果替代未核读文书。</w:t>
      </w:r>
    </w:p>
    <w:p w14:paraId="63F8E43C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R1｜交叉复核方法：复核人独立核对案件身份、程序阶段、V(1)(b)争点、关键原文位置与结果；对分歧记录“原标签—更正标签—理由—证据位置”。</w:t>
      </w:r>
    </w:p>
    <w:p w14:paraId="15B51961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建议复核结论：待第二人独立复核（UV）。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F768F0"/>
    <w:rsid w:val="7BB9041D"/>
    <w:rsid w:val="DD77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林瓒</cp:lastModifiedBy>
  <dcterms:modified xsi:type="dcterms:W3CDTF">2026-09-14T18:29:06Z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F13EBD4492D4C1D352C7A76A7A0D3C7D_42</vt:lpwstr>
  </property>
</Properties>
</file>