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20EB2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Weihai Textile Group Import &amp; Export Co., Ltd. v. Eruption Holdings, Inc.</w:t>
      </w:r>
    </w:p>
    <w:p w14:paraId="74BB40E0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1. 选案清单与研究范围说明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DCF186">
        <w:tc>
          <w:tcPr>
            <w:tcW w:w="4320" w:type="dxa"/>
          </w:tcPr>
          <w:p w14:paraId="6087B92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案名/案号</w:t>
            </w:r>
          </w:p>
        </w:tc>
        <w:tc>
          <w:tcPr>
            <w:tcW w:w="4320" w:type="dxa"/>
          </w:tcPr>
          <w:p w14:paraId="724BD66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Weihai Textile Group Import &amp; Export Co., Ltd. v. Eruption Holdings, Inc.；Case No. 21-MC-147-SWS</w:t>
            </w:r>
          </w:p>
        </w:tc>
      </w:tr>
      <w:tr w14:paraId="18B6343B">
        <w:tc>
          <w:tcPr>
            <w:tcW w:w="4320" w:type="dxa"/>
          </w:tcPr>
          <w:p w14:paraId="45480BA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法院/裁判日期</w:t>
            </w:r>
          </w:p>
        </w:tc>
        <w:tc>
          <w:tcPr>
            <w:tcW w:w="4320" w:type="dxa"/>
          </w:tcPr>
          <w:p w14:paraId="3C60CCB5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United States District Court, District of Wyoming；2022-03-04</w:t>
            </w:r>
          </w:p>
        </w:tc>
      </w:tr>
      <w:tr w14:paraId="7DAC2BEA">
        <w:tc>
          <w:tcPr>
            <w:tcW w:w="4320" w:type="dxa"/>
          </w:tcPr>
          <w:p w14:paraId="2CF3A607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所属专题</w:t>
            </w:r>
          </w:p>
        </w:tc>
        <w:tc>
          <w:tcPr>
            <w:tcW w:w="4320" w:type="dxa"/>
          </w:tcPr>
          <w:p w14:paraId="187F2A5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通知与陈述机会｜未参加仲裁与证据冲突｜V(1)(a)/(b)并行抗辩</w:t>
            </w:r>
          </w:p>
        </w:tc>
      </w:tr>
      <w:tr w14:paraId="572BC224">
        <w:tc>
          <w:tcPr>
            <w:tcW w:w="4320" w:type="dxa"/>
          </w:tcPr>
          <w:p w14:paraId="0B716B5B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核心争点</w:t>
            </w:r>
          </w:p>
        </w:tc>
        <w:tc>
          <w:tcPr>
            <w:tcW w:w="4320" w:type="dxa"/>
          </w:tcPr>
          <w:p w14:paraId="331E1D2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在被申请人称从未收到仲裁通知、同时否认授权签约并主张第三人欺诈时，其V(1)(b)通知抗辩及其他公约抗辩是否得到证据支持。</w:t>
            </w:r>
          </w:p>
        </w:tc>
      </w:tr>
      <w:tr w14:paraId="6C64409D">
        <w:tc>
          <w:tcPr>
            <w:tcW w:w="4320" w:type="dxa"/>
          </w:tcPr>
          <w:p w14:paraId="38FB7F6C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纳入理由</w:t>
            </w:r>
          </w:p>
        </w:tc>
        <w:tc>
          <w:tcPr>
            <w:tcW w:w="4320" w:type="dxa"/>
          </w:tcPr>
          <w:p w14:paraId="257F8A6B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直接处理或实质讨论《纽约公约》第V(1)(b)条的通知/陈述机会问题，并具有中国主体、在中国作出的裁决或中国仲裁程序关联。</w:t>
            </w:r>
          </w:p>
        </w:tc>
      </w:tr>
      <w:tr w14:paraId="72975CF3">
        <w:tc>
          <w:tcPr>
            <w:tcW w:w="4320" w:type="dxa"/>
          </w:tcPr>
          <w:p w14:paraId="6AD1DF58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材料取得情况</w:t>
            </w:r>
          </w:p>
        </w:tc>
        <w:tc>
          <w:tcPr>
            <w:tcW w:w="4320" w:type="dxa"/>
          </w:tcPr>
          <w:p w14:paraId="1A42ABF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已取得：当前样本裁判全文/Westlaw导出PDF（Weihai Textile Group Import And Export Co Ltd v Eruption Holdings Inc.pdf，PDF pp.1–9）。其他案卷附件、仲裁通知原件或同案其他审级文书：按本包“缺口”逐项标记。</w:t>
            </w:r>
          </w:p>
        </w:tc>
      </w:tr>
    </w:tbl>
    <w:p w14:paraId="2F185906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本批支持的研究问题：①程序事件如何编码为通知、语言、地址、送达、听证、证据开示、仲裁庭组成与陈述机会等子要素；②V(1)(b)如何连接论坛正当程序标准；③何种证据足以支持“通知充分/不足”或“无法陈述”；④材料缺口如何影响模拟法庭中的论证与未知项保留。</w:t>
      </w:r>
    </w:p>
    <w:p w14:paraId="34ADA604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3. 法源原文与专题规则卡</w:t>
      </w:r>
    </w:p>
    <w:p w14:paraId="642F181B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共用法源索引：</w:t>
      </w:r>
    </w:p>
    <w:p w14:paraId="7DD64DC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纽约公约（UNCITRAL官方）：https://uncitral.un.org/en/texts/arbitration/conventions/foreign_arbitral_awards</w:t>
      </w:r>
    </w:p>
    <w:p w14:paraId="3669266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美国法典9 U.S.C. Chapter 2：</w:t>
      </w:r>
    </w:p>
    <w:p w14:paraId="145EBF04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https://law.justia.com/codes/us/title-9/chapter-2/</w:t>
      </w:r>
    </w:p>
    <w:p w14:paraId="11B8485F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9 U.S.C. §207：</w:t>
      </w:r>
    </w:p>
    <w:p w14:paraId="4C22C83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https://law.justia.com/codes/us/title-9/chapter-2/sec-207/</w:t>
      </w:r>
    </w:p>
    <w:p w14:paraId="16E5DCB5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联邦民事诉讼规则：</w:t>
      </w:r>
    </w:p>
    <w:p w14:paraId="70987E50">
      <w:pPr>
        <w:rPr>
          <w:rFonts w:hint="eastAsia" w:ascii="Hiragino Sans GB W3" w:hAnsi="Hiragino Sans GB W3" w:eastAsia="Hiragino Sans GB W3" w:cs="Hiragino Sans GB W3"/>
          <w:lang w:val="en-US" w:eastAsia="zh-CN"/>
        </w:rPr>
      </w:pPr>
      <w:r>
        <w:rPr>
          <w:rFonts w:hint="eastAsia" w:ascii="Hiragino Sans GB W3" w:hAnsi="Hiragino Sans GB W3" w:eastAsia="Hiragino Sans GB W3" w:cs="Hiragino Sans GB W3"/>
        </w:rPr>
        <w:fldChar w:fldCharType="begin"/>
      </w:r>
      <w:r>
        <w:rPr>
          <w:rFonts w:hint="eastAsia" w:ascii="Hiragino Sans GB W3" w:hAnsi="Hiragino Sans GB W3" w:eastAsia="Hiragino Sans GB W3" w:cs="Hiragino Sans GB W3"/>
        </w:rPr>
        <w:instrText xml:space="preserve"> HYPERLINK "https://www.wipo.int/wipolex/zh/legislation/details/23152" </w:instrText>
      </w:r>
      <w:r>
        <w:rPr>
          <w:rFonts w:hint="eastAsia" w:ascii="Hiragino Sans GB W3" w:hAnsi="Hiragino Sans GB W3" w:eastAsia="Hiragino Sans GB W3" w:cs="Hiragino Sans GB W3"/>
        </w:rPr>
        <w:fldChar w:fldCharType="separate"/>
      </w:r>
      <w:r>
        <w:rPr>
          <w:rFonts w:hint="eastAsia" w:ascii="Hiragino Sans GB W3" w:hAnsi="Hiragino Sans GB W3" w:eastAsia="Hiragino Sans GB W3" w:cs="Hiragino Sans GB W3"/>
        </w:rPr>
        <w:t>https://www.wipo.int/wipolex/zh/legislation/details/23152</w:t>
      </w:r>
      <w:r>
        <w:rPr>
          <w:rFonts w:hint="eastAsia" w:ascii="Hiragino Sans GB W3" w:hAnsi="Hiragino Sans GB W3" w:eastAsia="Hiragino Sans GB W3" w:cs="Hiragino Sans GB W3"/>
        </w:rPr>
        <w:fldChar w:fldCharType="end"/>
      </w:r>
    </w:p>
    <w:p w14:paraId="6EF2FA6D">
      <w:pPr>
        <w:pStyle w:val="4"/>
        <w:rPr>
          <w:rFonts w:hint="eastAsia" w:ascii="Hiragino Sans GB W3" w:hAnsi="Hiragino Sans GB W3" w:eastAsia="Hiragino Sans GB W3" w:cs="Hiragino Sans GB W3"/>
        </w:rPr>
      </w:pPr>
      <w:bookmarkStart w:id="0" w:name="_GoBack"/>
      <w:bookmarkEnd w:id="0"/>
      <w:r>
        <w:rPr>
          <w:rFonts w:hint="eastAsia" w:ascii="Hiragino Sans GB W3" w:hAnsi="Hiragino Sans GB W3" w:eastAsia="Hiragino Sans GB W3" w:cs="Hiragino Sans GB W3"/>
        </w:rPr>
        <w:t>规则卡：纽约公约第V(1)(b)｜通知与陈述机会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B6E368">
        <w:tc>
          <w:tcPr>
            <w:tcW w:w="4320" w:type="dxa"/>
          </w:tcPr>
          <w:p w14:paraId="012DA1E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原文核心</w:t>
            </w:r>
          </w:p>
        </w:tc>
        <w:tc>
          <w:tcPr>
            <w:tcW w:w="4320" w:type="dxa"/>
          </w:tcPr>
          <w:p w14:paraId="7777EBE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The party … was not given proper notice of the appointment of the arbitrator or of the arbitration proceedings or was otherwise unable to present his case.</w:t>
            </w:r>
          </w:p>
        </w:tc>
      </w:tr>
      <w:tr w14:paraId="082A5B4E">
        <w:tc>
          <w:tcPr>
            <w:tcW w:w="4320" w:type="dxa"/>
          </w:tcPr>
          <w:p w14:paraId="3B9E2E4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适用条件</w:t>
            </w:r>
          </w:p>
        </w:tc>
        <w:tc>
          <w:tcPr>
            <w:tcW w:w="4320" w:type="dxa"/>
          </w:tcPr>
          <w:p w14:paraId="17C81DAC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执行/承认程序中，由抗辩方证明未获适当通知，或因程序安排无法陈述案件。</w:t>
            </w:r>
          </w:p>
        </w:tc>
      </w:tr>
      <w:tr w14:paraId="122F0994">
        <w:tc>
          <w:tcPr>
            <w:tcW w:w="4320" w:type="dxa"/>
          </w:tcPr>
          <w:p w14:paraId="392B7EB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本批共同解释</w:t>
            </w:r>
          </w:p>
        </w:tc>
        <w:tc>
          <w:tcPr>
            <w:tcW w:w="4320" w:type="dxa"/>
          </w:tcPr>
          <w:p w14:paraId="3ABB338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美国法院样本普遍以论坛正当程序为参照，关注通知是否在全部情形下“reasonably calculated”使当事人知悉程序并有机会提出意见。</w:t>
            </w:r>
          </w:p>
        </w:tc>
      </w:tr>
      <w:tr w14:paraId="20F43271">
        <w:tc>
          <w:tcPr>
            <w:tcW w:w="4320" w:type="dxa"/>
          </w:tcPr>
          <w:p w14:paraId="696F36D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通知子要素</w:t>
            </w:r>
          </w:p>
        </w:tc>
        <w:tc>
          <w:tcPr>
            <w:tcW w:w="4320" w:type="dxa"/>
          </w:tcPr>
          <w:p w14:paraId="4F5DFDD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语言可理解性；文件是否足以识别案件；地址选择与退件后补救；送达证据；实际知悉与事后行为。</w:t>
            </w:r>
          </w:p>
        </w:tc>
      </w:tr>
      <w:tr w14:paraId="5A812E8D">
        <w:tc>
          <w:tcPr>
            <w:tcW w:w="4320" w:type="dxa"/>
          </w:tcPr>
          <w:p w14:paraId="72545785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陈述机会子要素</w:t>
            </w:r>
          </w:p>
        </w:tc>
        <w:tc>
          <w:tcPr>
            <w:tcW w:w="4320" w:type="dxa"/>
          </w:tcPr>
          <w:p w14:paraId="34B3718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提交材料机会；证据开示；口头/证据听证；仲裁庭组成参与；程序是否依当事人约定。</w:t>
            </w:r>
          </w:p>
        </w:tc>
      </w:tr>
      <w:tr w14:paraId="423E5618">
        <w:tc>
          <w:tcPr>
            <w:tcW w:w="4320" w:type="dxa"/>
          </w:tcPr>
          <w:p w14:paraId="6C6E18C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例外/边界</w:t>
            </w:r>
          </w:p>
        </w:tc>
        <w:tc>
          <w:tcPr>
            <w:tcW w:w="4320" w:type="dxa"/>
          </w:tcPr>
          <w:p w14:paraId="28D66A6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“未实际收到”“未出庭”不当然等于V(1)(b)成立；反之，形式寄送也不当然充分。必须结合程序整体与具体不利后果。</w:t>
            </w:r>
          </w:p>
        </w:tc>
      </w:tr>
      <w:tr w14:paraId="38EFD16A">
        <w:tc>
          <w:tcPr>
            <w:tcW w:w="4320" w:type="dxa"/>
          </w:tcPr>
          <w:p w14:paraId="1ED2B90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法律后果</w:t>
            </w:r>
          </w:p>
        </w:tc>
        <w:tc>
          <w:tcPr>
            <w:tcW w:w="4320" w:type="dxa"/>
          </w:tcPr>
          <w:p w14:paraId="25027E8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抗辩成立时，可作为拒绝承认或执行的依据；不应将程序性裁定或临时措施误记为最终承认结果。</w:t>
            </w:r>
          </w:p>
        </w:tc>
      </w:tr>
      <w:tr w14:paraId="35725E92">
        <w:tc>
          <w:tcPr>
            <w:tcW w:w="4320" w:type="dxa"/>
          </w:tcPr>
          <w:p w14:paraId="4D2E410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关联案件</w:t>
            </w:r>
          </w:p>
        </w:tc>
        <w:tc>
          <w:tcPr>
            <w:tcW w:w="4320" w:type="dxa"/>
          </w:tcPr>
          <w:p w14:paraId="5F539D32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Weihai Textile Group Import &amp; Export Co., Ltd. v. Eruption Holdings, Inc.</w:t>
            </w:r>
          </w:p>
        </w:tc>
      </w:tr>
    </w:tbl>
    <w:p w14:paraId="5EE0C018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4. 核心争点双方论证与反驳参照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ADDEF9">
        <w:tc>
          <w:tcPr>
            <w:tcW w:w="4320" w:type="dxa"/>
          </w:tcPr>
          <w:p w14:paraId="44FC15CB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申请方真实程序主张</w:t>
            </w:r>
          </w:p>
        </w:tc>
        <w:tc>
          <w:tcPr>
            <w:tcW w:w="4320" w:type="dxa"/>
          </w:tcPr>
          <w:p w14:paraId="24C74AD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仅依据样本文书披露：Weihai请求确认，主张第三人具有实际或表见授权，并反驳通知与其他抗辩。</w:t>
            </w:r>
          </w:p>
        </w:tc>
      </w:tr>
      <w:tr w14:paraId="3870C5CC">
        <w:tc>
          <w:tcPr>
            <w:tcW w:w="4320" w:type="dxa"/>
          </w:tcPr>
          <w:p w14:paraId="53773FD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反对方真实程序主张</w:t>
            </w:r>
          </w:p>
        </w:tc>
        <w:tc>
          <w:tcPr>
            <w:tcW w:w="4320" w:type="dxa"/>
          </w:tcPr>
          <w:p w14:paraId="06FD892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仅依据样本文书披露：Eruption主张从未签约/未授权、未收到仲裁通知，且公平与公共政策要求拒绝执行。</w:t>
            </w:r>
          </w:p>
        </w:tc>
      </w:tr>
      <w:tr w14:paraId="00939FFB">
        <w:tc>
          <w:tcPr>
            <w:tcW w:w="4320" w:type="dxa"/>
          </w:tcPr>
          <w:p w14:paraId="1C0F84E8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申请方可补充研究论证（非历史事实）</w:t>
            </w:r>
          </w:p>
        </w:tc>
        <w:tc>
          <w:tcPr>
            <w:tcW w:w="4320" w:type="dxa"/>
          </w:tcPr>
          <w:p w14:paraId="5EE2C01C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强调V(1)(b)的整体程序审查、抗辩方举证负担、可替代送达或书面程序的合理性，以及需证明具体不利后果。</w:t>
            </w:r>
          </w:p>
        </w:tc>
      </w:tr>
      <w:tr w14:paraId="35177974">
        <w:tc>
          <w:tcPr>
            <w:tcW w:w="4320" w:type="dxa"/>
          </w:tcPr>
          <w:p w14:paraId="08D1B42C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反对方可补充研究论证（非历史事实）</w:t>
            </w:r>
          </w:p>
        </w:tc>
        <w:tc>
          <w:tcPr>
            <w:tcW w:w="4320" w:type="dxa"/>
          </w:tcPr>
          <w:p w14:paraId="35252DB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逐一攻击通知的可识别性、语言可理解性、地址适当性或程序限制，并将具体程序缺陷与“无法有效陈述”之间建立因果链。</w:t>
            </w:r>
          </w:p>
        </w:tc>
      </w:tr>
      <w:tr w14:paraId="7737D67C">
        <w:tc>
          <w:tcPr>
            <w:tcW w:w="4320" w:type="dxa"/>
          </w:tcPr>
          <w:p w14:paraId="5A7282B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可能反驳</w:t>
            </w:r>
          </w:p>
        </w:tc>
        <w:tc>
          <w:tcPr>
            <w:tcW w:w="4320" w:type="dxa"/>
          </w:tcPr>
          <w:p w14:paraId="4394B66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仅指出形式瑕疵不足；须讨论全部情形与实际参与机会。若主张“实际知悉”，须提供时间、来源与后续行为证据，不能凭常识补写。</w:t>
            </w:r>
          </w:p>
        </w:tc>
      </w:tr>
      <w:tr w14:paraId="613B5AFC">
        <w:tc>
          <w:tcPr>
            <w:tcW w:w="4320" w:type="dxa"/>
          </w:tcPr>
          <w:p w14:paraId="7822F4C8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材料限制</w:t>
            </w:r>
          </w:p>
        </w:tc>
        <w:tc>
          <w:tcPr>
            <w:tcW w:w="4320" w:type="dxa"/>
          </w:tcPr>
          <w:p w14:paraId="60CA219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研究者补充论证不得倒灌为“当事人当时已提出”。样本文书未披露的仲裁通知原件、快递签收原件、完整庭审记录等均应保留未知。</w:t>
            </w:r>
          </w:p>
        </w:tc>
      </w:tr>
    </w:tbl>
    <w:p w14:paraId="048A0C03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lang w:eastAsia="zh-CN"/>
        </w:rPr>
        <w:t>——</w:t>
      </w:r>
      <w:r>
        <w:rPr>
          <w:rFonts w:hint="eastAsia" w:ascii="Hiragino Sans GB W3" w:hAnsi="Hiragino Sans GB W3" w:eastAsia="Hiragino Sans GB W3" w:cs="Hiragino Sans GB W3"/>
        </w:rPr>
        <w:t>缺口、来源登记与交叉复核</w:t>
      </w:r>
    </w:p>
    <w:p w14:paraId="519D572F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S1｜已核读：当前样本裁判PDF。来源文件名：Weihai Textile Group Import And Export Co Ltd v Eruption Holdings Inc.pdf；页码：PDF1–9。</w:t>
      </w:r>
    </w:p>
    <w:p w14:paraId="3327F960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L1｜待补：仲裁裁决全文、仲裁通知及送达/邮件/快递原件（影响对“通知事件”与证据链的精确编码）。</w:t>
      </w:r>
    </w:p>
    <w:p w14:paraId="2B30B5DE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L2｜待补：同案其他审级或修正文书（如样本明确显示存在）。不得以现有结果替代未核读文书。</w:t>
      </w:r>
    </w:p>
    <w:p w14:paraId="798582D5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R1｜交叉复核方法：复核人独立核对案件身份、程序阶段、V(1)(b)争点、关键原文位置与结果；对分歧记录“原标签—更正标签—理由—证据位置”。</w:t>
      </w:r>
    </w:p>
    <w:p w14:paraId="24306D03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建议复核结论：待第二人独立复核（UV）。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B15A2"/>
    <w:rsid w:val="D90F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林瓒</cp:lastModifiedBy>
  <dcterms:modified xsi:type="dcterms:W3CDTF">2026-09-14T18:29:12Z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57ED07C6AC8CF0DD2BCAA76AA0F6E668_42</vt:lpwstr>
  </property>
</Properties>
</file>