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710E9">
      <w:pPr>
        <w:spacing w:before="200" w:after="120"/>
        <w:jc w:val="center"/>
      </w:pPr>
      <w:r>
        <w:rPr>
          <w:rFonts w:ascii="微软雅黑" w:hAnsi="微软雅黑" w:eastAsia="微软雅黑" w:cs="微软雅黑"/>
          <w:b/>
          <w:bCs/>
          <w:color w:val="1F4E79"/>
          <w:sz w:val="44"/>
          <w:szCs w:val="44"/>
        </w:rPr>
        <w:t>法序智演 LexGentium</w:t>
      </w:r>
    </w:p>
    <w:p w14:paraId="4E09F6CA">
      <w:pPr>
        <w:spacing w:after="80"/>
        <w:jc w:val="center"/>
      </w:pPr>
      <w:r>
        <w:rPr>
          <w:rFonts w:ascii="微软雅黑" w:hAnsi="微软雅黑" w:eastAsia="微软雅黑" w:cs="微软雅黑"/>
          <w:b/>
          <w:bCs/>
          <w:color w:val="2E75B6"/>
          <w:sz w:val="34"/>
          <w:szCs w:val="34"/>
        </w:rPr>
        <w:t>产品介绍视频录制脚本（盈帆案比赛演示版）</w:t>
      </w:r>
    </w:p>
    <w:p w14:paraId="5692545E">
      <w:pPr>
        <w:spacing w:after="200"/>
        <w:jc w:val="center"/>
      </w:pPr>
      <w:r>
        <w:rPr>
          <w:rFonts w:ascii="微软雅黑" w:hAnsi="微软雅黑" w:eastAsia="微软雅黑" w:cs="微软雅黑"/>
          <w:color w:val="666666"/>
          <w:sz w:val="22"/>
          <w:szCs w:val="22"/>
        </w:rPr>
        <w:t>约 10 分钟 · 真实案例候选包：Shenzhen Yingfan v. Amazon</w:t>
      </w:r>
    </w:p>
    <w:tbl>
      <w:tblPr>
        <w:tblStyle w:val="12"/>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340F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EFFBEB7">
            <w:r>
              <w:rPr>
                <w:rFonts w:ascii="微软雅黑" w:hAnsi="微软雅黑" w:eastAsia="微软雅黑" w:cs="微软雅黑"/>
                <w:b/>
                <w:bCs/>
                <w:sz w:val="20"/>
                <w:szCs w:val="20"/>
              </w:rPr>
              <w:t>产品全称</w:t>
            </w:r>
          </w:p>
        </w:tc>
        <w:tc>
          <w:tcPr>
            <w:tcW w:w="7238"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C241B8">
            <w:r>
              <w:rPr>
                <w:rFonts w:ascii="微软雅黑" w:hAnsi="微软雅黑" w:eastAsia="微软雅黑" w:cs="微软雅黑"/>
                <w:sz w:val="20"/>
                <w:szCs w:val="20"/>
              </w:rPr>
              <w:t>法序智演——多智能体协同的国际商事仲裁程序论证与审计溯源平台</w:t>
            </w:r>
          </w:p>
        </w:tc>
      </w:tr>
      <w:tr w14:paraId="18B8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60E04F3">
            <w:r>
              <w:rPr>
                <w:rFonts w:ascii="微软雅黑" w:hAnsi="微软雅黑" w:eastAsia="微软雅黑" w:cs="微软雅黑"/>
                <w:b/>
                <w:bCs/>
                <w:sz w:val="20"/>
                <w:szCs w:val="20"/>
              </w:rPr>
              <w:t>演示案例</w:t>
            </w:r>
          </w:p>
        </w:tc>
        <w:tc>
          <w:tcPr>
            <w:tcW w:w="7238"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481E23">
            <w:r>
              <w:rPr>
                <w:rFonts w:ascii="微软雅黑" w:hAnsi="微软雅黑" w:eastAsia="微软雅黑" w:cs="微软雅黑"/>
                <w:sz w:val="20"/>
                <w:szCs w:val="20"/>
              </w:rPr>
              <w:t>Shenzhen Yingfan E-Commerce Co., Ltd. v. Amazon.com Services LLC（S.D.N.Y. 2026）</w:t>
            </w:r>
          </w:p>
        </w:tc>
      </w:tr>
      <w:tr w14:paraId="751A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7329C35">
            <w:r>
              <w:rPr>
                <w:rFonts w:ascii="微软雅黑" w:hAnsi="微软雅黑" w:eastAsia="微软雅黑" w:cs="微软雅黑"/>
                <w:b/>
                <w:bCs/>
                <w:sz w:val="20"/>
                <w:szCs w:val="20"/>
              </w:rPr>
              <w:t>视频总时长</w:t>
            </w:r>
          </w:p>
        </w:tc>
        <w:tc>
          <w:tcPr>
            <w:tcW w:w="7238"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721605">
            <w:r>
              <w:rPr>
                <w:rFonts w:ascii="微软雅黑" w:hAnsi="微软雅黑" w:eastAsia="微软雅黑" w:cs="微软雅黑"/>
                <w:sz w:val="20"/>
                <w:szCs w:val="20"/>
              </w:rPr>
              <w:t>约 10 分钟（建议 9 分 40 秒 – 10 分 10 秒）</w:t>
            </w:r>
          </w:p>
        </w:tc>
      </w:tr>
      <w:tr w14:paraId="2968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BFBBAE5">
            <w:r>
              <w:rPr>
                <w:rFonts w:ascii="微软雅黑" w:hAnsi="微软雅黑" w:eastAsia="微软雅黑" w:cs="微软雅黑"/>
                <w:b/>
                <w:bCs/>
                <w:sz w:val="20"/>
                <w:szCs w:val="20"/>
              </w:rPr>
              <w:t>结构</w:t>
            </w:r>
          </w:p>
        </w:tc>
        <w:tc>
          <w:tcPr>
            <w:tcW w:w="7238"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BB0B89E">
            <w:r>
              <w:rPr>
                <w:rFonts w:ascii="微软雅黑" w:hAnsi="微软雅黑" w:eastAsia="微软雅黑" w:cs="微软雅黑"/>
                <w:sz w:val="20"/>
                <w:szCs w:val="20"/>
              </w:rPr>
              <w:t>A. 介绍 → B. 现役功能 → C. 盈帆案候选包与比赛场景演示 → 片尾</w:t>
            </w:r>
          </w:p>
        </w:tc>
      </w:tr>
    </w:tbl>
    <w:p w14:paraId="1CAEC13E">
      <w:pPr>
        <w:spacing w:after="60"/>
      </w:pPr>
    </w:p>
    <w:p w14:paraId="48C0A3B3">
      <w:pPr>
        <w:pStyle w:val="2"/>
        <w:spacing w:before="360" w:after="200"/>
      </w:pPr>
      <w:r>
        <w:rPr>
          <w:rFonts w:ascii="微软雅黑" w:hAnsi="微软雅黑" w:eastAsia="微软雅黑" w:cs="微软雅黑"/>
          <w:b/>
          <w:bCs/>
          <w:color w:val="1F4E79"/>
          <w:sz w:val="32"/>
          <w:szCs w:val="32"/>
        </w:rPr>
        <w:t>A. 介绍（00:00–01:40）</w:t>
      </w:r>
    </w:p>
    <w:p w14:paraId="12F1AD1A">
      <w:pPr>
        <w:spacing w:after="100" w:line="360" w:lineRule="auto"/>
      </w:pPr>
      <w:r>
        <w:rPr>
          <w:rFonts w:ascii="微软雅黑" w:hAnsi="微软雅黑" w:eastAsia="微软雅黑" w:cs="微软雅黑"/>
          <w:sz w:val="21"/>
          <w:szCs w:val="21"/>
        </w:rPr>
        <w:t>面向谁 · 解决什么 · 品牌呈现</w:t>
      </w:r>
    </w:p>
    <w:p w14:paraId="0C022A79">
      <w:pPr>
        <w:pStyle w:val="3"/>
        <w:spacing w:before="280" w:after="140"/>
      </w:pPr>
      <w:r>
        <w:rPr>
          <w:rFonts w:ascii="微软雅黑" w:hAnsi="微软雅黑" w:eastAsia="微软雅黑" w:cs="微软雅黑"/>
          <w:b/>
          <w:bCs/>
          <w:color w:val="2E75B6"/>
          <w:sz w:val="26"/>
          <w:szCs w:val="26"/>
        </w:rPr>
        <w:t>【00:00–00:25】片头与品牌</w:t>
      </w:r>
    </w:p>
    <w:p w14:paraId="4A6D68A2">
      <w:pPr>
        <w:spacing w:before="80" w:after="40"/>
      </w:pPr>
      <w:r>
        <w:rPr>
          <w:rFonts w:ascii="微软雅黑" w:hAnsi="微软雅黑" w:eastAsia="微软雅黑" w:cs="微软雅黑"/>
          <w:b/>
          <w:bCs/>
          <w:color w:val="1F4E79"/>
          <w:sz w:val="21"/>
          <w:szCs w:val="21"/>
        </w:rPr>
        <w:t>1. 画面</w:t>
      </w:r>
    </w:p>
    <w:p w14:paraId="7AC4778B">
      <w:pPr>
        <w:spacing w:after="40" w:line="340" w:lineRule="auto"/>
        <w:ind w:left="200"/>
      </w:pPr>
      <w:r>
        <w:rPr>
          <w:rFonts w:ascii="微软雅黑" w:hAnsi="微软雅黑" w:eastAsia="微软雅黑" w:cs="微软雅黑"/>
          <w:sz w:val="20"/>
          <w:szCs w:val="20"/>
        </w:rPr>
        <w:t>黑底缓缓浮现产品 Logo「法序智演 LexGentium」，随后淡入系统首页。</w:t>
      </w:r>
    </w:p>
    <w:p w14:paraId="5A140A13">
      <w:pPr>
        <w:spacing w:after="40" w:line="340" w:lineRule="auto"/>
        <w:ind w:left="200"/>
      </w:pPr>
      <w:r>
        <w:rPr>
          <w:rFonts w:ascii="微软雅黑" w:hAnsi="微软雅黑" w:eastAsia="微软雅黑" w:cs="微软雅黑"/>
          <w:sz w:val="20"/>
          <w:szCs w:val="20"/>
        </w:rPr>
        <w:t>顶栏显示「国际商事仲裁研究平台」。可叠加北京理工大学或团队标识。</w:t>
      </w:r>
    </w:p>
    <w:p w14:paraId="734F5B3F">
      <w:pPr>
        <w:spacing w:before="80" w:after="40"/>
      </w:pPr>
      <w:r>
        <w:rPr>
          <w:rFonts w:ascii="微软雅黑" w:hAnsi="微软雅黑" w:eastAsia="微软雅黑" w:cs="微软雅黑"/>
          <w:b/>
          <w:bCs/>
          <w:color w:val="1F4E79"/>
          <w:sz w:val="21"/>
          <w:szCs w:val="21"/>
        </w:rPr>
        <w:t>2. 字幕</w:t>
      </w:r>
    </w:p>
    <w:p w14:paraId="05BCB78F">
      <w:pPr>
        <w:spacing w:after="40" w:line="340" w:lineRule="auto"/>
        <w:ind w:left="200"/>
      </w:pPr>
      <w:r>
        <w:rPr>
          <w:rFonts w:ascii="微软雅黑" w:hAnsi="微软雅黑" w:eastAsia="微软雅黑" w:cs="微软雅黑"/>
          <w:sz w:val="20"/>
          <w:szCs w:val="20"/>
        </w:rPr>
        <w:t>法序智演 LexGentium</w:t>
      </w:r>
    </w:p>
    <w:p w14:paraId="6A095176">
      <w:pPr>
        <w:spacing w:after="40" w:line="340" w:lineRule="auto"/>
        <w:ind w:left="200"/>
      </w:pPr>
      <w:r>
        <w:rPr>
          <w:rFonts w:ascii="微软雅黑" w:hAnsi="微软雅黑" w:eastAsia="微软雅黑" w:cs="微软雅黑"/>
          <w:sz w:val="20"/>
          <w:szCs w:val="20"/>
        </w:rPr>
        <w:t>多智能体协同的国际商事仲裁</w:t>
      </w:r>
    </w:p>
    <w:p w14:paraId="5C4A5BA3">
      <w:pPr>
        <w:spacing w:after="40" w:line="340" w:lineRule="auto"/>
        <w:ind w:left="200"/>
      </w:pPr>
      <w:r>
        <w:rPr>
          <w:rFonts w:ascii="微软雅黑" w:hAnsi="微软雅黑" w:eastAsia="微软雅黑" w:cs="微软雅黑"/>
          <w:sz w:val="20"/>
          <w:szCs w:val="20"/>
        </w:rPr>
        <w:t>程序论证与审计溯源平台</w:t>
      </w:r>
    </w:p>
    <w:p w14:paraId="7D7C5785">
      <w:pPr>
        <w:spacing w:before="80" w:after="40"/>
      </w:pPr>
      <w:r>
        <w:rPr>
          <w:rFonts w:ascii="微软雅黑" w:hAnsi="微软雅黑" w:eastAsia="微软雅黑" w:cs="微软雅黑"/>
          <w:b/>
          <w:bCs/>
          <w:color w:val="1F4E79"/>
          <w:sz w:val="21"/>
          <w:szCs w:val="21"/>
        </w:rPr>
        <w:t>3. 配音</w:t>
      </w:r>
    </w:p>
    <w:p w14:paraId="5B7CFF2A">
      <w:pPr>
        <w:spacing w:after="40" w:line="340" w:lineRule="auto"/>
        <w:ind w:left="200"/>
      </w:pPr>
      <w:r>
        <w:rPr>
          <w:rFonts w:ascii="微软雅黑" w:hAnsi="微软雅黑" w:eastAsia="微软雅黑" w:cs="微软雅黑"/>
          <w:sz w:val="20"/>
          <w:szCs w:val="20"/>
        </w:rPr>
        <w:t>大家好，欢迎了解法序智演，LexGentium。</w:t>
      </w:r>
    </w:p>
    <w:p w14:paraId="1CD03E1A">
      <w:pPr>
        <w:spacing w:after="40" w:line="340" w:lineRule="auto"/>
        <w:ind w:left="200"/>
      </w:pPr>
      <w:r>
        <w:rPr>
          <w:rFonts w:ascii="微软雅黑" w:hAnsi="微软雅黑" w:eastAsia="微软雅黑" w:cs="微软雅黑"/>
          <w:sz w:val="20"/>
          <w:szCs w:val="20"/>
        </w:rPr>
        <w:t>这是一款面向</w:t>
      </w:r>
      <w:r>
        <w:rPr>
          <w:rFonts w:hint="eastAsia" w:cs="微软雅黑"/>
          <w:sz w:val="20"/>
          <w:szCs w:val="20"/>
          <w:lang w:val="en-US" w:eastAsia="zh-CN"/>
        </w:rPr>
        <w:t>涉外实务律师、国际私法研究者、涉外业务法官等</w:t>
      </w:r>
      <w:r>
        <w:rPr>
          <w:rFonts w:ascii="微软雅黑" w:hAnsi="微软雅黑" w:eastAsia="微软雅黑" w:cs="微软雅黑"/>
          <w:sz w:val="20"/>
          <w:szCs w:val="20"/>
        </w:rPr>
        <w:t>的专业</w:t>
      </w:r>
      <w:r>
        <w:rPr>
          <w:rFonts w:hint="eastAsia" w:cs="微软雅黑"/>
          <w:sz w:val="20"/>
          <w:szCs w:val="20"/>
          <w:lang w:val="en-US" w:eastAsia="zh-CN"/>
        </w:rPr>
        <w:t>研究</w:t>
      </w:r>
      <w:r>
        <w:rPr>
          <w:rFonts w:ascii="微软雅黑" w:hAnsi="微软雅黑" w:eastAsia="微软雅黑" w:cs="微软雅黑"/>
          <w:sz w:val="20"/>
          <w:szCs w:val="20"/>
        </w:rPr>
        <w:t>工具。</w:t>
      </w:r>
    </w:p>
    <w:p w14:paraId="7E16962D">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它聚焦国际商事仲裁的程序动态，通过多角色交互还原程序推进与争点交锋，让研究不止于静态裁判文书，而是在可参与、可演绎、可推演的仿真平台上展开。</w:t>
      </w:r>
    </w:p>
    <w:p w14:paraId="4FAE9C23">
      <w:pPr>
        <w:spacing w:after="40" w:line="340" w:lineRule="auto"/>
        <w:ind w:left="200"/>
        <w:rPr>
          <w:rFonts w:ascii="微软雅黑" w:hAnsi="微软雅黑" w:eastAsia="微软雅黑" w:cs="微软雅黑"/>
          <w:sz w:val="20"/>
          <w:szCs w:val="20"/>
        </w:rPr>
      </w:pPr>
    </w:p>
    <w:p w14:paraId="490DFA29">
      <w:pPr>
        <w:pStyle w:val="3"/>
        <w:spacing w:before="280" w:after="140"/>
      </w:pPr>
      <w:r>
        <w:rPr>
          <w:rFonts w:ascii="微软雅黑" w:hAnsi="微软雅黑" w:eastAsia="微软雅黑" w:cs="微软雅黑"/>
          <w:b/>
          <w:bCs/>
          <w:color w:val="2E75B6"/>
          <w:sz w:val="26"/>
          <w:szCs w:val="26"/>
        </w:rPr>
        <w:t>【00:25–01:00】问题锚定</w:t>
      </w:r>
    </w:p>
    <w:p w14:paraId="2FC66A87">
      <w:pPr>
        <w:spacing w:before="80" w:after="40"/>
      </w:pPr>
      <w:r>
        <w:rPr>
          <w:rFonts w:ascii="微软雅黑" w:hAnsi="微软雅黑" w:eastAsia="微软雅黑" w:cs="微软雅黑"/>
          <w:b/>
          <w:bCs/>
          <w:color w:val="1F4E79"/>
          <w:sz w:val="21"/>
          <w:szCs w:val="21"/>
        </w:rPr>
        <w:t>1. 画面</w:t>
      </w:r>
    </w:p>
    <w:p w14:paraId="277F9719">
      <w:pPr>
        <w:spacing w:after="40" w:line="340" w:lineRule="auto"/>
        <w:ind w:left="200"/>
      </w:pPr>
      <w:r>
        <w:rPr>
          <w:rFonts w:ascii="微软雅黑" w:hAnsi="微软雅黑" w:eastAsia="微软雅黑" w:cs="微软雅黑"/>
          <w:sz w:val="20"/>
          <w:szCs w:val="20"/>
        </w:rPr>
        <w:t>展示《纽约公约》第 V(1)(b) 条相关概念图，高亮「未获适当通知」「未能陈述案情」。</w:t>
      </w:r>
    </w:p>
    <w:p w14:paraId="1AA2C966">
      <w:pPr>
        <w:spacing w:after="40" w:line="340" w:lineRule="auto"/>
        <w:ind w:left="200"/>
      </w:pPr>
      <w:r>
        <w:rPr>
          <w:rFonts w:ascii="微软雅黑" w:hAnsi="微软雅黑" w:eastAsia="微软雅黑" w:cs="微软雅黑"/>
          <w:sz w:val="20"/>
          <w:szCs w:val="20"/>
        </w:rPr>
        <w:t>旁侧浮现四个痛点：程序事实散落难查、形式发送与实质知悉被笼统压缩、跨法域材料混同、常识脑补事实空白。</w:t>
      </w:r>
    </w:p>
    <w:p w14:paraId="1BA7C43E">
      <w:pPr>
        <w:spacing w:before="80" w:after="40"/>
      </w:pPr>
      <w:r>
        <w:rPr>
          <w:rFonts w:ascii="微软雅黑" w:hAnsi="微软雅黑" w:eastAsia="微软雅黑" w:cs="微软雅黑"/>
          <w:b/>
          <w:bCs/>
          <w:color w:val="1F4E79"/>
          <w:sz w:val="21"/>
          <w:szCs w:val="21"/>
        </w:rPr>
        <w:t>2. 字幕</w:t>
      </w:r>
    </w:p>
    <w:p w14:paraId="4B5168CC">
      <w:pPr>
        <w:spacing w:after="40" w:line="340" w:lineRule="auto"/>
        <w:ind w:left="200"/>
      </w:pPr>
      <w:r>
        <w:rPr>
          <w:rFonts w:ascii="微软雅黑" w:hAnsi="微软雅黑" w:eastAsia="微软雅黑" w:cs="微软雅黑"/>
          <w:sz w:val="20"/>
          <w:szCs w:val="20"/>
        </w:rPr>
        <w:t>聚焦程序抗辩中的通知与陈述机会</w:t>
      </w:r>
    </w:p>
    <w:p w14:paraId="0299CE16">
      <w:pPr>
        <w:spacing w:after="40" w:line="340" w:lineRule="auto"/>
        <w:ind w:left="200"/>
      </w:pPr>
      <w:r>
        <w:rPr>
          <w:rFonts w:ascii="微软雅黑" w:hAnsi="微软雅黑" w:eastAsia="微软雅黑" w:cs="微软雅黑"/>
          <w:sz w:val="20"/>
          <w:szCs w:val="20"/>
        </w:rPr>
        <w:t>痛点：事实散落 · 概念压缩 · 材料混同 · 常识脑补</w:t>
      </w:r>
    </w:p>
    <w:p w14:paraId="1850BEF1">
      <w:pPr>
        <w:spacing w:before="80" w:after="40"/>
      </w:pPr>
      <w:r>
        <w:rPr>
          <w:rFonts w:ascii="微软雅黑" w:hAnsi="微软雅黑" w:eastAsia="微软雅黑" w:cs="微软雅黑"/>
          <w:b/>
          <w:bCs/>
          <w:color w:val="1F4E79"/>
          <w:sz w:val="21"/>
          <w:szCs w:val="21"/>
        </w:rPr>
        <w:t>3. 配音</w:t>
      </w:r>
    </w:p>
    <w:p w14:paraId="515AF8F6">
      <w:pPr>
        <w:spacing w:after="40" w:line="340" w:lineRule="auto"/>
        <w:ind w:left="200"/>
      </w:pPr>
      <w:r>
        <w:rPr>
          <w:rFonts w:ascii="微软雅黑" w:hAnsi="微软雅黑" w:eastAsia="微软雅黑" w:cs="微软雅黑"/>
          <w:sz w:val="20"/>
          <w:szCs w:val="20"/>
        </w:rPr>
        <w:t>无论是《纽约公约》第 V(1)(b) 条下的外国裁决承认执行，还是国内仲裁裁决的确认与撤销审查，程序抗辩的核心往往落在两点：当事人是否获得适当通知，以及是否有机会充分陈述案情。</w:t>
      </w:r>
    </w:p>
    <w:p w14:paraId="367052A2">
      <w:pPr>
        <w:spacing w:after="40" w:line="340" w:lineRule="auto"/>
        <w:ind w:left="200"/>
      </w:pPr>
      <w:r>
        <w:rPr>
          <w:rFonts w:ascii="微软雅黑" w:hAnsi="微软雅黑" w:eastAsia="微软雅黑" w:cs="微软雅黑"/>
          <w:sz w:val="20"/>
          <w:szCs w:val="20"/>
        </w:rPr>
        <w:t>传统研究中，程序事实散落在邮件、听证记录、裁决书与法院判决之间，形式发送与实质知悉容易被混为一谈，研究者甚至会用常识去填补证据空白。</w:t>
      </w:r>
    </w:p>
    <w:p w14:paraId="39EA1334">
      <w:pPr>
        <w:spacing w:after="40" w:line="340" w:lineRule="auto"/>
        <w:ind w:left="200"/>
      </w:pPr>
      <w:r>
        <w:rPr>
          <w:rFonts w:ascii="微软雅黑" w:hAnsi="微软雅黑" w:eastAsia="微软雅黑" w:cs="微软雅黑"/>
          <w:sz w:val="20"/>
          <w:szCs w:val="20"/>
        </w:rPr>
        <w:t>系统明确声明：我们不预测法院或仲裁员会如何裁判，也不计算胜率。我们只做一件事——把程序抗辩拆解成可检查的微观单元。</w:t>
      </w:r>
    </w:p>
    <w:p w14:paraId="254AEE0D">
      <w:pPr>
        <w:pStyle w:val="3"/>
        <w:spacing w:before="280" w:after="140"/>
      </w:pPr>
      <w:r>
        <w:rPr>
          <w:rFonts w:ascii="微软雅黑" w:hAnsi="微软雅黑" w:eastAsia="微软雅黑" w:cs="微软雅黑"/>
          <w:b/>
          <w:bCs/>
          <w:color w:val="2E75B6"/>
          <w:sz w:val="26"/>
          <w:szCs w:val="26"/>
        </w:rPr>
        <w:t>【01:00–01:40】核心方法</w:t>
      </w:r>
    </w:p>
    <w:p w14:paraId="74183182">
      <w:pPr>
        <w:spacing w:before="80" w:after="40"/>
      </w:pPr>
      <w:r>
        <w:rPr>
          <w:rFonts w:ascii="微软雅黑" w:hAnsi="微软雅黑" w:eastAsia="微软雅黑" w:cs="微软雅黑"/>
          <w:b/>
          <w:bCs/>
          <w:color w:val="1F4E79"/>
          <w:sz w:val="21"/>
          <w:szCs w:val="21"/>
        </w:rPr>
        <w:t>1. 画面</w:t>
      </w:r>
    </w:p>
    <w:p w14:paraId="737CFA4C">
      <w:pPr>
        <w:spacing w:after="40" w:line="340" w:lineRule="auto"/>
        <w:ind w:left="200"/>
      </w:pPr>
      <w:r>
        <w:rPr>
          <w:rFonts w:ascii="微软雅黑" w:hAnsi="微软雅黑" w:eastAsia="微软雅黑" w:cs="微软雅黑"/>
          <w:sz w:val="20"/>
          <w:szCs w:val="20"/>
        </w:rPr>
        <w:t>九维编码体系简图展开。</w:t>
      </w:r>
    </w:p>
    <w:p w14:paraId="056A2C54">
      <w:pPr>
        <w:spacing w:after="40" w:line="340" w:lineRule="auto"/>
        <w:ind w:left="200"/>
      </w:pPr>
      <w:r>
        <w:rPr>
          <w:rFonts w:ascii="微软雅黑" w:hAnsi="微软雅黑" w:eastAsia="微软雅黑" w:cs="微软雅黑"/>
          <w:sz w:val="20"/>
          <w:szCs w:val="20"/>
        </w:rPr>
        <w:t>「证据冻结 → 有限程序重放 → 审计溯源」三步闭环示意图。</w:t>
      </w:r>
    </w:p>
    <w:p w14:paraId="4589FE7B">
      <w:pPr>
        <w:spacing w:before="80" w:after="40"/>
      </w:pPr>
      <w:r>
        <w:rPr>
          <w:rFonts w:ascii="微软雅黑" w:hAnsi="微软雅黑" w:eastAsia="微软雅黑" w:cs="微软雅黑"/>
          <w:b/>
          <w:bCs/>
          <w:color w:val="1F4E79"/>
          <w:sz w:val="21"/>
          <w:szCs w:val="21"/>
        </w:rPr>
        <w:t>2. 字幕</w:t>
      </w:r>
    </w:p>
    <w:p w14:paraId="3A22DC04">
      <w:pPr>
        <w:spacing w:after="40" w:line="340" w:lineRule="auto"/>
        <w:ind w:left="200"/>
      </w:pPr>
      <w:r>
        <w:rPr>
          <w:rFonts w:ascii="微软雅黑" w:hAnsi="微软雅黑" w:eastAsia="微软雅黑" w:cs="微软雅黑"/>
          <w:sz w:val="20"/>
          <w:szCs w:val="20"/>
        </w:rPr>
        <w:t>九维程序事件编码</w:t>
      </w:r>
    </w:p>
    <w:p w14:paraId="6D124E26">
      <w:pPr>
        <w:spacing w:after="40" w:line="340" w:lineRule="auto"/>
        <w:ind w:left="200"/>
      </w:pPr>
      <w:r>
        <w:rPr>
          <w:rFonts w:ascii="微软雅黑" w:hAnsi="微软雅黑" w:eastAsia="微软雅黑" w:cs="微软雅黑"/>
          <w:sz w:val="20"/>
          <w:szCs w:val="20"/>
        </w:rPr>
        <w:t>证据冻结 · 有限重放 · 可审计论证</w:t>
      </w:r>
    </w:p>
    <w:p w14:paraId="54AE1D43">
      <w:pPr>
        <w:spacing w:after="40" w:line="340" w:lineRule="auto"/>
        <w:ind w:left="200"/>
      </w:pPr>
      <w:r>
        <w:rPr>
          <w:rFonts w:ascii="微软雅黑" w:hAnsi="微软雅黑" w:eastAsia="微软雅黑" w:cs="微软雅黑"/>
          <w:sz w:val="20"/>
          <w:szCs w:val="20"/>
        </w:rPr>
        <w:t>未知事实始终保持 unknown</w:t>
      </w:r>
    </w:p>
    <w:p w14:paraId="3D15167C">
      <w:pPr>
        <w:spacing w:before="80" w:after="40"/>
      </w:pPr>
      <w:r>
        <w:rPr>
          <w:rFonts w:ascii="微软雅黑" w:hAnsi="微软雅黑" w:eastAsia="微软雅黑" w:cs="微软雅黑"/>
          <w:b/>
          <w:bCs/>
          <w:color w:val="1F4E79"/>
          <w:sz w:val="21"/>
          <w:szCs w:val="21"/>
        </w:rPr>
        <w:t>3. 配音</w:t>
      </w:r>
    </w:p>
    <w:p w14:paraId="4D0D0A5E">
      <w:pPr>
        <w:spacing w:after="40" w:line="340" w:lineRule="auto"/>
        <w:ind w:left="200"/>
      </w:pPr>
      <w:r>
        <w:rPr>
          <w:rFonts w:ascii="微软雅黑" w:hAnsi="微软雅黑" w:eastAsia="微软雅黑" w:cs="微软雅黑"/>
          <w:sz w:val="20"/>
          <w:szCs w:val="20"/>
        </w:rPr>
        <w:t>为此，我们建立了涵盖形式发送、适当通知、实际知悉直至程序影响的九维编码体系。</w:t>
      </w:r>
    </w:p>
    <w:p w14:paraId="0C1C46D1">
      <w:pPr>
        <w:spacing w:after="40" w:line="340" w:lineRule="auto"/>
        <w:ind w:left="200"/>
      </w:pPr>
      <w:r>
        <w:rPr>
          <w:rFonts w:ascii="微软雅黑" w:hAnsi="微软雅黑" w:eastAsia="微软雅黑" w:cs="微软雅黑"/>
          <w:sz w:val="20"/>
          <w:szCs w:val="20"/>
        </w:rPr>
        <w:t>每一条事实观察和规范评价被独立记录，并严格标定「已证明、有争议、未知」三种支持状态。</w:t>
      </w:r>
    </w:p>
    <w:p w14:paraId="4E9060EB">
      <w:pPr>
        <w:spacing w:after="40" w:line="340" w:lineRule="auto"/>
        <w:ind w:left="200"/>
      </w:pPr>
      <w:r>
        <w:rPr>
          <w:rFonts w:ascii="微软雅黑" w:hAnsi="微软雅黑" w:eastAsia="微软雅黑" w:cs="微软雅黑"/>
          <w:sz w:val="20"/>
          <w:szCs w:val="20"/>
        </w:rPr>
        <w:t>系统在证据冻结后进行有限程序重放，新增发言只作为压力测试，绝不回填历史事实。</w:t>
      </w:r>
    </w:p>
    <w:p w14:paraId="502D06A3">
      <w:pPr>
        <w:spacing w:after="40" w:line="340" w:lineRule="auto"/>
        <w:ind w:left="200"/>
      </w:pPr>
      <w:r>
        <w:rPr>
          <w:rFonts w:ascii="微软雅黑" w:hAnsi="微软雅黑" w:eastAsia="微软雅黑" w:cs="微软雅黑"/>
          <w:sz w:val="20"/>
          <w:szCs w:val="20"/>
        </w:rPr>
        <w:t>未知事实始终保持 unknown，材料不足时主动承认不足并停止，禁止补造。</w:t>
      </w:r>
    </w:p>
    <w:p w14:paraId="4EFC24A2">
      <w:pPr>
        <w:spacing w:after="40" w:line="340" w:lineRule="auto"/>
        <w:ind w:left="200"/>
      </w:pPr>
      <w:r>
        <w:rPr>
          <w:rFonts w:ascii="微软雅黑" w:hAnsi="微软雅黑" w:eastAsia="微软雅黑" w:cs="微软雅黑"/>
          <w:sz w:val="20"/>
          <w:szCs w:val="20"/>
        </w:rPr>
        <w:t>最终交付可逐项回链原文出处的程序事件卡、双向论证图与比较研究备忘录。</w:t>
      </w:r>
    </w:p>
    <w:p w14:paraId="73799F91">
      <w:pPr>
        <w:pStyle w:val="2"/>
        <w:spacing w:before="360" w:after="200"/>
      </w:pPr>
      <w:r>
        <w:rPr>
          <w:rFonts w:ascii="微软雅黑" w:hAnsi="微软雅黑" w:eastAsia="微软雅黑" w:cs="微软雅黑"/>
          <w:b/>
          <w:bCs/>
          <w:color w:val="1F4E79"/>
          <w:sz w:val="32"/>
          <w:szCs w:val="32"/>
        </w:rPr>
        <w:t>B. 功能展示（01:40–04:50）</w:t>
      </w:r>
    </w:p>
    <w:p w14:paraId="095ECFCD">
      <w:pPr>
        <w:spacing w:after="100" w:line="360" w:lineRule="auto"/>
      </w:pPr>
      <w:r>
        <w:rPr>
          <w:rFonts w:ascii="微软雅黑" w:hAnsi="微软雅黑" w:eastAsia="微软雅黑" w:cs="微软雅黑"/>
          <w:sz w:val="21"/>
          <w:szCs w:val="21"/>
        </w:rPr>
        <w:t>现役主路径与比赛录制口径（详讲开庭—观庭—复盘，研究工作台提供证据底座）</w:t>
      </w:r>
    </w:p>
    <w:p w14:paraId="4752DDEB">
      <w:pPr>
        <w:pStyle w:val="3"/>
        <w:spacing w:before="280" w:after="140"/>
      </w:pPr>
      <w:r>
        <w:rPr>
          <w:rFonts w:ascii="微软雅黑" w:hAnsi="微软雅黑" w:eastAsia="微软雅黑" w:cs="微软雅黑"/>
          <w:b/>
          <w:bCs/>
          <w:color w:val="2E75B6"/>
          <w:sz w:val="26"/>
          <w:szCs w:val="26"/>
        </w:rPr>
        <w:t>【01:40–02:20】整体主路径</w:t>
      </w:r>
    </w:p>
    <w:p w14:paraId="5694B367">
      <w:pPr>
        <w:spacing w:before="80" w:after="40"/>
      </w:pPr>
      <w:r>
        <w:rPr>
          <w:rFonts w:ascii="微软雅黑" w:hAnsi="微软雅黑" w:eastAsia="微软雅黑" w:cs="微软雅黑"/>
          <w:b/>
          <w:bCs/>
          <w:color w:val="1F4E79"/>
          <w:sz w:val="21"/>
          <w:szCs w:val="21"/>
        </w:rPr>
        <w:t>1. 画面</w:t>
      </w:r>
    </w:p>
    <w:p w14:paraId="6575F258">
      <w:pPr>
        <w:spacing w:after="40" w:line="340" w:lineRule="auto"/>
        <w:ind w:left="200"/>
      </w:pPr>
      <w:r>
        <w:rPr>
          <w:rFonts w:ascii="微软雅黑" w:hAnsi="微软雅黑" w:eastAsia="微软雅黑" w:cs="微软雅黑"/>
          <w:sz w:val="20"/>
          <w:szCs w:val="20"/>
        </w:rPr>
        <w:t>系统首页。鼠标依次点击顶栏：开庭、研究、观庭、复盘、系统。</w:t>
      </w:r>
    </w:p>
    <w:p w14:paraId="606B524F">
      <w:pPr>
        <w:spacing w:after="40" w:line="340" w:lineRule="auto"/>
        <w:ind w:left="200"/>
      </w:pPr>
      <w:r>
        <w:rPr>
          <w:rFonts w:ascii="微软雅黑" w:hAnsi="微软雅黑" w:eastAsia="微软雅黑" w:cs="微软雅黑"/>
          <w:sz w:val="20"/>
          <w:szCs w:val="20"/>
        </w:rPr>
        <w:t>动画展示：同一场 CI 听证的 session_id 连接文字庭审、3D 观庭与复盘；CD、DD、CI 为各自独立会话。</w:t>
      </w:r>
    </w:p>
    <w:p w14:paraId="2B8F75C1">
      <w:pPr>
        <w:spacing w:before="80" w:after="40"/>
      </w:pPr>
      <w:r>
        <w:rPr>
          <w:rFonts w:ascii="微软雅黑" w:hAnsi="微软雅黑" w:eastAsia="微软雅黑" w:cs="微软雅黑"/>
          <w:b/>
          <w:bCs/>
          <w:color w:val="1F4E79"/>
          <w:sz w:val="21"/>
          <w:szCs w:val="21"/>
        </w:rPr>
        <w:t>2. 字幕</w:t>
      </w:r>
    </w:p>
    <w:p w14:paraId="46465138">
      <w:pPr>
        <w:spacing w:after="40" w:line="340" w:lineRule="auto"/>
        <w:ind w:left="200"/>
      </w:pPr>
      <w:r>
        <w:rPr>
          <w:rFonts w:ascii="微软雅黑" w:hAnsi="微软雅黑" w:eastAsia="微软雅黑" w:cs="微软雅黑"/>
          <w:sz w:val="20"/>
          <w:szCs w:val="20"/>
        </w:rPr>
        <w:t>主路径：开庭 · 观庭 · 复盘</w:t>
      </w:r>
    </w:p>
    <w:p w14:paraId="13AF4021">
      <w:pPr>
        <w:spacing w:after="40" w:line="340" w:lineRule="auto"/>
        <w:ind w:left="200"/>
      </w:pPr>
      <w:r>
        <w:rPr>
          <w:rFonts w:ascii="微软雅黑" w:hAnsi="微软雅黑" w:eastAsia="微软雅黑" w:cs="微软雅黑"/>
          <w:sz w:val="20"/>
          <w:szCs w:val="20"/>
        </w:rPr>
        <w:t>同一 CI session_id 串联文字庭审、3D 观庭与复盘</w:t>
      </w:r>
    </w:p>
    <w:p w14:paraId="7A578EDE">
      <w:pPr>
        <w:spacing w:before="80" w:after="40"/>
      </w:pPr>
      <w:r>
        <w:rPr>
          <w:rFonts w:ascii="微软雅黑" w:hAnsi="微软雅黑" w:eastAsia="微软雅黑" w:cs="微软雅黑"/>
          <w:b/>
          <w:bCs/>
          <w:color w:val="1F4E79"/>
          <w:sz w:val="21"/>
          <w:szCs w:val="21"/>
        </w:rPr>
        <w:t>3. 配音</w:t>
      </w:r>
    </w:p>
    <w:p w14:paraId="646BD967">
      <w:pPr>
        <w:spacing w:after="40" w:line="340" w:lineRule="auto"/>
        <w:ind w:left="200"/>
      </w:pPr>
      <w:r>
        <w:rPr>
          <w:rFonts w:ascii="微软雅黑" w:hAnsi="微软雅黑" w:eastAsia="微软雅黑" w:cs="微软雅黑"/>
          <w:sz w:val="20"/>
          <w:szCs w:val="20"/>
        </w:rPr>
        <w:t>产品主路径是开庭、观庭、复盘；研究工作台提供可回链的材料底座。</w:t>
      </w:r>
    </w:p>
    <w:p w14:paraId="37A2DF3D">
      <w:pPr>
        <w:spacing w:after="40" w:line="340" w:lineRule="auto"/>
        <w:ind w:left="200"/>
      </w:pPr>
      <w:r>
        <w:rPr>
          <w:rFonts w:ascii="微软雅黑" w:hAnsi="微软雅黑" w:eastAsia="微软雅黑" w:cs="微软雅黑"/>
          <w:sz w:val="20"/>
          <w:szCs w:val="20"/>
        </w:rPr>
        <w:t>研究者可分别创建申请准备、答辩准备或仲裁听证会话。本次比赛演示选择 CI 仲裁听证，并用同一个 session_id 进入文字庭审、3D 观庭与复盘。</w:t>
      </w:r>
    </w:p>
    <w:p w14:paraId="2EE893D7">
      <w:pPr>
        <w:spacing w:after="40" w:line="340" w:lineRule="auto"/>
        <w:ind w:left="200"/>
      </w:pPr>
      <w:r>
        <w:rPr>
          <w:rFonts w:ascii="微软雅黑" w:hAnsi="微软雅黑" w:eastAsia="微软雅黑" w:cs="微软雅黑"/>
          <w:sz w:val="20"/>
          <w:szCs w:val="20"/>
        </w:rPr>
        <w:t>研究工作台用于浏览候选研究包、对照判决摘录与结构化字段，并从字段跳回 source_id。</w:t>
      </w:r>
    </w:p>
    <w:p w14:paraId="50981EDC">
      <w:pPr>
        <w:spacing w:after="40" w:line="340" w:lineRule="auto"/>
        <w:ind w:left="200"/>
      </w:pPr>
      <w:r>
        <w:rPr>
          <w:rFonts w:ascii="微软雅黑" w:hAnsi="微软雅黑" w:eastAsia="微软雅黑" w:cs="微软雅黑"/>
          <w:sz w:val="20"/>
          <w:szCs w:val="20"/>
        </w:rPr>
        <w:t>3D 观庭必须从已创建会话进入：有 session 时读取本场记录；没有 session 时显示等待接入提示，不播放虚构样例。</w:t>
      </w:r>
    </w:p>
    <w:p w14:paraId="17798082">
      <w:pPr>
        <w:pStyle w:val="3"/>
        <w:spacing w:before="280" w:after="140"/>
      </w:pPr>
      <w:r>
        <w:rPr>
          <w:rFonts w:ascii="微软雅黑" w:hAnsi="微软雅黑" w:eastAsia="微软雅黑" w:cs="微软雅黑"/>
          <w:b/>
          <w:bCs/>
          <w:color w:val="2E75B6"/>
          <w:sz w:val="26"/>
          <w:szCs w:val="26"/>
        </w:rPr>
        <w:t>【02:20–03:10】开庭与研究工作台</w:t>
      </w:r>
    </w:p>
    <w:p w14:paraId="2231B587">
      <w:pPr>
        <w:spacing w:before="80" w:after="40"/>
      </w:pPr>
      <w:r>
        <w:rPr>
          <w:rFonts w:ascii="微软雅黑" w:hAnsi="微软雅黑" w:eastAsia="微软雅黑" w:cs="微软雅黑"/>
          <w:b/>
          <w:bCs/>
          <w:color w:val="1F4E79"/>
          <w:sz w:val="21"/>
          <w:szCs w:val="21"/>
        </w:rPr>
        <w:t>1. 画面</w:t>
      </w:r>
    </w:p>
    <w:p w14:paraId="17111EA7">
      <w:pPr>
        <w:spacing w:after="40" w:line="340" w:lineRule="auto"/>
        <w:ind w:left="200"/>
      </w:pPr>
      <w:r>
        <w:rPr>
          <w:rFonts w:ascii="微软雅黑" w:hAnsi="微软雅黑" w:eastAsia="微软雅黑" w:cs="微软雅黑"/>
          <w:sz w:val="20"/>
          <w:szCs w:val="20"/>
        </w:rPr>
        <w:t>开庭页：选择 CI 仲裁听证 → 选择 Yingfan 候选研究包 → 选择双方策略 → 新建会话；比赛录制也可直接使用预制会话。</w:t>
      </w:r>
    </w:p>
    <w:p w14:paraId="3E9A67FC">
      <w:pPr>
        <w:spacing w:after="40" w:line="340" w:lineRule="auto"/>
        <w:ind w:left="200"/>
      </w:pPr>
      <w:r>
        <w:rPr>
          <w:rFonts w:ascii="微软雅黑" w:hAnsi="微软雅黑" w:eastAsia="微软雅黑" w:cs="微软雅黑"/>
          <w:sz w:val="20"/>
          <w:szCs w:val="20"/>
        </w:rPr>
        <w:t>研究页：打开候选包，左侧查看意见书摘录，右侧查看事实、主张、法院结论与材料缺口；字段可跳回 source_id，状态显示「待复核」。</w:t>
      </w:r>
    </w:p>
    <w:p w14:paraId="2F29F11B">
      <w:pPr>
        <w:spacing w:before="80" w:after="40"/>
      </w:pPr>
      <w:r>
        <w:rPr>
          <w:rFonts w:ascii="微软雅黑" w:hAnsi="微软雅黑" w:eastAsia="微软雅黑" w:cs="微软雅黑"/>
          <w:b/>
          <w:bCs/>
          <w:color w:val="1F4E79"/>
          <w:sz w:val="21"/>
          <w:szCs w:val="21"/>
        </w:rPr>
        <w:t>2. 字幕</w:t>
      </w:r>
    </w:p>
    <w:p w14:paraId="4A1E43C3">
      <w:pPr>
        <w:spacing w:after="40" w:line="340" w:lineRule="auto"/>
        <w:ind w:left="200"/>
      </w:pPr>
      <w:r>
        <w:rPr>
          <w:rFonts w:ascii="微软雅黑" w:hAnsi="微软雅黑" w:eastAsia="微软雅黑" w:cs="微软雅黑"/>
          <w:sz w:val="20"/>
          <w:szCs w:val="20"/>
        </w:rPr>
        <w:t>新建或载入 CI 会话 · 绑定研究包</w:t>
      </w:r>
    </w:p>
    <w:p w14:paraId="453A27EF">
      <w:pPr>
        <w:spacing w:after="40" w:line="340" w:lineRule="auto"/>
        <w:ind w:left="200"/>
      </w:pPr>
      <w:r>
        <w:rPr>
          <w:rFonts w:ascii="微软雅黑" w:hAnsi="微软雅黑" w:eastAsia="微软雅黑" w:cs="微软雅黑"/>
          <w:sz w:val="20"/>
          <w:szCs w:val="20"/>
        </w:rPr>
        <w:t>研究工作台：对照摘录 · 查看字段 · 跳回 source_id</w:t>
      </w:r>
    </w:p>
    <w:p w14:paraId="2F002BBF">
      <w:pPr>
        <w:spacing w:before="80" w:after="40"/>
      </w:pPr>
      <w:r>
        <w:rPr>
          <w:rFonts w:ascii="微软雅黑" w:hAnsi="微软雅黑" w:eastAsia="微软雅黑" w:cs="微软雅黑"/>
          <w:b/>
          <w:bCs/>
          <w:color w:val="1F4E79"/>
          <w:sz w:val="21"/>
          <w:szCs w:val="21"/>
        </w:rPr>
        <w:t>3. 配音</w:t>
      </w:r>
    </w:p>
    <w:p w14:paraId="734C663A">
      <w:pPr>
        <w:spacing w:after="40" w:line="340" w:lineRule="auto"/>
        <w:ind w:left="200"/>
      </w:pPr>
      <w:r>
        <w:rPr>
          <w:rFonts w:ascii="微软雅黑" w:hAnsi="微软雅黑" w:eastAsia="微软雅黑" w:cs="微软雅黑"/>
          <w:sz w:val="20"/>
          <w:szCs w:val="20"/>
        </w:rPr>
        <w:t>在开庭页选择 CI 与研究包后新建会话，系统生成唯一 session_id，并冻结本次运行对应的 dataset_id、cluster_id、pack_version 与 run_id。</w:t>
      </w:r>
    </w:p>
    <w:p w14:paraId="43C28F32">
      <w:pPr>
        <w:spacing w:after="40" w:line="340" w:lineRule="auto"/>
        <w:ind w:left="200"/>
      </w:pPr>
      <w:r>
        <w:rPr>
          <w:rFonts w:ascii="微软雅黑" w:hAnsi="微软雅黑" w:eastAsia="微软雅黑" w:cs="微软雅黑"/>
          <w:sz w:val="20"/>
          <w:szCs w:val="20"/>
        </w:rPr>
        <w:t>研究工作台支持对照摘录和结构化字段；字段通过 source_id 回链。本次 Yingfan 材料以候选包 0.1.0-draft 呈现，尚待独立复核。</w:t>
      </w:r>
    </w:p>
    <w:p w14:paraId="1F4DE353">
      <w:pPr>
        <w:spacing w:after="40" w:line="340" w:lineRule="auto"/>
        <w:ind w:left="200"/>
      </w:pPr>
      <w:r>
        <w:rPr>
          <w:rFonts w:ascii="微软雅黑" w:hAnsi="微软雅黑" w:eastAsia="微软雅黑" w:cs="微软雅黑"/>
          <w:sz w:val="20"/>
          <w:szCs w:val="20"/>
        </w:rPr>
        <w:t>人工覆盖层写入独立记录，不修改 pack.json。未知事实保持 unknown；材料不足时系统应承认不足并停止。</w:t>
      </w:r>
    </w:p>
    <w:p w14:paraId="3C89DFE0">
      <w:pPr>
        <w:pStyle w:val="3"/>
        <w:spacing w:before="280" w:after="140"/>
      </w:pPr>
      <w:r>
        <w:rPr>
          <w:rFonts w:ascii="微软雅黑" w:hAnsi="微软雅黑" w:eastAsia="微软雅黑" w:cs="微软雅黑"/>
          <w:b/>
          <w:bCs/>
          <w:color w:val="2E75B6"/>
          <w:sz w:val="26"/>
          <w:szCs w:val="26"/>
        </w:rPr>
        <w:t>【03:10–04:00】观庭模块</w:t>
      </w:r>
    </w:p>
    <w:p w14:paraId="6969CC68">
      <w:pPr>
        <w:spacing w:before="80" w:after="40"/>
      </w:pPr>
      <w:r>
        <w:rPr>
          <w:rFonts w:ascii="微软雅黑" w:hAnsi="微软雅黑" w:eastAsia="微软雅黑" w:cs="微软雅黑"/>
          <w:b/>
          <w:bCs/>
          <w:color w:val="1F4E79"/>
          <w:sz w:val="21"/>
          <w:szCs w:val="21"/>
        </w:rPr>
        <w:t>1. 画面</w:t>
      </w:r>
    </w:p>
    <w:p w14:paraId="4482768A">
      <w:pPr>
        <w:spacing w:after="40" w:line="340" w:lineRule="auto"/>
        <w:ind w:left="200"/>
        <w:rPr>
          <w:rFonts w:hint="eastAsia" w:ascii="微软雅黑" w:hAnsi="微软雅黑" w:eastAsia="微软雅黑" w:cs="微软雅黑"/>
          <w:sz w:val="20"/>
          <w:szCs w:val="20"/>
        </w:rPr>
      </w:pPr>
      <w:r>
        <w:rPr>
          <w:rFonts w:ascii="微软雅黑" w:hAnsi="微软雅黑" w:eastAsia="微软雅黑" w:cs="微软雅黑"/>
          <w:sz w:val="20"/>
          <w:szCs w:val="20"/>
        </w:rPr>
        <w:t>观庭界面：3D 仿真听证庭室、角色档案、供应商 OBJ+PBR 人物资产及程序化回退、时间轴、争点材料侧栏、HUD 阶段与字幕。</w:t>
      </w:r>
      <w:r>
        <w:rPr>
          <w:rFonts w:hint="eastAsia" w:ascii="微软雅黑" w:hAnsi="微软雅黑" w:eastAsia="微软雅黑" w:cs="微软雅黑"/>
          <w:sz w:val="20"/>
          <w:szCs w:val="20"/>
        </w:rPr>
      </w:r>
    </w:p>
    <w:p w14:paraId="3073C6A2">
      <w:pPr>
        <w:spacing w:after="40" w:line="340" w:lineRule="auto"/>
        <w:ind w:left="200"/>
        <w:rPr>
          <w:rFonts w:ascii="微软雅黑" w:hAnsi="微软雅黑" w:eastAsia="微软雅黑" w:cs="微软雅黑"/>
          <w:sz w:val="20"/>
          <w:szCs w:val="20"/>
        </w:rPr>
      </w:pPr>
      <w:r>
        <w:rPr>
          <w:rFonts w:hint="eastAsia" w:ascii="微软雅黑" w:hAnsi="微软雅黑" w:eastAsia="微软雅黑" w:cs="微软雅黑"/>
          <w:sz w:val="20"/>
          <w:szCs w:val="20"/>
        </w:rPr>
        <w:t>演示播放下一段、暂停、继续、跳到最新和自动播放，并切换全景、首席、申请方与被申请方镜头。页脚显示内容来自 backend_run。</w:t>
      </w:r>
    </w:p>
    <w:p w14:paraId="11FCA9D0">
      <w:pPr>
        <w:spacing w:before="80" w:after="40"/>
      </w:pPr>
      <w:r>
        <w:rPr>
          <w:rFonts w:ascii="微软雅黑" w:hAnsi="微软雅黑" w:eastAsia="微软雅黑" w:cs="微软雅黑"/>
          <w:b/>
          <w:bCs/>
          <w:color w:val="1F4E79"/>
          <w:sz w:val="21"/>
          <w:szCs w:val="21"/>
        </w:rPr>
        <w:t>2. 字幕</w:t>
      </w:r>
    </w:p>
    <w:p w14:paraId="4190C70F">
      <w:pPr>
        <w:spacing w:after="40" w:line="340" w:lineRule="auto"/>
        <w:ind w:left="200"/>
        <w:rPr>
          <w:rFonts w:hint="eastAsia" w:ascii="微软雅黑" w:hAnsi="微软雅黑" w:eastAsia="微软雅黑" w:cs="微软雅黑"/>
          <w:sz w:val="20"/>
          <w:szCs w:val="20"/>
        </w:rPr>
      </w:pPr>
      <w:r>
        <w:rPr>
          <w:rFonts w:ascii="微软雅黑" w:hAnsi="微软雅黑" w:eastAsia="微软雅黑" w:cs="微软雅黑"/>
          <w:sz w:val="20"/>
          <w:szCs w:val="20"/>
        </w:rPr>
        <w:t>观庭：</w:t>
      </w:r>
      <w:r>
        <w:rPr>
          <w:rFonts w:hint="eastAsia" w:ascii="微软雅黑" w:hAnsi="微软雅黑" w:eastAsia="微软雅黑" w:cs="微软雅黑"/>
          <w:sz w:val="20"/>
          <w:szCs w:val="20"/>
        </w:rPr>
        <w:t>3D 仿真听证</w:t>
      </w:r>
    </w:p>
    <w:p w14:paraId="5D6FA5BB">
      <w:pPr>
        <w:spacing w:after="40" w:line="340" w:lineRule="auto"/>
        <w:ind w:left="200"/>
        <w:rPr>
          <w:rFonts w:ascii="微软雅黑" w:hAnsi="微软雅黑" w:eastAsia="微软雅黑" w:cs="微软雅黑"/>
          <w:sz w:val="20"/>
          <w:szCs w:val="20"/>
        </w:rPr>
      </w:pPr>
      <w:r>
        <w:rPr>
          <w:rFonts w:hint="eastAsia" w:ascii="微软雅黑" w:hAnsi="微软雅黑" w:eastAsia="微软雅黑" w:cs="微软雅黑"/>
          <w:sz w:val="20"/>
          <w:szCs w:val="20"/>
        </w:rPr>
        <w:t>OBJ+PBR 人物资产 · 程序化回退 · 时间轴 · 自动导播</w:t>
      </w:r>
    </w:p>
    <w:p w14:paraId="3C0A4D65">
      <w:pPr>
        <w:spacing w:before="80" w:after="40"/>
      </w:pPr>
      <w:r>
        <w:rPr>
          <w:rFonts w:ascii="微软雅黑" w:hAnsi="微软雅黑" w:eastAsia="微软雅黑" w:cs="微软雅黑"/>
          <w:b/>
          <w:bCs/>
          <w:color w:val="1F4E79"/>
          <w:sz w:val="21"/>
          <w:szCs w:val="21"/>
        </w:rPr>
        <w:t>3. 配音</w:t>
      </w:r>
    </w:p>
    <w:p w14:paraId="0452BB18">
      <w:pPr>
        <w:spacing w:after="40" w:line="340" w:lineRule="auto"/>
        <w:ind w:left="200"/>
        <w:rPr>
          <w:rFonts w:ascii="微软雅黑" w:hAnsi="微软雅黑" w:eastAsia="微软雅黑" w:cs="微软雅黑"/>
          <w:sz w:val="20"/>
          <w:szCs w:val="20"/>
        </w:rPr>
      </w:pPr>
      <w:r>
        <w:rPr>
          <w:rFonts w:hint="eastAsia" w:ascii="微软雅黑" w:hAnsi="微软雅黑" w:eastAsia="微软雅黑" w:cs="微软雅黑"/>
          <w:sz w:val="20"/>
          <w:szCs w:val="20"/>
        </w:rPr>
        <w:t>观庭模块以 3D 仿真方式呈现本场听证记录。研究者可逐段播放、暂停、继续、跳到最新，也可手动切换镜头或开启自动导播。人物形象由供应商 OBJ+PBR 资产与程序化回退共同保障，不对应真实案件当事人，也不代表法律裁决。无有效 session 时页面仅提示从已创建会话进入。</w:t>
      </w:r>
    </w:p>
    <w:p w14:paraId="3434197E">
      <w:pPr>
        <w:pStyle w:val="3"/>
        <w:spacing w:before="280" w:after="140"/>
      </w:pPr>
      <w:r>
        <w:rPr>
          <w:rFonts w:ascii="微软雅黑" w:hAnsi="微软雅黑" w:eastAsia="微软雅黑" w:cs="微软雅黑"/>
          <w:b/>
          <w:bCs/>
          <w:color w:val="2E75B6"/>
          <w:sz w:val="26"/>
          <w:szCs w:val="26"/>
        </w:rPr>
        <w:t>【04:00–04:50】复盘与严格边界</w:t>
      </w:r>
    </w:p>
    <w:p w14:paraId="3A4C3FF8">
      <w:pPr>
        <w:spacing w:before="80" w:after="40"/>
      </w:pPr>
      <w:r>
        <w:rPr>
          <w:rFonts w:ascii="微软雅黑" w:hAnsi="微软雅黑" w:eastAsia="微软雅黑" w:cs="微软雅黑"/>
          <w:b/>
          <w:bCs/>
          <w:color w:val="1F4E79"/>
          <w:sz w:val="21"/>
          <w:szCs w:val="21"/>
        </w:rPr>
        <w:t>1. 画面</w:t>
      </w:r>
    </w:p>
    <w:p w14:paraId="126E07A0">
      <w:pPr>
        <w:spacing w:after="40" w:line="340" w:lineRule="auto"/>
        <w:ind w:left="200"/>
      </w:pPr>
      <w:r>
        <w:rPr>
          <w:rFonts w:ascii="微软雅黑" w:hAnsi="微软雅黑" w:eastAsia="微软雅黑" w:cs="微软雅黑"/>
          <w:sz w:val="20"/>
          <w:szCs w:val="20"/>
        </w:rPr>
        <w:t>复盘四栏：对照、策略推演、程序合规、研究。策略栏读取绑定的 game_id；研究栏读取 run_id。</w:t>
      </w:r>
    </w:p>
    <w:p w14:paraId="729D67A6">
      <w:pPr>
        <w:spacing w:after="40" w:line="340" w:lineRule="auto"/>
        <w:ind w:left="200"/>
      </w:pPr>
      <w:r>
        <w:rPr>
          <w:rFonts w:ascii="微软雅黑" w:hAnsi="微软雅黑" w:eastAsia="微软雅黑" w:cs="微软雅黑"/>
          <w:sz w:val="20"/>
          <w:szCs w:val="20"/>
        </w:rPr>
        <w:t>快速闪过系统页与「适用边界」关键词：未知保持 unknown · 禁止补造 · 不自动作出有法律效力的裁决。</w:t>
      </w:r>
    </w:p>
    <w:p w14:paraId="25789EFF">
      <w:pPr>
        <w:spacing w:before="80" w:after="40"/>
      </w:pPr>
      <w:r>
        <w:rPr>
          <w:rFonts w:ascii="微软雅黑" w:hAnsi="微软雅黑" w:eastAsia="微软雅黑" w:cs="微软雅黑"/>
          <w:b/>
          <w:bCs/>
          <w:color w:val="1F4E79"/>
          <w:sz w:val="21"/>
          <w:szCs w:val="21"/>
        </w:rPr>
        <w:t>2. 字幕</w:t>
      </w:r>
    </w:p>
    <w:p w14:paraId="5017987C">
      <w:pPr>
        <w:spacing w:after="40" w:line="340" w:lineRule="auto"/>
        <w:ind w:left="200"/>
      </w:pPr>
      <w:r>
        <w:rPr>
          <w:rFonts w:ascii="微软雅黑" w:hAnsi="微软雅黑" w:eastAsia="微软雅黑" w:cs="微软雅黑"/>
          <w:sz w:val="20"/>
          <w:szCs w:val="20"/>
        </w:rPr>
        <w:t>复盘四栏 · 策略状态 · 六维研究量表</w:t>
      </w:r>
    </w:p>
    <w:p w14:paraId="359A2D6D">
      <w:pPr>
        <w:spacing w:after="40" w:line="340" w:lineRule="auto"/>
        <w:ind w:left="200"/>
      </w:pPr>
      <w:r>
        <w:rPr>
          <w:rFonts w:ascii="微软雅黑" w:hAnsi="微软雅黑" w:eastAsia="微软雅黑" w:cs="微软雅黑"/>
          <w:sz w:val="20"/>
          <w:szCs w:val="20"/>
        </w:rPr>
        <w:t>严格边界：未知保持 unknown · 禁止补造</w:t>
      </w:r>
    </w:p>
    <w:p w14:paraId="6BDA8D53">
      <w:pPr>
        <w:spacing w:before="80" w:after="40"/>
      </w:pPr>
      <w:r>
        <w:rPr>
          <w:rFonts w:ascii="微软雅黑" w:hAnsi="微软雅黑" w:eastAsia="微软雅黑" w:cs="微软雅黑"/>
          <w:b/>
          <w:bCs/>
          <w:color w:val="1F4E79"/>
          <w:sz w:val="21"/>
          <w:szCs w:val="21"/>
        </w:rPr>
        <w:t>3. 配音</w:t>
      </w:r>
    </w:p>
    <w:p w14:paraId="7DD1C2C0">
      <w:pPr>
        <w:spacing w:after="40" w:line="340" w:lineRule="auto"/>
        <w:ind w:left="200"/>
      </w:pPr>
      <w:r>
        <w:rPr>
          <w:rFonts w:ascii="微软雅黑" w:hAnsi="微软雅黑" w:eastAsia="微软雅黑" w:cs="微软雅黑"/>
          <w:sz w:val="20"/>
          <w:szCs w:val="20"/>
        </w:rPr>
        <w:t>复盘提供本场对照、策略推演、程序合规与六维研究评价。策略局必须绑定 game_id；研究评价必须绑定带研究包的 run_id。预制策略局默认零轮，只有在 LLM 配置就绪时才现场推演一轮。</w:t>
      </w:r>
    </w:p>
    <w:p w14:paraId="412F5883">
      <w:pPr>
        <w:spacing w:after="40" w:line="340" w:lineRule="auto"/>
        <w:ind w:left="200"/>
      </w:pPr>
      <w:r>
        <w:rPr>
          <w:rFonts w:ascii="微软雅黑" w:hAnsi="微软雅黑" w:eastAsia="微软雅黑" w:cs="微软雅黑"/>
          <w:sz w:val="20"/>
          <w:szCs w:val="20"/>
        </w:rPr>
        <w:t>系统始终坚持：未知事实保持 unknown，材料不足时主动停止，绝不补造，也不自动作出有法律效力的裁决或胜诉预测。</w:t>
      </w:r>
    </w:p>
    <w:p w14:paraId="1D9C0F13">
      <w:pPr>
        <w:pStyle w:val="2"/>
        <w:spacing w:before="360" w:after="200"/>
      </w:pPr>
      <w:r>
        <w:rPr>
          <w:rFonts w:ascii="微软雅黑" w:hAnsi="微软雅黑" w:eastAsia="微软雅黑" w:cs="微软雅黑"/>
          <w:b/>
          <w:bCs/>
          <w:color w:val="1F4E79"/>
          <w:sz w:val="32"/>
          <w:szCs w:val="32"/>
        </w:rPr>
        <w:t>C. 盈帆案预制与比赛场景演示（04:50–09:40）</w:t>
      </w:r>
    </w:p>
    <w:p w14:paraId="4D1E5623">
      <w:pPr>
        <w:spacing w:after="100" w:line="360" w:lineRule="auto"/>
      </w:pPr>
      <w:r>
        <w:rPr>
          <w:rFonts w:ascii="微软雅黑" w:hAnsi="微软雅黑" w:eastAsia="微软雅黑" w:cs="微软雅黑"/>
          <w:sz w:val="21"/>
          <w:szCs w:val="21"/>
        </w:rPr>
        <w:t>案例：Shenzhen Yingfan E-Commerce Co., Ltd. v. Amazon.com Services LLC（S.D.N.Y. 2026）｜候选包 0.1.0-draft · 待独立复核 · 不计入正式研究包</w:t>
      </w:r>
    </w:p>
    <w:p w14:paraId="508546CC">
      <w:pPr>
        <w:pStyle w:val="3"/>
        <w:spacing w:before="280" w:after="140"/>
      </w:pPr>
      <w:r>
        <w:rPr>
          <w:rFonts w:ascii="微软雅黑" w:hAnsi="微软雅黑" w:eastAsia="微软雅黑" w:cs="微软雅黑"/>
          <w:b/>
          <w:bCs/>
          <w:color w:val="2E75B6"/>
          <w:sz w:val="26"/>
          <w:szCs w:val="26"/>
        </w:rPr>
        <w:t>【04:50–05:40】候选包检查与预制会话载入</w:t>
      </w:r>
    </w:p>
    <w:p w14:paraId="728A5C60">
      <w:pPr>
        <w:spacing w:before="80" w:after="40"/>
      </w:pPr>
      <w:r>
        <w:rPr>
          <w:rFonts w:ascii="微软雅黑" w:hAnsi="微软雅黑" w:eastAsia="微软雅黑" w:cs="微软雅黑"/>
          <w:b/>
          <w:bCs/>
          <w:color w:val="1F4E79"/>
          <w:sz w:val="21"/>
          <w:szCs w:val="21"/>
        </w:rPr>
        <w:t>1. 画面</w:t>
      </w:r>
    </w:p>
    <w:p w14:paraId="0DA7A463">
      <w:pPr>
        <w:spacing w:after="40" w:line="340" w:lineRule="auto"/>
        <w:ind w:left="200"/>
      </w:pPr>
      <w:r>
        <w:rPr>
          <w:rFonts w:ascii="微软雅黑" w:hAnsi="微软雅黑" w:eastAsia="微软雅黑" w:cs="微软雅黑"/>
          <w:sz w:val="20"/>
          <w:szCs w:val="20"/>
        </w:rPr>
        <w:t>先在研究页打开 Yingfan 候选包并展示「待复核」；再打开预制 CI 文字庭审，确认 session_id、run_id 与已绑定 game_id。</w:t>
      </w:r>
    </w:p>
    <w:p w14:paraId="5B22ED3D">
      <w:pPr>
        <w:spacing w:after="40" w:line="340" w:lineRule="auto"/>
        <w:ind w:left="200"/>
      </w:pPr>
      <w:r>
        <w:rPr>
          <w:rFonts w:ascii="微软雅黑" w:hAnsi="微软雅黑" w:eastAsia="微软雅黑" w:cs="微软雅黑"/>
          <w:sz w:val="20"/>
          <w:szCs w:val="20"/>
        </w:rPr>
        <w:t>材料栏只展示系统实际收录的纽约南区法院意见书摘录、source_id 与标注结构。画面明确列出未收录项：Partial Final Award、Final Award、BSA 全文、邮件原件和支付明细。</w:t>
      </w:r>
    </w:p>
    <w:p w14:paraId="10B7B8ED">
      <w:pPr>
        <w:spacing w:after="40" w:line="340" w:lineRule="auto"/>
        <w:ind w:left="200"/>
      </w:pPr>
      <w:r>
        <w:rPr>
          <w:rFonts w:ascii="微软雅黑" w:hAnsi="微软雅黑" w:eastAsia="微软雅黑" w:cs="微软雅黑"/>
          <w:sz w:val="20"/>
          <w:szCs w:val="20"/>
        </w:rPr>
        <w:t>时间线展示：账户停用（2021.12）→ 仲裁申请（2023.11）→ 部分终局裁决（2025.3）→ 损害赔偿听证排期与改期 → 终局裁决（2025.6）→ 付款确认（2025.8）→ SDNY 意见（2026.7）。</w:t>
      </w:r>
    </w:p>
    <w:p w14:paraId="0315B401">
      <w:pPr>
        <w:spacing w:before="80" w:after="40"/>
      </w:pPr>
      <w:r>
        <w:rPr>
          <w:rFonts w:ascii="微软雅黑" w:hAnsi="微软雅黑" w:eastAsia="微软雅黑" w:cs="微软雅黑"/>
          <w:b/>
          <w:bCs/>
          <w:color w:val="1F4E79"/>
          <w:sz w:val="21"/>
          <w:szCs w:val="21"/>
        </w:rPr>
        <w:t>2. 字幕</w:t>
      </w:r>
    </w:p>
    <w:p w14:paraId="71DC9BC8">
      <w:pPr>
        <w:spacing w:after="40" w:line="340" w:lineRule="auto"/>
        <w:ind w:left="200"/>
      </w:pPr>
      <w:r>
        <w:rPr>
          <w:rFonts w:ascii="微软雅黑" w:hAnsi="微软雅黑" w:eastAsia="微软雅黑" w:cs="微软雅黑"/>
          <w:sz w:val="20"/>
          <w:szCs w:val="20"/>
        </w:rPr>
        <w:t>案例：Yingfan v. Amazon｜候选研究包</w:t>
      </w:r>
    </w:p>
    <w:p w14:paraId="5FCBEF9B">
      <w:pPr>
        <w:spacing w:after="40" w:line="340" w:lineRule="auto"/>
        <w:ind w:left="200"/>
      </w:pPr>
      <w:r>
        <w:rPr>
          <w:rFonts w:ascii="微软雅黑" w:hAnsi="微软雅黑" w:eastAsia="微软雅黑" w:cs="微软雅黑"/>
          <w:sz w:val="20"/>
          <w:szCs w:val="20"/>
        </w:rPr>
        <w:t>中国卖家 × 亚马逊 · AAA 仲裁 · 纽约南区法院审查</w:t>
      </w:r>
    </w:p>
    <w:p w14:paraId="7D78D43D">
      <w:pPr>
        <w:spacing w:after="40" w:line="340" w:lineRule="auto"/>
        <w:ind w:left="200"/>
      </w:pPr>
      <w:r>
        <w:rPr>
          <w:rFonts w:ascii="微软雅黑" w:hAnsi="微软雅黑" w:eastAsia="微软雅黑" w:cs="微软雅黑"/>
          <w:sz w:val="20"/>
          <w:szCs w:val="20"/>
        </w:rPr>
        <w:t>核心争点：损害赔偿听证中的通知、改期与陈述机会</w:t>
      </w:r>
    </w:p>
    <w:p w14:paraId="2F8709C7">
      <w:pPr>
        <w:spacing w:before="80" w:after="40"/>
      </w:pPr>
      <w:r>
        <w:rPr>
          <w:rFonts w:ascii="微软雅黑" w:hAnsi="微软雅黑" w:eastAsia="微软雅黑" w:cs="微软雅黑"/>
          <w:b/>
          <w:bCs/>
          <w:color w:val="1F4E79"/>
          <w:sz w:val="21"/>
          <w:szCs w:val="21"/>
        </w:rPr>
        <w:t>3. 配音</w:t>
      </w:r>
    </w:p>
    <w:p w14:paraId="41DB3F04">
      <w:pPr>
        <w:spacing w:after="40" w:line="340" w:lineRule="auto"/>
        <w:ind w:left="200"/>
      </w:pPr>
      <w:r>
        <w:rPr>
          <w:rFonts w:ascii="微软雅黑" w:hAnsi="微软雅黑" w:eastAsia="微软雅黑" w:cs="微软雅黑"/>
          <w:sz w:val="20"/>
          <w:szCs w:val="20"/>
        </w:rPr>
        <w:t>现在我们用一个真实案例的候选研究包，完整走通比赛演示主路径。</w:t>
      </w:r>
    </w:p>
    <w:p w14:paraId="3A373E75">
      <w:pPr>
        <w:spacing w:after="40" w:line="340" w:lineRule="auto"/>
        <w:ind w:left="200"/>
      </w:pPr>
      <w:r>
        <w:rPr>
          <w:rFonts w:ascii="微软雅黑" w:hAnsi="微软雅黑" w:eastAsia="微软雅黑" w:cs="微软雅黑"/>
          <w:sz w:val="20"/>
          <w:szCs w:val="20"/>
        </w:rPr>
        <w:t>案件是深圳盈帆电子商务有限公司诉 Amazon.com Services LLC 等，由美国纽约南区法院 Lewis J. Liman 法官于 2026 年 7 月 21 日作出意见。</w:t>
      </w:r>
    </w:p>
    <w:p w14:paraId="26324A5B">
      <w:pPr>
        <w:spacing w:after="40" w:line="340" w:lineRule="auto"/>
        <w:ind w:left="200"/>
      </w:pPr>
      <w:r>
        <w:rPr>
          <w:rFonts w:ascii="微软雅黑" w:hAnsi="微软雅黑" w:eastAsia="微软雅黑" w:cs="微软雅黑"/>
          <w:sz w:val="20"/>
          <w:szCs w:val="20"/>
        </w:rPr>
        <w:t>盈帆是亚马逊第三方卖家。判决记载，其账户约在 2021 年 12 月 7 日因评价滥用问题被停用，亚马逊扣留 266,219.33 美元。</w:t>
      </w:r>
    </w:p>
    <w:p w14:paraId="6A78748F">
      <w:pPr>
        <w:spacing w:after="40" w:line="340" w:lineRule="auto"/>
        <w:ind w:left="200"/>
      </w:pPr>
      <w:r>
        <w:rPr>
          <w:rFonts w:ascii="微软雅黑" w:hAnsi="微软雅黑" w:eastAsia="微软雅黑" w:cs="微软雅黑"/>
          <w:sz w:val="20"/>
          <w:szCs w:val="20"/>
        </w:rPr>
        <w:t>法院意见书转述：仲裁员于 2025 年 3 月 25 日作出 Partial Final Award，随后就损害赔偿继续程序；该裁决全文没有随本次材料提供。</w:t>
      </w:r>
    </w:p>
    <w:p w14:paraId="4BE56497">
      <w:pPr>
        <w:spacing w:after="40" w:line="340" w:lineRule="auto"/>
        <w:ind w:left="200"/>
      </w:pPr>
      <w:r>
        <w:rPr>
          <w:rFonts w:ascii="微软雅黑" w:hAnsi="微软雅黑" w:eastAsia="微软雅黑" w:cs="微软雅黑"/>
          <w:sz w:val="20"/>
          <w:szCs w:val="20"/>
        </w:rPr>
        <w:t>最适合演示程序论证的，是 2025 年 4 月 30 日至 5 月 20 日之间的通知、改期、书面替代与补充机会。</w:t>
      </w:r>
    </w:p>
    <w:p w14:paraId="3336D42B">
      <w:pPr>
        <w:spacing w:after="40" w:line="340" w:lineRule="auto"/>
        <w:ind w:left="200"/>
      </w:pPr>
      <w:r>
        <w:rPr>
          <w:rFonts w:ascii="微软雅黑" w:hAnsi="微软雅黑" w:eastAsia="微软雅黑" w:cs="微软雅黑"/>
          <w:sz w:val="20"/>
          <w:szCs w:val="20"/>
        </w:rPr>
        <w:t>系统没有把缺失的裁决书、邮件或合同正文假装成已加载材料，而是锁定意见书摘录与标注中的可核验内容后创建候选包和预制会话。</w:t>
      </w:r>
    </w:p>
    <w:p w14:paraId="6DE36C3B">
      <w:pPr>
        <w:pStyle w:val="3"/>
        <w:spacing w:before="280" w:after="140"/>
      </w:pPr>
      <w:r>
        <w:rPr>
          <w:rFonts w:ascii="微软雅黑" w:hAnsi="微软雅黑" w:eastAsia="微软雅黑" w:cs="微软雅黑"/>
          <w:b/>
          <w:bCs/>
          <w:color w:val="2E75B6"/>
          <w:sz w:val="26"/>
          <w:szCs w:val="26"/>
        </w:rPr>
        <w:t>【05:40–07:00】九个通知事件与证据边界——聚焦损害赔偿听证程序</w:t>
      </w:r>
    </w:p>
    <w:p w14:paraId="6B5BAFE4">
      <w:pPr>
        <w:spacing w:before="80" w:after="40"/>
      </w:pPr>
      <w:r>
        <w:rPr>
          <w:rFonts w:ascii="微软雅黑" w:hAnsi="微软雅黑" w:eastAsia="微软雅黑" w:cs="微软雅黑"/>
          <w:b/>
          <w:bCs/>
          <w:color w:val="1F4E79"/>
          <w:sz w:val="21"/>
          <w:szCs w:val="21"/>
        </w:rPr>
        <w:t>1. 画面</w:t>
      </w:r>
    </w:p>
    <w:p w14:paraId="5F28D698">
      <w:pPr>
        <w:spacing w:after="40" w:line="340" w:lineRule="auto"/>
        <w:ind w:left="200"/>
      </w:pPr>
      <w:r>
        <w:rPr>
          <w:rFonts w:ascii="微软雅黑" w:hAnsi="微软雅黑" w:eastAsia="微软雅黑" w:cs="微软雅黑"/>
          <w:sz w:val="20"/>
          <w:szCs w:val="20"/>
        </w:rPr>
        <w:t>研究工作台 / 候选包字段界面。</w:t>
      </w:r>
    </w:p>
    <w:p w14:paraId="2B109128">
      <w:pPr>
        <w:spacing w:after="40" w:line="340" w:lineRule="auto"/>
        <w:ind w:left="200"/>
      </w:pPr>
      <w:r>
        <w:rPr>
          <w:rFonts w:ascii="微软雅黑" w:hAnsi="微软雅黑" w:eastAsia="微软雅黑" w:cs="微软雅黑"/>
          <w:sz w:val="20"/>
          <w:szCs w:val="20"/>
        </w:rPr>
        <w:t>依次高亮候选包中的九个 notice event，并在右侧同步显示 source_id、支持状态与材料缺口：</w:t>
      </w:r>
    </w:p>
    <w:p w14:paraId="19444A38">
      <w:pPr>
        <w:pStyle w:val="17"/>
        <w:spacing w:after="40" w:line="340" w:lineRule="auto"/>
        <w:ind w:left="200"/>
        <w:numPr>
          <w:ilvl w:val="0"/>
          <w:numId w:val="2"/>
        </w:numPr>
      </w:pPr>
      <w:r>
        <w:rPr>
          <w:rFonts w:ascii="微软雅黑" w:hAnsi="微软雅黑" w:eastAsia="微软雅黑" w:cs="微软雅黑"/>
          <w:sz w:val="20"/>
          <w:szCs w:val="20"/>
        </w:rPr>
        <w:t>2025 年 4 月 30 日，仲裁员发出损害赔偿听证通知，原定 5 月 15 日，并设 5 月 9 日书状期限。</w:t>
      </w:r>
    </w:p>
    <w:p w14:paraId="78542752">
      <w:pPr>
        <w:pStyle w:val="17"/>
        <w:spacing w:after="40" w:line="340" w:lineRule="auto"/>
        <w:ind w:left="200"/>
        <w:numPr>
          <w:ilvl w:val="0"/>
          <w:numId w:val="2"/>
        </w:numPr>
      </w:pPr>
      <w:r>
        <w:rPr>
          <w:rFonts w:ascii="微软雅黑" w:hAnsi="微软雅黑" w:eastAsia="微软雅黑" w:cs="微软雅黑"/>
          <w:sz w:val="20"/>
          <w:szCs w:val="20"/>
        </w:rPr>
        <w:t>2025 年 5 月 7 日，申请人律师因其他听证冲突，请求改至 5 月 16 日或 19 日。</w:t>
      </w:r>
    </w:p>
    <w:p w14:paraId="4684E9C4">
      <w:pPr>
        <w:pStyle w:val="17"/>
        <w:spacing w:after="40" w:line="340" w:lineRule="auto"/>
        <w:ind w:left="200"/>
        <w:numPr>
          <w:ilvl w:val="0"/>
          <w:numId w:val="2"/>
        </w:numPr>
      </w:pPr>
      <w:r>
        <w:rPr>
          <w:rFonts w:ascii="微软雅黑" w:hAnsi="微软雅黑" w:eastAsia="微软雅黑" w:cs="微软雅黑"/>
          <w:sz w:val="20"/>
          <w:szCs w:val="20"/>
        </w:rPr>
        <w:t>仲裁员无法接受所提时段，要求双方协调 5 月 19 日或 20 日晚间，并邀请提交宣誓书替代现场听证。</w:t>
      </w:r>
    </w:p>
    <w:p w14:paraId="7A9B41D4">
      <w:pPr>
        <w:pStyle w:val="17"/>
        <w:spacing w:after="40" w:line="340" w:lineRule="auto"/>
        <w:ind w:left="200"/>
        <w:numPr>
          <w:ilvl w:val="0"/>
          <w:numId w:val="2"/>
        </w:numPr>
      </w:pPr>
      <w:r>
        <w:rPr>
          <w:rFonts w:ascii="微软雅黑" w:hAnsi="微软雅黑" w:eastAsia="微软雅黑" w:cs="微软雅黑"/>
          <w:sz w:val="20"/>
          <w:szCs w:val="20"/>
        </w:rPr>
        <w:t>双方于 5 月 9 日提交损害赔偿书状，但都没有在 5 月 12 日期限前给出合适听证时间。</w:t>
      </w:r>
    </w:p>
    <w:p w14:paraId="3F429DC1">
      <w:pPr>
        <w:pStyle w:val="17"/>
        <w:spacing w:after="40" w:line="340" w:lineRule="auto"/>
        <w:ind w:left="200"/>
        <w:numPr>
          <w:ilvl w:val="0"/>
          <w:numId w:val="2"/>
        </w:numPr>
      </w:pPr>
      <w:r>
        <w:rPr>
          <w:rFonts w:ascii="微软雅黑" w:hAnsi="微软雅黑" w:eastAsia="微软雅黑" w:cs="微软雅黑"/>
          <w:sz w:val="20"/>
          <w:szCs w:val="20"/>
        </w:rPr>
        <w:t>2025 年 5 月 13 日，仲裁员提出仅凭书面材料裁决或 5 月 19 日 19:00 听证；申请人选择仅凭书面材料。</w:t>
      </w:r>
    </w:p>
    <w:p w14:paraId="3B381049">
      <w:pPr>
        <w:pStyle w:val="17"/>
        <w:spacing w:after="40" w:line="340" w:lineRule="auto"/>
        <w:ind w:left="200"/>
        <w:numPr>
          <w:ilvl w:val="0"/>
          <w:numId w:val="2"/>
        </w:numPr>
      </w:pPr>
      <w:r>
        <w:rPr>
          <w:rFonts w:ascii="微软雅黑" w:hAnsi="微软雅黑" w:eastAsia="微软雅黑" w:cs="微软雅黑"/>
          <w:sz w:val="20"/>
          <w:szCs w:val="20"/>
        </w:rPr>
        <w:t>Amazon 表示证人可于 5 月 20 日出席，仲裁员随后排定 5 月 20 日 19:00 EST 听证。</w:t>
      </w:r>
    </w:p>
    <w:p w14:paraId="507912BA">
      <w:pPr>
        <w:pStyle w:val="17"/>
        <w:spacing w:after="40" w:line="340" w:lineRule="auto"/>
        <w:ind w:left="200"/>
        <w:numPr>
          <w:ilvl w:val="0"/>
          <w:numId w:val="2"/>
        </w:numPr>
      </w:pPr>
      <w:r>
        <w:rPr>
          <w:rFonts w:ascii="微软雅黑" w:hAnsi="微软雅黑" w:eastAsia="微软雅黑" w:cs="微软雅黑"/>
          <w:sz w:val="20"/>
          <w:szCs w:val="20"/>
        </w:rPr>
        <w:t>意见书写有“May 19, 2026”，同时称其为 5 月 20 日听证的前一天。系统将年份矛盾标记为 CF，不擅自改成 2025。</w:t>
      </w:r>
    </w:p>
    <w:p w14:paraId="3C099C3A">
      <w:pPr>
        <w:pStyle w:val="17"/>
        <w:spacing w:after="40" w:line="340" w:lineRule="auto"/>
        <w:ind w:left="200"/>
        <w:numPr>
          <w:ilvl w:val="0"/>
          <w:numId w:val="2"/>
        </w:numPr>
      </w:pPr>
      <w:r>
        <w:rPr>
          <w:rFonts w:ascii="微软雅黑" w:hAnsi="微软雅黑" w:eastAsia="微软雅黑" w:cs="微软雅黑"/>
          <w:sz w:val="20"/>
          <w:szCs w:val="20"/>
        </w:rPr>
        <w:t>2025 年 5 月 20 日，听证按计划举行；仲裁员允许申请人在听证前、听证中以及当晚午夜前补充材料。</w:t>
      </w:r>
    </w:p>
    <w:p w14:paraId="19D2142F">
      <w:pPr>
        <w:pStyle w:val="17"/>
        <w:spacing w:after="40" w:line="340" w:lineRule="auto"/>
        <w:ind w:left="200"/>
        <w:numPr>
          <w:ilvl w:val="0"/>
          <w:numId w:val="2"/>
        </w:numPr>
      </w:pPr>
      <w:r>
        <w:rPr>
          <w:rFonts w:ascii="微软雅黑" w:hAnsi="微软雅黑" w:eastAsia="微软雅黑" w:cs="微软雅黑"/>
          <w:sz w:val="20"/>
          <w:szCs w:val="20"/>
        </w:rPr>
        <w:t>申请人未提交补充材料。仲裁员于 2025 年 6 月 5 日作出 Final Award。</w:t>
      </w:r>
    </w:p>
    <w:p w14:paraId="3E4C37F0">
      <w:pPr>
        <w:spacing w:after="40" w:line="340" w:lineRule="auto"/>
        <w:ind w:left="200"/>
      </w:pPr>
      <w:r>
        <w:rPr>
          <w:rFonts w:ascii="微软雅黑" w:hAnsi="微软雅黑" w:eastAsia="微软雅黑" w:cs="微软雅黑"/>
          <w:sz w:val="20"/>
          <w:szCs w:val="20"/>
        </w:rPr>
        <w:t>每个事件回链到法院意见书摘录中的 source_id。原始邮件和两份仲裁裁决未提供，因此不展示为原文证据。</w:t>
      </w:r>
    </w:p>
    <w:p w14:paraId="774ADC63">
      <w:pPr>
        <w:spacing w:before="80" w:after="40"/>
      </w:pPr>
      <w:r>
        <w:rPr>
          <w:rFonts w:ascii="微软雅黑" w:hAnsi="微软雅黑" w:eastAsia="微软雅黑" w:cs="微软雅黑"/>
          <w:b/>
          <w:bCs/>
          <w:color w:val="1F4E79"/>
          <w:sz w:val="21"/>
          <w:szCs w:val="21"/>
        </w:rPr>
        <w:t>2. 字幕</w:t>
      </w:r>
    </w:p>
    <w:p w14:paraId="3060D51C">
      <w:pPr>
        <w:spacing w:after="40" w:line="340" w:lineRule="auto"/>
        <w:ind w:left="200"/>
      </w:pPr>
      <w:r>
        <w:rPr>
          <w:rFonts w:ascii="微软雅黑" w:hAnsi="微软雅黑" w:eastAsia="微软雅黑" w:cs="微软雅黑"/>
          <w:sz w:val="20"/>
          <w:szCs w:val="20"/>
        </w:rPr>
        <w:t>九个通知事件 · source_id 回链 · NR/UV/CF 显性保留</w:t>
      </w:r>
    </w:p>
    <w:p w14:paraId="7E3E8241">
      <w:pPr>
        <w:spacing w:after="40" w:line="340" w:lineRule="auto"/>
        <w:ind w:left="200"/>
      </w:pPr>
      <w:r>
        <w:rPr>
          <w:rFonts w:ascii="微软雅黑" w:hAnsi="微软雅黑" w:eastAsia="微软雅黑" w:cs="微软雅黑"/>
          <w:sz w:val="20"/>
          <w:szCs w:val="20"/>
        </w:rPr>
        <w:t>证据冻结 · 每个事件独立记录支持状态</w:t>
      </w:r>
    </w:p>
    <w:p w14:paraId="2E1B9715">
      <w:pPr>
        <w:spacing w:after="40" w:line="340" w:lineRule="auto"/>
        <w:ind w:left="200"/>
      </w:pPr>
      <w:r>
        <w:rPr>
          <w:rFonts w:ascii="微软雅黑" w:hAnsi="微软雅黑" w:eastAsia="微软雅黑" w:cs="微软雅黑"/>
          <w:sz w:val="20"/>
          <w:szCs w:val="20"/>
        </w:rPr>
        <w:t>关键争点：是否获得合理的陈述机会</w:t>
      </w:r>
    </w:p>
    <w:p w14:paraId="7FCAFF14">
      <w:pPr>
        <w:spacing w:before="80" w:after="40"/>
      </w:pPr>
      <w:r>
        <w:rPr>
          <w:rFonts w:ascii="微软雅黑" w:hAnsi="微软雅黑" w:eastAsia="微软雅黑" w:cs="微软雅黑"/>
          <w:b/>
          <w:bCs/>
          <w:color w:val="1F4E79"/>
          <w:sz w:val="21"/>
          <w:szCs w:val="21"/>
        </w:rPr>
        <w:t>3. 配音</w:t>
      </w:r>
    </w:p>
    <w:p w14:paraId="04614BDC">
      <w:pPr>
        <w:spacing w:after="40" w:line="340" w:lineRule="auto"/>
        <w:ind w:left="200"/>
      </w:pPr>
      <w:r>
        <w:rPr>
          <w:rFonts w:ascii="微软雅黑" w:hAnsi="微软雅黑" w:eastAsia="微软雅黑" w:cs="微软雅黑"/>
          <w:sz w:val="20"/>
          <w:szCs w:val="20"/>
        </w:rPr>
        <w:t>系统先检查候选包中的九个通知事件。</w:t>
      </w:r>
    </w:p>
    <w:p w14:paraId="551A409F">
      <w:pPr>
        <w:spacing w:after="40" w:line="340" w:lineRule="auto"/>
        <w:ind w:left="200"/>
      </w:pPr>
      <w:r>
        <w:rPr>
          <w:rFonts w:ascii="微软雅黑" w:hAnsi="微软雅黑" w:eastAsia="微软雅黑" w:cs="微软雅黑"/>
          <w:sz w:val="20"/>
          <w:szCs w:val="20"/>
        </w:rPr>
        <w:t>我们把听证前后的通知、改期请求、书面替代、出席情况与补充窗口拆开记录，避免把整个程序压缩成一句“已通知”或“未通知”。</w:t>
      </w:r>
    </w:p>
    <w:p w14:paraId="4AC5DAB2">
      <w:pPr>
        <w:spacing w:after="40" w:line="340" w:lineRule="auto"/>
        <w:ind w:left="200"/>
      </w:pPr>
      <w:r>
        <w:rPr>
          <w:rFonts w:ascii="微软雅黑" w:hAnsi="微软雅黑" w:eastAsia="微软雅黑" w:cs="微软雅黑"/>
          <w:sz w:val="20"/>
          <w:szCs w:val="20"/>
        </w:rPr>
        <w:t>通知与排期事实来自法院意见书的转述；发送渠道、地址、到达时间以及邮件正文没有提供，继续保持 unknown 或 NR。</w:t>
      </w:r>
    </w:p>
    <w:p w14:paraId="3A1504EB">
      <w:pPr>
        <w:spacing w:after="40" w:line="340" w:lineRule="auto"/>
        <w:ind w:left="200"/>
      </w:pPr>
      <w:r>
        <w:rPr>
          <w:rFonts w:ascii="微软雅黑" w:hAnsi="微软雅黑" w:eastAsia="微软雅黑" w:cs="微软雅黑"/>
          <w:sz w:val="20"/>
          <w:szCs w:val="20"/>
        </w:rPr>
        <w:t>申请人援引 BSA 第 18 条主张书面处理，但系统只有意见书对该主张的转述，没有 BSA 全文，因此不宣读并不存在的合同正文。</w:t>
      </w:r>
    </w:p>
    <w:p w14:paraId="151C6F0A">
      <w:pPr>
        <w:spacing w:after="40" w:line="340" w:lineRule="auto"/>
        <w:ind w:left="200"/>
      </w:pPr>
      <w:r>
        <w:rPr>
          <w:rFonts w:ascii="微软雅黑" w:hAnsi="微软雅黑" w:eastAsia="微软雅黑" w:cs="微软雅黑"/>
          <w:sz w:val="20"/>
          <w:szCs w:val="20"/>
        </w:rPr>
        <w:t>申请人明确知道 5 月 20 日听证安排；对于意见书内部的年份矛盾，系统保留 CF 标记，不静默修正。</w:t>
      </w:r>
    </w:p>
    <w:p w14:paraId="0131E4BF">
      <w:pPr>
        <w:spacing w:after="40" w:line="340" w:lineRule="auto"/>
        <w:ind w:left="200"/>
      </w:pPr>
      <w:r>
        <w:rPr>
          <w:rFonts w:ascii="微软雅黑" w:hAnsi="微软雅黑" w:eastAsia="微软雅黑" w:cs="微软雅黑"/>
          <w:sz w:val="20"/>
          <w:szCs w:val="20"/>
        </w:rPr>
        <w:t>程序结果是：听证仍然举行，仲裁员听取 Amazon 一方证言，并给出当晚午夜前的最后补充窗口；申请人没有提交补充材料。</w:t>
      </w:r>
    </w:p>
    <w:p w14:paraId="2894A5DE">
      <w:pPr>
        <w:spacing w:after="40" w:line="340" w:lineRule="auto"/>
        <w:ind w:left="200"/>
      </w:pPr>
      <w:r>
        <w:rPr>
          <w:rFonts w:ascii="微软雅黑" w:hAnsi="微软雅黑" w:eastAsia="微软雅黑" w:cs="微软雅黑"/>
          <w:sz w:val="20"/>
          <w:szCs w:val="20"/>
        </w:rPr>
        <w:t>每个事件分别记录事实、来源和支持状态，严格区分已证明、有争议、unknown、NR 与 CF。</w:t>
      </w:r>
    </w:p>
    <w:p w14:paraId="5C946326">
      <w:pPr>
        <w:spacing w:after="40" w:line="340" w:lineRule="auto"/>
        <w:ind w:left="200"/>
      </w:pPr>
      <w:r>
        <w:rPr>
          <w:rFonts w:ascii="微软雅黑" w:hAnsi="微软雅黑" w:eastAsia="微软雅黑" w:cs="微软雅黑"/>
          <w:sz w:val="20"/>
          <w:szCs w:val="20"/>
        </w:rPr>
        <w:t>证据边界确认后，系统冻结本次 run_id，进入可重复播放的有限程序重放。</w:t>
      </w:r>
    </w:p>
    <w:p w14:paraId="30ECE72E">
      <w:pPr>
        <w:pStyle w:val="3"/>
        <w:spacing w:before="280" w:after="140"/>
      </w:pPr>
      <w:r>
        <w:rPr>
          <w:rFonts w:ascii="微软雅黑" w:hAnsi="微软雅黑" w:eastAsia="微软雅黑" w:cs="微软雅黑"/>
          <w:b/>
          <w:bCs/>
          <w:color w:val="2E75B6"/>
          <w:sz w:val="26"/>
          <w:szCs w:val="26"/>
        </w:rPr>
        <w:t>【07:00–08:10】预制听证重放与四角色交锋</w:t>
      </w:r>
    </w:p>
    <w:p w14:paraId="1867026D">
      <w:pPr>
        <w:spacing w:before="80" w:after="40"/>
      </w:pPr>
      <w:r>
        <w:rPr>
          <w:rFonts w:ascii="微软雅黑" w:hAnsi="微软雅黑" w:eastAsia="微软雅黑" w:cs="微软雅黑"/>
          <w:b/>
          <w:bCs/>
          <w:color w:val="1F4E79"/>
          <w:sz w:val="21"/>
          <w:szCs w:val="21"/>
        </w:rPr>
        <w:t>1. 画面</w:t>
      </w:r>
    </w:p>
    <w:p w14:paraId="7B40220A">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3D 观庭挂接本场 session。八段预制发言依次驱动申请方、被申请方、程序组织方和审计方；当前角色高亮，自动导播、时间轴、字幕与争点材料同步，页脚显示「本场运行」。</w:t>
      </w:r>
    </w:p>
    <w:p w14:paraId="1B7E1D44">
      <w:pPr>
        <w:spacing w:after="40" w:line="340" w:lineRule="auto"/>
        <w:ind w:left="200"/>
      </w:pPr>
      <w:r>
        <w:rPr>
          <w:rFonts w:ascii="微软雅黑" w:hAnsi="微软雅黑" w:eastAsia="微软雅黑" w:cs="微软雅黑"/>
          <w:sz w:val="20"/>
          <w:szCs w:val="20"/>
        </w:rPr>
        <w:t>八段预制事件按以下顺序播放：程序开场 → 申请方主张 → 被申请方答辩 → 时间线核对 → 申请方回应 → 被申请方回应 → 审计核验 → 法院结果对照。</w:t>
      </w:r>
    </w:p>
    <w:p w14:paraId="1B6F20A0">
      <w:pPr>
        <w:spacing w:after="40" w:line="340" w:lineRule="auto"/>
        <w:ind w:left="200"/>
      </w:pPr>
      <w:r>
        <w:rPr>
          <w:rFonts w:ascii="微软雅黑" w:hAnsi="微软雅黑" w:eastAsia="微软雅黑" w:cs="微软雅黑"/>
          <w:sz w:val="20"/>
          <w:szCs w:val="20"/>
        </w:rPr>
        <w:t>申请方：围绕 FAA §10(a)(3) 主张拒绝延期剥夺了出示证据和盘问证人的机会。</w:t>
      </w:r>
    </w:p>
    <w:p w14:paraId="639CE64F">
      <w:pPr>
        <w:spacing w:after="40" w:line="340" w:lineRule="auto"/>
        <w:ind w:left="200"/>
      </w:pPr>
      <w:r>
        <w:rPr>
          <w:rFonts w:ascii="微软雅黑" w:hAnsi="微软雅黑" w:eastAsia="微软雅黑" w:cs="微软雅黑"/>
          <w:sz w:val="20"/>
          <w:szCs w:val="20"/>
        </w:rPr>
        <w:t>被申请方：强调多次排期协调、书面替代与最后补充窗口，并指出申请人没有利用补充机会。</w:t>
      </w:r>
    </w:p>
    <w:p w14:paraId="5BED4F40">
      <w:pPr>
        <w:spacing w:after="40" w:line="340" w:lineRule="auto"/>
        <w:ind w:left="200"/>
      </w:pPr>
      <w:r>
        <w:rPr>
          <w:rFonts w:ascii="微软雅黑" w:hAnsi="微软雅黑" w:eastAsia="微软雅黑" w:cs="微软雅黑"/>
          <w:sz w:val="20"/>
          <w:szCs w:val="20"/>
        </w:rPr>
        <w:t>程序组织方：梳理 4 月 30 日至 5 月 20 日时间线，显式标出日期冲突和缺失材料，不宣读 BSA 未收录正文。</w:t>
      </w:r>
    </w:p>
    <w:p w14:paraId="2B002B23">
      <w:pPr>
        <w:spacing w:after="40" w:line="340" w:lineRule="auto"/>
        <w:ind w:left="200"/>
      </w:pPr>
      <w:r>
        <w:rPr>
          <w:rFonts w:ascii="微软雅黑" w:hAnsi="微软雅黑" w:eastAsia="微软雅黑" w:cs="微软雅黑"/>
          <w:sz w:val="20"/>
          <w:szCs w:val="20"/>
        </w:rPr>
        <w:t>审计方：检查每条主张能否回链到意见书摘录，确认 NR/unknown/CF 没有被流畅语言掩盖。</w:t>
      </w:r>
    </w:p>
    <w:p w14:paraId="3F75AAAD">
      <w:pPr>
        <w:spacing w:after="40" w:line="340" w:lineRule="auto"/>
        <w:ind w:left="200"/>
      </w:pPr>
      <w:r>
        <w:rPr>
          <w:rFonts w:ascii="微软雅黑" w:hAnsi="微软雅黑" w:eastAsia="微软雅黑" w:cs="微软雅黑"/>
          <w:sz w:val="20"/>
          <w:szCs w:val="20"/>
        </w:rPr>
        <w:t>随后切到复盘策略栏，展示同一 session 已绑定的零轮策略局：申请方 competing、被申请方 collaborating。</w:t>
      </w:r>
    </w:p>
    <w:p w14:paraId="1CE28276">
      <w:pPr>
        <w:spacing w:before="80" w:after="40"/>
      </w:pPr>
      <w:r>
        <w:rPr>
          <w:rFonts w:ascii="微软雅黑" w:hAnsi="微软雅黑" w:eastAsia="微软雅黑" w:cs="微软雅黑"/>
          <w:b/>
          <w:bCs/>
          <w:color w:val="1F4E79"/>
          <w:sz w:val="21"/>
          <w:szCs w:val="21"/>
        </w:rPr>
        <w:t>2. 字幕</w:t>
      </w:r>
    </w:p>
    <w:p w14:paraId="215612D0">
      <w:pPr>
        <w:spacing w:after="40" w:line="340" w:lineRule="auto"/>
        <w:ind w:left="200"/>
      </w:pPr>
      <w:r>
        <w:rPr>
          <w:rFonts w:ascii="微软雅黑" w:hAnsi="微软雅黑" w:eastAsia="微软雅黑" w:cs="微软雅黑"/>
          <w:sz w:val="20"/>
          <w:szCs w:val="20"/>
        </w:rPr>
        <w:t>有限程序重放 · 八段可重复播放</w:t>
      </w:r>
    </w:p>
    <w:p w14:paraId="49E70D70">
      <w:pPr>
        <w:spacing w:after="40" w:line="340" w:lineRule="auto"/>
        <w:ind w:left="200"/>
      </w:pPr>
      <w:r>
        <w:rPr>
          <w:rFonts w:ascii="微软雅黑" w:hAnsi="微软雅黑" w:eastAsia="微软雅黑" w:cs="微软雅黑"/>
          <w:sz w:val="20"/>
          <w:szCs w:val="20"/>
        </w:rPr>
        <w:t>申请方 · 被申请方 · 程序组织 · 审计</w:t>
      </w:r>
    </w:p>
    <w:p w14:paraId="3D010767">
      <w:pPr>
        <w:spacing w:after="40" w:line="340" w:lineRule="auto"/>
        <w:ind w:left="200"/>
      </w:pPr>
      <w:r>
        <w:rPr>
          <w:rFonts w:ascii="微软雅黑" w:hAnsi="微软雅黑" w:eastAsia="微软雅黑" w:cs="微软雅黑"/>
          <w:sz w:val="20"/>
          <w:szCs w:val="20"/>
        </w:rPr>
        <w:t>不回填历史事实 · 不把法院结果当系统裁判</w:t>
      </w:r>
    </w:p>
    <w:p w14:paraId="67E60D5E">
      <w:pPr>
        <w:spacing w:before="80" w:after="40"/>
      </w:pPr>
      <w:r>
        <w:rPr>
          <w:rFonts w:ascii="微软雅黑" w:hAnsi="微软雅黑" w:eastAsia="微软雅黑" w:cs="微软雅黑"/>
          <w:b/>
          <w:bCs/>
          <w:color w:val="1F4E79"/>
          <w:sz w:val="21"/>
          <w:szCs w:val="21"/>
        </w:rPr>
        <w:t>3. 配音</w:t>
      </w:r>
    </w:p>
    <w:p w14:paraId="02611C4C">
      <w:pPr>
        <w:spacing w:after="40" w:line="340" w:lineRule="auto"/>
        <w:ind w:left="200"/>
      </w:pPr>
      <w:r>
        <w:rPr>
          <w:rFonts w:ascii="微软雅黑" w:hAnsi="微软雅黑" w:eastAsia="微软雅黑" w:cs="微软雅黑"/>
          <w:sz w:val="20"/>
          <w:szCs w:val="20"/>
        </w:rPr>
        <w:t>在证据冻结的基础上，系统播放预制的八段有限程序重放。申请方与被申请方共四次发言，低于纽约执行研究的十二轮上限。</w:t>
      </w:r>
    </w:p>
    <w:p w14:paraId="26BA2948">
      <w:pPr>
        <w:spacing w:after="40" w:line="340" w:lineRule="auto"/>
        <w:ind w:left="200"/>
      </w:pPr>
      <w:r>
        <w:rPr>
          <w:rFonts w:ascii="微软雅黑" w:hAnsi="微软雅黑" w:eastAsia="微软雅黑" w:cs="微软雅黑"/>
          <w:sz w:val="20"/>
          <w:szCs w:val="20"/>
        </w:rPr>
        <w:t>申请方主张，拒绝延期使其无法参加损害赔偿听证、出示材料并盘问证人，构成 FAA §10(a)(3) 下的程序不当。</w:t>
      </w:r>
    </w:p>
    <w:p w14:paraId="5F3FF06D">
      <w:pPr>
        <w:spacing w:after="40" w:line="340" w:lineRule="auto"/>
        <w:ind w:left="200"/>
      </w:pPr>
      <w:r>
        <w:rPr>
          <w:rFonts w:ascii="微软雅黑" w:hAnsi="微软雅黑" w:eastAsia="微软雅黑" w:cs="微软雅黑"/>
          <w:sz w:val="20"/>
          <w:szCs w:val="20"/>
        </w:rPr>
        <w:t>被申请方回应，仲裁员曾多次协调时间、允许书面替代并给出最后补充窗口，申请人最终没有提交补充材料。</w:t>
      </w:r>
    </w:p>
    <w:p w14:paraId="0B96B6B5">
      <w:pPr>
        <w:spacing w:after="40" w:line="340" w:lineRule="auto"/>
        <w:ind w:left="200"/>
      </w:pPr>
      <w:r>
        <w:rPr>
          <w:rFonts w:ascii="微软雅黑" w:hAnsi="微软雅黑" w:eastAsia="微软雅黑" w:cs="微软雅黑"/>
          <w:sz w:val="20"/>
          <w:szCs w:val="20"/>
        </w:rPr>
        <w:t>程序组织方不替任何一方裁判，只核对时间线、来源和内部日期冲突；审计方则确认每个引用能回到现有摘录，并列出未收录材料。</w:t>
      </w:r>
    </w:p>
    <w:p w14:paraId="4EEE9EB3">
      <w:pPr>
        <w:spacing w:after="40" w:line="340" w:lineRule="auto"/>
        <w:ind w:left="200"/>
      </w:pPr>
      <w:r>
        <w:rPr>
          <w:rFonts w:ascii="微软雅黑" w:hAnsi="微软雅黑" w:eastAsia="微软雅黑" w:cs="微软雅黑"/>
          <w:sz w:val="20"/>
          <w:szCs w:val="20"/>
        </w:rPr>
        <w:t>四类角色只使用候选包中已冻结的信息。法院 2026 年结论放在最后作为研究者对照，不被包装成系统自动生成的结果。</w:t>
      </w:r>
    </w:p>
    <w:p w14:paraId="48345A8B">
      <w:pPr>
        <w:spacing w:after="40" w:line="340" w:lineRule="auto"/>
        <w:ind w:left="200"/>
      </w:pPr>
      <w:r>
        <w:rPr>
          <w:rFonts w:ascii="微软雅黑" w:hAnsi="微软雅黑" w:eastAsia="微软雅黑" w:cs="微软雅黑"/>
          <w:sz w:val="20"/>
          <w:szCs w:val="20"/>
        </w:rPr>
        <w:t>新增发言仅用于压力测试与演示，不回填历史事实，也不改变候选包的复核状态。</w:t>
      </w:r>
    </w:p>
    <w:p w14:paraId="0588B682">
      <w:pPr>
        <w:pStyle w:val="3"/>
        <w:spacing w:before="280" w:after="140"/>
      </w:pPr>
      <w:r>
        <w:rPr>
          <w:rFonts w:ascii="微软雅黑" w:hAnsi="微软雅黑" w:eastAsia="微软雅黑" w:cs="微软雅黑"/>
          <w:b/>
          <w:bCs/>
          <w:color w:val="2E75B6"/>
          <w:sz w:val="26"/>
          <w:szCs w:val="26"/>
        </w:rPr>
        <w:t>【08:10–09:00】策略与研究复盘、法院结论对照</w:t>
      </w:r>
    </w:p>
    <w:p w14:paraId="5F0F8ACC">
      <w:pPr>
        <w:spacing w:before="80" w:after="40"/>
      </w:pPr>
      <w:r>
        <w:rPr>
          <w:rFonts w:ascii="微软雅黑" w:hAnsi="微软雅黑" w:eastAsia="微软雅黑" w:cs="微软雅黑"/>
          <w:b/>
          <w:bCs/>
          <w:color w:val="1F4E79"/>
          <w:sz w:val="21"/>
          <w:szCs w:val="21"/>
        </w:rPr>
        <w:t>1. 画面</w:t>
      </w:r>
    </w:p>
    <w:p w14:paraId="094E479E">
      <w:pPr>
        <w:spacing w:after="40" w:line="340" w:lineRule="auto"/>
        <w:ind w:left="200"/>
      </w:pPr>
      <w:r>
        <w:rPr>
          <w:rFonts w:ascii="微软雅黑" w:hAnsi="微软雅黑" w:eastAsia="微软雅黑" w:cs="微软雅黑"/>
          <w:sz w:val="20"/>
          <w:szCs w:val="20"/>
        </w:rPr>
        <w:t>切换至复盘页并绑定本场 session；先打开策略栏，再打开研究栏。</w:t>
      </w:r>
    </w:p>
    <w:p w14:paraId="7CB0B69B">
      <w:pPr>
        <w:spacing w:after="40" w:line="340" w:lineRule="auto"/>
        <w:ind w:left="200"/>
      </w:pPr>
      <w:r>
        <w:rPr>
          <w:rFonts w:ascii="微软雅黑" w:hAnsi="微软雅黑" w:eastAsia="微软雅黑" w:cs="微软雅黑"/>
          <w:sz w:val="20"/>
          <w:szCs w:val="20"/>
        </w:rPr>
        <w:t>策略栏显示 game_id、双方初始策略、状态 created 与轮次 0；可查询收益矩阵和均衡。只有 LLM 配置就绪时才点击「推演一轮」。</w:t>
      </w:r>
    </w:p>
    <w:p w14:paraId="1AD2A2DE">
      <w:pPr>
        <w:spacing w:after="40" w:line="340" w:lineRule="auto"/>
        <w:ind w:left="200"/>
      </w:pPr>
      <w:r>
        <w:rPr>
          <w:rFonts w:ascii="微软雅黑" w:hAnsi="微软雅黑" w:eastAsia="微软雅黑" w:cs="微软雅黑"/>
          <w:sz w:val="20"/>
          <w:szCs w:val="20"/>
        </w:rPr>
        <w:t>研究栏显示 run_id，并提供六维打分、人工复核记录和研究包导出入口；机器检查不等于法律质量。</w:t>
      </w:r>
    </w:p>
    <w:p w14:paraId="3FDBBC4B">
      <w:pPr>
        <w:spacing w:after="40" w:line="340" w:lineRule="auto"/>
        <w:ind w:left="200"/>
      </w:pPr>
      <w:r>
        <w:rPr>
          <w:rFonts w:ascii="微软雅黑" w:hAnsi="微软雅黑" w:eastAsia="微软雅黑" w:cs="微软雅黑"/>
          <w:sz w:val="20"/>
          <w:szCs w:val="20"/>
        </w:rPr>
        <w:t>对照画面列出两条已写入的主张链、source_id 和材料缺口；不声称已经拥有邮件、裁决或 BSA 原文。</w:t>
      </w:r>
    </w:p>
    <w:p w14:paraId="6D597296">
      <w:pPr>
        <w:spacing w:after="40" w:line="340" w:lineRule="auto"/>
        <w:ind w:left="200"/>
      </w:pPr>
      <w:r>
        <w:rPr>
          <w:rFonts w:ascii="微软雅黑" w:hAnsi="微软雅黑" w:eastAsia="微软雅黑" w:cs="微软雅黑"/>
          <w:sz w:val="20"/>
          <w:szCs w:val="20"/>
        </w:rPr>
        <w:t>最后叠加法院意见：确认请求因 Article III standing 不足被驳回，法院未进入确认实体审查；撤销和修改请求则因拒绝延期有合理基础、不构成 §10(a)(3) misconduct 等理由被驳回，案件结案。</w:t>
      </w:r>
    </w:p>
    <w:p w14:paraId="35A59257">
      <w:pPr>
        <w:spacing w:before="80" w:after="40"/>
      </w:pPr>
      <w:r>
        <w:rPr>
          <w:rFonts w:ascii="微软雅黑" w:hAnsi="微软雅黑" w:eastAsia="微软雅黑" w:cs="微软雅黑"/>
          <w:b/>
          <w:bCs/>
          <w:color w:val="1F4E79"/>
          <w:sz w:val="21"/>
          <w:szCs w:val="21"/>
        </w:rPr>
        <w:t>2. 字幕</w:t>
      </w:r>
    </w:p>
    <w:p w14:paraId="12A2ACB9">
      <w:pPr>
        <w:spacing w:after="40" w:line="340" w:lineRule="auto"/>
        <w:ind w:left="200"/>
      </w:pPr>
      <w:r>
        <w:rPr>
          <w:rFonts w:ascii="微软雅黑" w:hAnsi="微软雅黑" w:eastAsia="微软雅黑" w:cs="微软雅黑"/>
          <w:sz w:val="20"/>
          <w:szCs w:val="20"/>
        </w:rPr>
        <w:t>策略状态 · 六维研究量表 · 法院结论对照</w:t>
      </w:r>
    </w:p>
    <w:p w14:paraId="0AD93FB1">
      <w:pPr>
        <w:spacing w:after="40" w:line="340" w:lineRule="auto"/>
        <w:ind w:left="200"/>
      </w:pPr>
      <w:r>
        <w:rPr>
          <w:rFonts w:ascii="微软雅黑" w:hAnsi="微软雅黑" w:eastAsia="微软雅黑" w:cs="微软雅黑"/>
          <w:sz w:val="20"/>
          <w:szCs w:val="20"/>
        </w:rPr>
        <w:t>确认：standing 驳回｜撤销/修改：实体驳回</w:t>
      </w:r>
    </w:p>
    <w:p w14:paraId="4BE57571">
      <w:pPr>
        <w:spacing w:after="40" w:line="340" w:lineRule="auto"/>
        <w:ind w:left="200"/>
      </w:pPr>
      <w:r>
        <w:rPr>
          <w:rFonts w:ascii="微软雅黑" w:hAnsi="微软雅黑" w:eastAsia="微软雅黑" w:cs="微软雅黑"/>
          <w:sz w:val="20"/>
          <w:szCs w:val="20"/>
        </w:rPr>
        <w:t>系统输出：可审计 · 可回链 · 明示材料缺口</w:t>
      </w:r>
    </w:p>
    <w:p w14:paraId="48F03196">
      <w:pPr>
        <w:spacing w:before="80" w:after="40"/>
      </w:pPr>
      <w:r>
        <w:rPr>
          <w:rFonts w:ascii="微软雅黑" w:hAnsi="微软雅黑" w:eastAsia="微软雅黑" w:cs="微软雅黑"/>
          <w:b/>
          <w:bCs/>
          <w:color w:val="1F4E79"/>
          <w:sz w:val="21"/>
          <w:szCs w:val="21"/>
        </w:rPr>
        <w:t>3. 配音</w:t>
      </w:r>
    </w:p>
    <w:p w14:paraId="4B9FEDA0">
      <w:pPr>
        <w:spacing w:after="40" w:line="340" w:lineRule="auto"/>
        <w:ind w:left="200"/>
      </w:pPr>
      <w:r>
        <w:rPr>
          <w:rFonts w:ascii="微软雅黑" w:hAnsi="微软雅黑" w:eastAsia="微软雅黑" w:cs="微软雅黑"/>
          <w:sz w:val="20"/>
          <w:szCs w:val="20"/>
        </w:rPr>
        <w:t>进入复盘后，同一 session 自动带出已绑定的 game_id 与 run_id。</w:t>
      </w:r>
    </w:p>
    <w:p w14:paraId="55B85D33">
      <w:pPr>
        <w:spacing w:after="40" w:line="340" w:lineRule="auto"/>
        <w:ind w:left="200"/>
      </w:pPr>
      <w:r>
        <w:rPr>
          <w:rFonts w:ascii="微软雅黑" w:hAnsi="微软雅黑" w:eastAsia="微软雅黑" w:cs="微软雅黑"/>
          <w:sz w:val="20"/>
          <w:szCs w:val="20"/>
        </w:rPr>
        <w:t>策略栏先展示 competing 与 collaborating 的零轮初始状态。比赛现场如 LLM 服务稳定，可推演一轮；如果未配置，则保持零轮，绝不把降级占位分数当成真实评测。</w:t>
      </w:r>
    </w:p>
    <w:p w14:paraId="74B867B9">
      <w:pPr>
        <w:spacing w:after="40" w:line="340" w:lineRule="auto"/>
        <w:ind w:left="200"/>
      </w:pPr>
      <w:r>
        <w:rPr>
          <w:rFonts w:ascii="微软雅黑" w:hAnsi="微软雅黑" w:eastAsia="微软雅黑" w:cs="微软雅黑"/>
          <w:sz w:val="20"/>
          <w:szCs w:val="20"/>
        </w:rPr>
        <w:t>研究栏可对本次 run 进行六维评价、人工复核和导出。画面同时保留 source_id、材料缺口与日期 CF，形成可检查的研究记录。</w:t>
      </w:r>
    </w:p>
    <w:p w14:paraId="31586009">
      <w:pPr>
        <w:spacing w:after="40" w:line="340" w:lineRule="auto"/>
        <w:ind w:left="200"/>
      </w:pPr>
      <w:r>
        <w:rPr>
          <w:rFonts w:ascii="微软雅黑" w:hAnsi="微软雅黑" w:eastAsia="微软雅黑" w:cs="微软雅黑"/>
          <w:sz w:val="20"/>
          <w:szCs w:val="20"/>
        </w:rPr>
        <w:t>与法院最终结果对照时要准确说明：确认请求因已付款后的 Article III standing 问题被驳回，法院没有确认裁决，也没有在实体上拒绝承认。</w:t>
      </w:r>
    </w:p>
    <w:p w14:paraId="358AA968">
      <w:pPr>
        <w:spacing w:after="40" w:line="340" w:lineRule="auto"/>
        <w:ind w:left="200"/>
      </w:pPr>
      <w:r>
        <w:rPr>
          <w:rFonts w:ascii="微软雅黑" w:hAnsi="微软雅黑" w:eastAsia="微软雅黑" w:cs="微软雅黑"/>
          <w:sz w:val="20"/>
          <w:szCs w:val="20"/>
        </w:rPr>
        <w:t>对撤销和修改请求，法院认为仲裁员拒绝延期具有合理基础，不构成 FAA §10(a)(3) misconduct，也没有达到明显漠视法律或 §11(a) 明显计算错误的标准。</w:t>
      </w:r>
    </w:p>
    <w:p w14:paraId="280532CC">
      <w:pPr>
        <w:spacing w:after="40" w:line="340" w:lineRule="auto"/>
        <w:ind w:left="200"/>
      </w:pPr>
      <w:r>
        <w:rPr>
          <w:rFonts w:ascii="微软雅黑" w:hAnsi="微软雅黑" w:eastAsia="微软雅黑" w:cs="微软雅黑"/>
          <w:sz w:val="20"/>
          <w:szCs w:val="20"/>
        </w:rPr>
        <w:t>因此动议整体被驳回、案件结案，但不同请求的理由必须分开表达。</w:t>
      </w:r>
    </w:p>
    <w:p w14:paraId="6A860A4C">
      <w:pPr>
        <w:spacing w:after="40" w:line="340" w:lineRule="auto"/>
        <w:ind w:left="200"/>
      </w:pPr>
      <w:r>
        <w:rPr>
          <w:rFonts w:ascii="微软雅黑" w:hAnsi="微软雅黑" w:eastAsia="微软雅黑" w:cs="微软雅黑"/>
          <w:sz w:val="20"/>
          <w:szCs w:val="20"/>
        </w:rPr>
        <w:t>系统不预测或评价法院结论的对错，而是把通知、知悉、改期、出席、补充机会、裁决和法院审查分层呈现，供研究者判断论证强度与证据缺口。</w:t>
      </w:r>
    </w:p>
    <w:p w14:paraId="547EAB3D">
      <w:pPr>
        <w:pStyle w:val="3"/>
        <w:spacing w:before="280" w:after="140"/>
      </w:pPr>
      <w:r>
        <w:rPr>
          <w:rFonts w:ascii="微软雅黑" w:hAnsi="微软雅黑" w:eastAsia="微软雅黑" w:cs="微软雅黑"/>
          <w:b/>
          <w:bCs/>
          <w:color w:val="2E75B6"/>
          <w:sz w:val="26"/>
          <w:szCs w:val="26"/>
        </w:rPr>
        <w:t>【09:00–09:40】比赛演示闭环总结</w:t>
      </w:r>
    </w:p>
    <w:p w14:paraId="2564DE2F">
      <w:pPr>
        <w:spacing w:before="80" w:after="40"/>
      </w:pPr>
      <w:r>
        <w:rPr>
          <w:rFonts w:ascii="微软雅黑" w:hAnsi="微软雅黑" w:eastAsia="微软雅黑" w:cs="微软雅黑"/>
          <w:b/>
          <w:bCs/>
          <w:color w:val="1F4E79"/>
          <w:sz w:val="21"/>
          <w:szCs w:val="21"/>
        </w:rPr>
        <w:t>1. 画面</w:t>
      </w:r>
    </w:p>
    <w:p w14:paraId="2AD28CDA">
      <w:pPr>
        <w:spacing w:after="40" w:line="340" w:lineRule="auto"/>
        <w:ind w:left="200"/>
      </w:pPr>
      <w:r>
        <w:rPr>
          <w:rFonts w:ascii="微软雅黑" w:hAnsi="微软雅黑" w:eastAsia="微软雅黑" w:cs="微软雅黑"/>
          <w:sz w:val="20"/>
          <w:szCs w:val="20"/>
        </w:rPr>
        <w:t>快速回放五段关键画面：候选包检查 → 文字庭审 → 3D 观庭 → 策略零轮状态 → 研究复盘与法院结论对照。</w:t>
      </w:r>
      <w:r>
        <w:rPr>
          <w:rFonts w:hint="eastAsia" w:cs="微软雅黑"/>
          <w:sz w:val="20"/>
          <w:szCs w:val="20"/>
          <w:lang w:val="en-US" w:eastAsia="zh-CN"/>
        </w:rPr>
      </w:r>
      <w:bookmarkStart w:id="0" w:name="_GoBack"/>
      <w:bookmarkEnd w:id="0"/>
      <w:r>
        <w:rPr>
          <w:rFonts w:ascii="微软雅黑" w:hAnsi="微软雅黑" w:eastAsia="微软雅黑" w:cs="微软雅黑"/>
          <w:sz w:val="20"/>
          <w:szCs w:val="20"/>
        </w:rPr>
      </w:r>
    </w:p>
    <w:p w14:paraId="62465845">
      <w:pPr>
        <w:spacing w:after="40" w:line="340" w:lineRule="auto"/>
        <w:ind w:left="200"/>
      </w:pPr>
      <w:r>
        <w:rPr>
          <w:rFonts w:ascii="微软雅黑" w:hAnsi="微软雅黑" w:eastAsia="微软雅黑" w:cs="微软雅黑"/>
          <w:sz w:val="20"/>
          <w:szCs w:val="20"/>
        </w:rPr>
        <w:t>叠加「候选包与证据边界 → 预制会话 → 有限重放 → 策略/研究复盘」流程图。</w:t>
      </w:r>
    </w:p>
    <w:p w14:paraId="1883EA22">
      <w:pPr>
        <w:spacing w:after="40" w:line="340" w:lineRule="auto"/>
        <w:ind w:left="200"/>
      </w:pPr>
      <w:r>
        <w:rPr>
          <w:rFonts w:ascii="微软雅黑" w:hAnsi="微软雅黑" w:eastAsia="微软雅黑" w:cs="微软雅黑"/>
          <w:sz w:val="20"/>
          <w:szCs w:val="20"/>
        </w:rPr>
        <w:t>定格关键词：可复核 · 可溯源 · 可积累。</w:t>
      </w:r>
    </w:p>
    <w:p w14:paraId="1319DD91">
      <w:pPr>
        <w:spacing w:before="80" w:after="40"/>
      </w:pPr>
      <w:r>
        <w:rPr>
          <w:rFonts w:ascii="微软雅黑" w:hAnsi="微软雅黑" w:eastAsia="微软雅黑" w:cs="微软雅黑"/>
          <w:b/>
          <w:bCs/>
          <w:color w:val="1F4E79"/>
          <w:sz w:val="21"/>
          <w:szCs w:val="21"/>
        </w:rPr>
        <w:t>2. 字幕</w:t>
      </w:r>
    </w:p>
    <w:p w14:paraId="0D7A35A5">
      <w:pPr>
        <w:spacing w:after="40" w:line="340" w:lineRule="auto"/>
        <w:ind w:left="200"/>
      </w:pPr>
      <w:r>
        <w:rPr>
          <w:rFonts w:ascii="微软雅黑" w:hAnsi="微软雅黑" w:eastAsia="微软雅黑" w:cs="微软雅黑"/>
          <w:sz w:val="20"/>
          <w:szCs w:val="20"/>
        </w:rPr>
        <w:t>真实案例候选包 · 可复现比赛场景</w:t>
      </w:r>
    </w:p>
    <w:p w14:paraId="6E710BA1">
      <w:pPr>
        <w:spacing w:after="40" w:line="340" w:lineRule="auto"/>
        <w:ind w:left="200"/>
      </w:pPr>
      <w:r>
        <w:rPr>
          <w:rFonts w:ascii="微软雅黑" w:hAnsi="微软雅黑" w:eastAsia="微软雅黑" w:cs="微软雅黑"/>
          <w:sz w:val="20"/>
          <w:szCs w:val="20"/>
        </w:rPr>
        <w:t>证据冻结 · 有限程序重放 · 策略/研究复盘</w:t>
      </w:r>
    </w:p>
    <w:p w14:paraId="6420F96A">
      <w:pPr>
        <w:spacing w:after="40" w:line="340" w:lineRule="auto"/>
        <w:ind w:left="200"/>
      </w:pPr>
      <w:r>
        <w:rPr>
          <w:rFonts w:ascii="微软雅黑" w:hAnsi="微软雅黑" w:eastAsia="微软雅黑" w:cs="微软雅黑"/>
          <w:sz w:val="20"/>
          <w:szCs w:val="20"/>
        </w:rPr>
        <w:t>可复核 · 可溯源 · 可积累</w:t>
      </w:r>
    </w:p>
    <w:p w14:paraId="7DE5C90A">
      <w:pPr>
        <w:spacing w:before="80" w:after="40"/>
      </w:pPr>
      <w:r>
        <w:rPr>
          <w:rFonts w:ascii="微软雅黑" w:hAnsi="微软雅黑" w:eastAsia="微软雅黑" w:cs="微软雅黑"/>
          <w:b/>
          <w:bCs/>
          <w:color w:val="1F4E79"/>
          <w:sz w:val="21"/>
          <w:szCs w:val="21"/>
        </w:rPr>
        <w:t>3. 配音</w:t>
      </w:r>
    </w:p>
    <w:p w14:paraId="44894C37">
      <w:pPr>
        <w:spacing w:after="40" w:line="340" w:lineRule="auto"/>
        <w:ind w:left="200"/>
      </w:pPr>
      <w:r>
        <w:rPr>
          <w:rFonts w:ascii="微软雅黑" w:hAnsi="微软雅黑" w:eastAsia="微软雅黑" w:cs="微软雅黑"/>
          <w:sz w:val="20"/>
          <w:szCs w:val="20"/>
        </w:rPr>
        <w:t>从检查 Yingfan 候选包，到载入预制 CI 会话、播放文字与 3D 听证，再到策略和研究复盘，我们完成了一条可重复录制的比赛演示主路径。</w:t>
      </w:r>
    </w:p>
    <w:p w14:paraId="7F32811E">
      <w:pPr>
        <w:spacing w:after="40" w:line="340" w:lineRule="auto"/>
        <w:ind w:left="200"/>
      </w:pPr>
      <w:r>
        <w:rPr>
          <w:rFonts w:ascii="微软雅黑" w:hAnsi="微软雅黑" w:eastAsia="微软雅黑" w:cs="微软雅黑"/>
          <w:sz w:val="20"/>
          <w:szCs w:val="20"/>
        </w:rPr>
        <w:t>系统严格区分事实观察与规范评价，明确暴露未收录材料和内部日期冲突；审计角色只检查现有来源，不替缺失证据补写内容。</w:t>
      </w:r>
    </w:p>
    <w:p w14:paraId="2E58E826">
      <w:pPr>
        <w:spacing w:after="40" w:line="340" w:lineRule="auto"/>
        <w:ind w:left="200"/>
      </w:pPr>
      <w:r>
        <w:rPr>
          <w:rFonts w:ascii="微软雅黑" w:hAnsi="微软雅黑" w:eastAsia="微软雅黑" w:cs="微软雅黑"/>
          <w:sz w:val="20"/>
          <w:szCs w:val="20"/>
        </w:rPr>
        <w:t>本案仍是 0.1.0-draft 候选包，独立复核尚未完成，正式研究包数量仍为零。比赛展示的是工程化研究流程，不是正式法律结论。</w:t>
      </w:r>
    </w:p>
    <w:p w14:paraId="5BE0DDE0">
      <w:pPr>
        <w:spacing w:after="40" w:line="340" w:lineRule="auto"/>
        <w:ind w:left="200"/>
      </w:pPr>
      <w:r>
        <w:rPr>
          <w:rFonts w:ascii="微软雅黑" w:hAnsi="微软雅黑" w:eastAsia="微软雅黑" w:cs="微软雅黑"/>
          <w:sz w:val="20"/>
          <w:szCs w:val="20"/>
        </w:rPr>
        <w:t>法序智演希望交付的核心价值，是让程序论证可检查、可回溯、可重复，并让系统边界和证据缺口同样清楚可见。</w:t>
      </w:r>
    </w:p>
    <w:p w14:paraId="3A81D161">
      <w:pPr>
        <w:pStyle w:val="2"/>
        <w:spacing w:before="360" w:after="200"/>
      </w:pPr>
      <w:r>
        <w:rPr>
          <w:rFonts w:ascii="微软雅黑" w:hAnsi="微软雅黑" w:eastAsia="微软雅黑" w:cs="微软雅黑"/>
          <w:b/>
          <w:bCs/>
          <w:color w:val="1F4E79"/>
          <w:sz w:val="32"/>
          <w:szCs w:val="32"/>
        </w:rPr>
        <w:t>片尾（09:40–10:00）</w:t>
      </w:r>
    </w:p>
    <w:p w14:paraId="69FE19E4">
      <w:pPr>
        <w:spacing w:before="80" w:after="40"/>
      </w:pPr>
      <w:r>
        <w:rPr>
          <w:rFonts w:ascii="微软雅黑" w:hAnsi="微软雅黑" w:eastAsia="微软雅黑" w:cs="微软雅黑"/>
          <w:b/>
          <w:bCs/>
          <w:color w:val="1F4E79"/>
          <w:sz w:val="21"/>
          <w:szCs w:val="21"/>
        </w:rPr>
        <w:t>1. 画面</w:t>
      </w:r>
    </w:p>
    <w:p w14:paraId="1B1BB9EB">
      <w:pPr>
        <w:spacing w:after="40" w:line="340" w:lineRule="auto"/>
        <w:ind w:left="200"/>
      </w:pPr>
      <w:r>
        <w:rPr>
          <w:rFonts w:ascii="微软雅黑" w:hAnsi="微软雅黑" w:eastAsia="微软雅黑" w:cs="微软雅黑"/>
          <w:sz w:val="20"/>
          <w:szCs w:val="20"/>
        </w:rPr>
        <w:t>产品 Logo 再次出现，下方联系方式或二维码，以及「</w:t>
      </w:r>
      <w:commentRangeStart w:id="0"/>
      <w:r>
        <w:rPr>
          <w:rFonts w:ascii="微软雅黑" w:hAnsi="微软雅黑" w:eastAsia="微软雅黑" w:cs="微软雅黑"/>
          <w:sz w:val="20"/>
          <w:szCs w:val="20"/>
        </w:rPr>
        <w:t xml:space="preserve">北京理工大学 </w:t>
      </w:r>
      <w:commentRangeEnd w:id="0"/>
      <w:r>
        <w:commentReference w:id="0"/>
      </w:r>
      <w:r>
        <w:rPr>
          <w:rFonts w:ascii="微软雅黑" w:hAnsi="微软雅黑" w:eastAsia="微软雅黑" w:cs="微软雅黑"/>
          <w:sz w:val="20"/>
          <w:szCs w:val="20"/>
        </w:rPr>
        <w:t>· 法序智演团队」署名。</w:t>
      </w:r>
    </w:p>
    <w:p w14:paraId="3ED08DEF">
      <w:pPr>
        <w:spacing w:before="80" w:after="40"/>
      </w:pPr>
      <w:r>
        <w:rPr>
          <w:rFonts w:ascii="微软雅黑" w:hAnsi="微软雅黑" w:eastAsia="微软雅黑" w:cs="微软雅黑"/>
          <w:b/>
          <w:bCs/>
          <w:color w:val="1F4E79"/>
          <w:sz w:val="21"/>
          <w:szCs w:val="21"/>
        </w:rPr>
        <w:t>2. 字幕</w:t>
      </w:r>
    </w:p>
    <w:p w14:paraId="302BDA8C">
      <w:pPr>
        <w:spacing w:after="40" w:line="340" w:lineRule="auto"/>
        <w:ind w:left="200"/>
      </w:pPr>
      <w:r>
        <w:rPr>
          <w:rFonts w:ascii="微软雅黑" w:hAnsi="微软雅黑" w:eastAsia="微软雅黑" w:cs="微软雅黑"/>
          <w:sz w:val="20"/>
          <w:szCs w:val="20"/>
        </w:rPr>
        <w:t>法序智演 LexGentium</w:t>
      </w:r>
    </w:p>
    <w:p w14:paraId="3CFCFBA1">
      <w:pPr>
        <w:spacing w:after="40" w:line="340" w:lineRule="auto"/>
        <w:ind w:left="200"/>
      </w:pPr>
      <w:r>
        <w:rPr>
          <w:rFonts w:ascii="微软雅黑" w:hAnsi="微软雅黑" w:eastAsia="微软雅黑" w:cs="微软雅黑"/>
          <w:sz w:val="20"/>
          <w:szCs w:val="20"/>
        </w:rPr>
        <w:t>多智能体协同的国际商事仲裁</w:t>
      </w:r>
    </w:p>
    <w:p w14:paraId="36F32F37">
      <w:pPr>
        <w:spacing w:after="40" w:line="340" w:lineRule="auto"/>
        <w:ind w:left="200"/>
      </w:pPr>
      <w:r>
        <w:rPr>
          <w:rFonts w:ascii="微软雅黑" w:hAnsi="微软雅黑" w:eastAsia="微软雅黑" w:cs="微软雅黑"/>
          <w:sz w:val="20"/>
          <w:szCs w:val="20"/>
        </w:rPr>
        <w:t>程序论证与审计溯源平台</w:t>
      </w:r>
    </w:p>
    <w:p w14:paraId="6520FAD8">
      <w:pPr>
        <w:spacing w:after="40" w:line="340" w:lineRule="auto"/>
        <w:ind w:left="200"/>
      </w:pPr>
      <w:r>
        <w:rPr>
          <w:rFonts w:ascii="微软雅黑" w:hAnsi="微软雅黑" w:eastAsia="微软雅黑" w:cs="微软雅黑"/>
          <w:sz w:val="20"/>
          <w:szCs w:val="20"/>
        </w:rPr>
        <w:t>欢迎关注与交流</w:t>
      </w:r>
    </w:p>
    <w:p w14:paraId="1E4B4E95">
      <w:pPr>
        <w:numPr>
          <w:ilvl w:val="0"/>
          <w:numId w:val="1"/>
        </w:numPr>
        <w:spacing w:before="80" w:after="40"/>
        <w:rPr>
          <w:rFonts w:ascii="微软雅黑" w:hAnsi="微软雅黑" w:eastAsia="微软雅黑" w:cs="微软雅黑"/>
          <w:b/>
          <w:bCs/>
          <w:color w:val="1F4E79"/>
          <w:sz w:val="21"/>
          <w:szCs w:val="21"/>
        </w:rPr>
      </w:pPr>
      <w:r>
        <w:rPr>
          <w:rFonts w:ascii="微软雅黑" w:hAnsi="微软雅黑" w:eastAsia="微软雅黑" w:cs="微软雅黑"/>
          <w:b/>
          <w:bCs/>
          <w:color w:val="1F4E79"/>
          <w:sz w:val="21"/>
          <w:szCs w:val="21"/>
        </w:rPr>
        <w:t>配音</w:t>
      </w:r>
    </w:p>
    <w:p w14:paraId="7BA23332">
      <w:pPr>
        <w:spacing w:after="40" w:line="340" w:lineRule="auto"/>
        <w:ind w:left="200"/>
        <w:rPr>
          <w:rFonts w:hint="default" w:ascii="微软雅黑" w:hAnsi="微软雅黑" w:eastAsia="微软雅黑" w:cs="微软雅黑"/>
          <w:b/>
          <w:bCs/>
          <w:color w:val="1F4E79"/>
          <w:sz w:val="21"/>
          <w:szCs w:val="21"/>
          <w:lang w:val="en-US" w:eastAsia="zh-CN"/>
        </w:rPr>
      </w:pPr>
      <w:r>
        <w:rPr>
          <w:rFonts w:hint="eastAsia" w:ascii="微软雅黑" w:hAnsi="微软雅黑" w:eastAsia="微软雅黑" w:cs="微软雅黑"/>
          <w:sz w:val="20"/>
          <w:szCs w:val="20"/>
        </w:rPr>
        <w:t>以上是《法序智演 LexGentium》的主要功能演示。</w:t>
      </w:r>
    </w:p>
    <w:p w14:paraId="6A067F0B">
      <w:pPr>
        <w:spacing w:after="40" w:line="340" w:lineRule="auto"/>
        <w:ind w:left="200"/>
      </w:pPr>
      <w:r>
        <w:rPr>
          <w:rFonts w:ascii="微软雅黑" w:hAnsi="微软雅黑" w:eastAsia="微软雅黑" w:cs="微软雅黑"/>
          <w:sz w:val="20"/>
          <w:szCs w:val="20"/>
        </w:rPr>
        <w:t>法序智演，LexGentium。</w:t>
      </w:r>
    </w:p>
    <w:p w14:paraId="191C3837">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以多智能体博弈驱动程序仿真，以动态溯源记录论证演化。</w:t>
      </w:r>
    </w:p>
    <w:p w14:paraId="4AF1C28A">
      <w:pPr>
        <w:spacing w:after="40" w:line="340" w:lineRule="auto"/>
        <w:ind w:left="200"/>
        <w:rPr>
          <w:rFonts w:hint="eastAsia" w:ascii="微软雅黑" w:hAnsi="微软雅黑" w:eastAsia="微软雅黑" w:cs="微软雅黑"/>
          <w:sz w:val="20"/>
          <w:szCs w:val="20"/>
        </w:rPr>
      </w:pPr>
      <w:r>
        <w:rPr>
          <w:rFonts w:hint="eastAsia" w:cs="微软雅黑"/>
          <w:sz w:val="20"/>
          <w:szCs w:val="20"/>
          <w:lang w:val="en-US" w:eastAsia="zh-CN"/>
        </w:rPr>
        <w:t>当前的</w:t>
      </w:r>
      <w:r>
        <w:rPr>
          <w:rFonts w:hint="eastAsia" w:ascii="微软雅黑" w:hAnsi="微软雅黑" w:eastAsia="微软雅黑" w:cs="微软雅黑"/>
          <w:sz w:val="20"/>
          <w:szCs w:val="20"/>
        </w:rPr>
        <w:t>涉中国国际商事仲裁中，程序材料分散、通知与知悉交织、抗辩路径交错。我们</w:t>
      </w:r>
      <w:r>
        <w:rPr>
          <w:rFonts w:hint="eastAsia" w:cs="微软雅黑"/>
          <w:sz w:val="20"/>
          <w:szCs w:val="20"/>
          <w:lang w:val="en-US" w:eastAsia="zh-CN"/>
        </w:rPr>
        <w:t>的系统试图</w:t>
      </w:r>
      <w:r>
        <w:rPr>
          <w:rFonts w:hint="eastAsia" w:ascii="微软雅黑" w:hAnsi="微软雅黑" w:eastAsia="微软雅黑" w:cs="微软雅黑"/>
          <w:sz w:val="20"/>
          <w:szCs w:val="20"/>
        </w:rPr>
        <w:t>将其整理为可进入、可博弈、可演绎的动态仿真与论证环境。</w:t>
      </w:r>
    </w:p>
    <w:p w14:paraId="259BBC0D">
      <w:pPr>
        <w:spacing w:after="40" w:line="340" w:lineRule="auto"/>
        <w:ind w:left="200"/>
        <w:rPr>
          <w:rFonts w:hint="eastAsia" w:ascii="微软雅黑" w:hAnsi="微软雅黑" w:eastAsia="微软雅黑" w:cs="微软雅黑"/>
          <w:sz w:val="20"/>
          <w:szCs w:val="20"/>
        </w:rPr>
      </w:pPr>
    </w:p>
    <w:p w14:paraId="10B321B5">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系统以大语言模型为底座，融合多智能体协同、混合检索增强生成与可溯源结构化推理，结合策略推演与多维评测，聚焦涉中国国际商事仲裁场景，以CISG与《纽约公约》为主要法源，按照数据集逐案展开仿真。申请方、被申请方、程序主持、来源审计与研究者各具目标、可见材料和阶段权限，在程序规则约束下多轮博弈；通知、知悉、陈述机会、抗辩与回应动态展开，主张可支持、反驳、补充、修正或撤回。系统以程序状态机、事件驱动可视化与动态溯源记录事件、发言、论证节点和条件变化，并结合三维可视化呈现听证过程，输出程序事件卡、双向论证图、比较研究备忘录与可核查运行记录，让研究者从重复性材料梳理中抽身，把精力留给真正的判断与责任。所有输出仅作辅助参考，不替代仲裁庭或法院判断。</w:t>
      </w:r>
    </w:p>
    <w:p w14:paraId="694503A1">
      <w:pPr>
        <w:spacing w:after="40" w:line="340" w:lineRule="auto"/>
        <w:ind w:left="200"/>
        <w:rPr>
          <w:rFonts w:hint="eastAsia" w:ascii="微软雅黑" w:hAnsi="微软雅黑" w:eastAsia="微软雅黑" w:cs="微软雅黑"/>
          <w:sz w:val="20"/>
          <w:szCs w:val="20"/>
        </w:rPr>
      </w:pPr>
    </w:p>
    <w:p w14:paraId="355F321C">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未来，我们将继续围绕涉中国国际商事仲裁数据集，深化CISG与《纽约公约》交叉场景下的程序博弈与动态论证，完善九维编码体系与人机协作数据积累，让程序推进更可观察、论证分歧更可追问、研究结果更可复核，以更从容应对日益复杂的国际商事仲裁程序争议新形势。</w:t>
      </w:r>
    </w:p>
    <w:p w14:paraId="674C4497">
      <w:pPr>
        <w:spacing w:after="40" w:line="340" w:lineRule="auto"/>
        <w:ind w:left="200"/>
        <w:rPr>
          <w:rFonts w:hint="eastAsia" w:ascii="微软雅黑" w:hAnsi="微软雅黑" w:eastAsia="微软雅黑" w:cs="微软雅黑"/>
          <w:sz w:val="20"/>
          <w:szCs w:val="20"/>
        </w:rPr>
      </w:pPr>
    </w:p>
    <w:p w14:paraId="33FE3C75">
      <w:pPr>
        <w:spacing w:after="40" w:line="340" w:lineRule="auto"/>
        <w:ind w:left="200"/>
        <w:rPr>
          <w:rFonts w:hint="eastAsia" w:ascii="微软雅黑" w:hAnsi="微软雅黑" w:eastAsia="微软雅黑" w:cs="微软雅黑"/>
          <w:sz w:val="20"/>
          <w:szCs w:val="20"/>
        </w:rPr>
      </w:pPr>
      <w:r>
        <w:rPr>
          <w:rFonts w:hint="eastAsia" w:ascii="微软雅黑" w:hAnsi="微软雅黑" w:eastAsia="微软雅黑" w:cs="微软雅黑"/>
          <w:sz w:val="20"/>
          <w:szCs w:val="20"/>
        </w:rPr>
        <w:t>感谢各位老师和评委聆听与指导，恳请批评指正。</w:t>
      </w:r>
    </w:p>
    <w:p w14:paraId="6B190AEC">
      <w:pPr>
        <w:pStyle w:val="2"/>
        <w:spacing w:before="360" w:after="200"/>
      </w:pPr>
      <w:r>
        <w:rPr>
          <w:rFonts w:ascii="微软雅黑" w:hAnsi="微软雅黑" w:eastAsia="微软雅黑" w:cs="微软雅黑"/>
          <w:b/>
          <w:bCs/>
          <w:color w:val="1F4E79"/>
          <w:sz w:val="32"/>
          <w:szCs w:val="32"/>
        </w:rPr>
        <w:t>录制与剪辑提示</w:t>
      </w:r>
    </w:p>
    <w:tbl>
      <w:tblPr>
        <w:tblStyle w:val="12"/>
        <w:tblW w:w="9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7"/>
        <w:gridCol w:w="4285"/>
        <w:gridCol w:w="4285"/>
      </w:tblGrid>
      <w:tr w14:paraId="45B7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7"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7932C684">
            <w:r>
              <w:rPr>
                <w:rFonts w:ascii="微软雅黑" w:hAnsi="微软雅黑" w:eastAsia="微软雅黑" w:cs="微软雅黑"/>
                <w:b/>
                <w:bCs/>
                <w:color w:val="FFFFFF"/>
                <w:sz w:val="20"/>
                <w:szCs w:val="20"/>
              </w:rPr>
              <w:t>项目</w:t>
            </w:r>
          </w:p>
        </w:tc>
        <w:tc>
          <w:tcPr>
            <w:tcW w:w="428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4EB062D0">
            <w:r>
              <w:rPr>
                <w:rFonts w:ascii="微软雅黑" w:hAnsi="微软雅黑" w:eastAsia="微软雅黑" w:cs="微软雅黑"/>
                <w:b/>
                <w:bCs/>
                <w:color w:val="FFFFFF"/>
                <w:sz w:val="20"/>
                <w:szCs w:val="20"/>
              </w:rPr>
              <w:t>建议</w:t>
            </w:r>
          </w:p>
        </w:tc>
        <w:tc>
          <w:tcPr>
            <w:tcW w:w="428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5E11CF0">
            <w:pPr>
              <w:rPr>
                <w:rFonts w:ascii="微软雅黑" w:hAnsi="微软雅黑" w:eastAsia="微软雅黑" w:cs="微软雅黑"/>
                <w:b/>
                <w:bCs/>
                <w:color w:val="FFFFFF"/>
                <w:sz w:val="20"/>
                <w:szCs w:val="20"/>
              </w:rPr>
            </w:pPr>
          </w:p>
        </w:tc>
      </w:tr>
      <w:tr w14:paraId="1DF1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7"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1A83B96">
            <w:r>
              <w:rPr>
                <w:rFonts w:ascii="微软雅黑" w:hAnsi="微软雅黑" w:eastAsia="微软雅黑" w:cs="微软雅黑"/>
                <w:b/>
                <w:bCs/>
                <w:sz w:val="19"/>
                <w:szCs w:val="19"/>
              </w:rPr>
              <w:t>案例材料</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4F8F8">
            <w:r>
              <w:rPr>
                <w:rFonts w:ascii="微软雅黑" w:hAnsi="微软雅黑" w:eastAsia="微软雅黑" w:cs="微软雅黑"/>
                <w:sz w:val="19"/>
                <w:szCs w:val="19"/>
              </w:rPr>
              <w:t>仅展示法院意见书摘录与标注结构；Partial Final Award、Final Award、BSA 全文、邮件原件和支付明细均不得表现为已加载。</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4565FB">
            <w:pPr>
              <w:rPr>
                <w:rFonts w:ascii="微软雅黑" w:hAnsi="微软雅黑" w:eastAsia="微软雅黑" w:cs="微软雅黑"/>
                <w:sz w:val="19"/>
                <w:szCs w:val="19"/>
              </w:rPr>
            </w:pPr>
          </w:p>
        </w:tc>
      </w:tr>
      <w:tr w14:paraId="71DE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7" w:type="dxa"/>
            <w:tcBorders>
              <w:top w:val="single" w:color="CCCCCC" w:sz="0" w:space="0"/>
              <w:left w:val="single" w:color="CCCCCC" w:sz="0" w:space="0"/>
              <w:bottom w:val="single" w:color="CCCCCC" w:sz="0" w:space="0"/>
              <w:right w:val="single" w:color="CCCCCC" w:sz="0" w:space="0"/>
            </w:tcBorders>
            <w:shd w:val="clear" w:color="auto" w:fill="F5F5F5"/>
            <w:tcMar>
              <w:top w:w="60" w:type="dxa"/>
              <w:left w:w="100" w:type="dxa"/>
              <w:bottom w:w="60" w:type="dxa"/>
              <w:right w:w="100" w:type="dxa"/>
            </w:tcMar>
          </w:tcPr>
          <w:p w14:paraId="474FEB50">
            <w:r>
              <w:rPr>
                <w:rFonts w:ascii="微软雅黑" w:hAnsi="微软雅黑" w:eastAsia="微软雅黑" w:cs="微软雅黑"/>
                <w:b/>
                <w:bCs/>
                <w:sz w:val="19"/>
                <w:szCs w:val="19"/>
              </w:rPr>
              <w:t>操作录屏</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A515A2">
            <w:r>
              <w:rPr>
                <w:rFonts w:ascii="微软雅黑" w:hAnsi="微软雅黑" w:eastAsia="微软雅黑" w:cs="微软雅黑"/>
                <w:sz w:val="19"/>
                <w:szCs w:val="19"/>
              </w:rPr>
              <w:t>按预制清单真实录制研究页、文字庭审、3D 观庭、策略栏和研究栏；页面上的 session_id、run_id、game_id 应来自同一次预制。</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A1EC5E">
            <w:pPr>
              <w:rPr>
                <w:rFonts w:ascii="微软雅黑" w:hAnsi="微软雅黑" w:eastAsia="微软雅黑" w:cs="微软雅黑"/>
                <w:sz w:val="19"/>
                <w:szCs w:val="19"/>
              </w:rPr>
            </w:pPr>
          </w:p>
        </w:tc>
      </w:tr>
      <w:tr w14:paraId="04E2A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7"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DCA5FE3">
            <w:r>
              <w:rPr>
                <w:rFonts w:ascii="微软雅黑" w:hAnsi="微软雅黑" w:eastAsia="微软雅黑" w:cs="微软雅黑"/>
                <w:b/>
                <w:bCs/>
                <w:sz w:val="19"/>
                <w:szCs w:val="19"/>
              </w:rPr>
              <w:t>语速</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D11A51">
            <w:r>
              <w:rPr>
                <w:rFonts w:ascii="微软雅黑" w:hAnsi="微软雅黑" w:eastAsia="微软雅黑" w:cs="微软雅黑"/>
                <w:sz w:val="19"/>
                <w:szCs w:val="19"/>
              </w:rPr>
              <w:t>约 170–190 字/分钟，关键时间节点与「unknown」处稍作停顿</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D220A">
            <w:pPr>
              <w:rPr>
                <w:rFonts w:ascii="微软雅黑" w:hAnsi="微软雅黑" w:eastAsia="微软雅黑" w:cs="微软雅黑"/>
                <w:sz w:val="19"/>
                <w:szCs w:val="19"/>
              </w:rPr>
            </w:pPr>
          </w:p>
        </w:tc>
      </w:tr>
      <w:tr w14:paraId="5159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7" w:type="dxa"/>
            <w:tcBorders>
              <w:top w:val="single" w:color="CCCCCC" w:sz="0" w:space="0"/>
              <w:left w:val="single" w:color="CCCCCC" w:sz="0" w:space="0"/>
              <w:bottom w:val="single" w:color="CCCCCC" w:sz="0" w:space="0"/>
              <w:right w:val="single" w:color="CCCCCC" w:sz="0" w:space="0"/>
            </w:tcBorders>
            <w:shd w:val="clear" w:color="auto" w:fill="FFF3E0"/>
            <w:tcMar>
              <w:top w:w="60" w:type="dxa"/>
              <w:left w:w="100" w:type="dxa"/>
              <w:bottom w:w="60" w:type="dxa"/>
              <w:right w:w="100" w:type="dxa"/>
            </w:tcMar>
          </w:tcPr>
          <w:p w14:paraId="69BD6DA1">
            <w:r>
              <w:rPr>
                <w:rFonts w:ascii="微软雅黑" w:hAnsi="微软雅黑" w:eastAsia="微软雅黑" w:cs="微软雅黑"/>
                <w:b/>
                <w:bCs/>
                <w:color w:val="C62828"/>
                <w:sz w:val="19"/>
                <w:szCs w:val="19"/>
              </w:rPr>
              <w:t>避免事项</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717C79">
            <w:r>
              <w:rPr>
                <w:rFonts w:ascii="微软雅黑" w:hAnsi="微软雅黑" w:eastAsia="微软雅黑" w:cs="微软雅黑"/>
                <w:sz w:val="19"/>
                <w:szCs w:val="19"/>
              </w:rPr>
              <w:t>不评价法院对错、不声称系统可预测结果、不把 SAMPLE 或未复核材料写成正式研究包</w:t>
            </w:r>
          </w:p>
        </w:tc>
        <w:tc>
          <w:tcPr>
            <w:tcW w:w="428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60E822">
            <w:pPr>
              <w:rPr>
                <w:rFonts w:ascii="微软雅黑" w:hAnsi="微软雅黑" w:eastAsia="微软雅黑" w:cs="微软雅黑"/>
                <w:sz w:val="19"/>
                <w:szCs w:val="19"/>
              </w:rPr>
            </w:pPr>
          </w:p>
        </w:tc>
      </w:tr>
      <w:tr>
        <w:tc>
          <w:tcPr>
            <w:tcW w:type="dxa" w:w="1267"/>
          </w:tcPr>
          <w:p>
            <w:r>
              <w:t>演示预制</w:t>
            </w:r>
          </w:p>
        </w:tc>
        <w:tc>
          <w:tcPr>
            <w:tcW w:type="dxa" w:w="8570"/>
            <w:gridSpan w:val="2"/>
          </w:tcPr>
          <w:p>
            <w:r>
              <w:t>在 mock_court_system 运行 .venv\Scripts\python.exe scripts\seed_yingfan_session.py --in-process；按 test-results\yingfan-demo.json 中 research → hearing_text → hearing_3d → strategy_review → research_review 的顺序录制。策略局默认 0 轮；仅在 LLM 配置就绪时现场推演一轮。</w:t>
            </w:r>
          </w:p>
        </w:tc>
      </w:tr>
    </w:tbl>
    <w:p w14:paraId="1AED8AED">
      <w:pPr>
        <w:spacing w:after="60"/>
      </w:pPr>
    </w:p>
    <w:p w14:paraId="168945EC">
      <w:pPr>
        <w:spacing w:after="60"/>
      </w:pPr>
    </w:p>
    <w:p w14:paraId="0DC1691F">
      <w:pPr>
        <w:spacing w:before="200"/>
        <w:jc w:val="center"/>
      </w:pPr>
      <w:r>
        <w:rPr>
          <w:rFonts w:ascii="微软雅黑" w:hAnsi="微软雅黑" w:eastAsia="微软雅黑" w:cs="微软雅黑"/>
          <w:color w:val="999999"/>
          <w:sz w:val="20"/>
          <w:szCs w:val="20"/>
        </w:rPr>
        <w:t>— 脚本完 —</w:t>
      </w:r>
    </w:p>
    <w:sectPr>
      <w:headerReference r:id="rId5" w:type="default"/>
      <w:footerReference r:id="rId6" w:type="default"/>
      <w:pgSz w:w="11906" w:h="16838"/>
      <w:pgMar w:top="1134" w:right="1134" w:bottom="1134" w:left="1134"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瀚元" w:date="2026-09-19T22:17:54Z" w:initials="">
    <w:p w14:paraId="7AE4FA34">
      <w:pPr>
        <w:pStyle w:val="8"/>
        <w:rPr>
          <w:rFonts w:hint="default" w:eastAsia="微软雅黑"/>
          <w:lang w:val="en-US" w:eastAsia="zh-CN"/>
        </w:rPr>
      </w:pPr>
      <w:r>
        <w:rPr>
          <w:rFonts w:hint="eastAsia"/>
          <w:lang w:val="en-US" w:eastAsia="zh-CN"/>
        </w:rPr>
        <w:t>其实不用写北京理工大学</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E4FA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188F3">
    <w:pPr>
      <w:pBdr>
        <w:top w:val="single" w:color="CCCCCC" w:sz="6" w:space="4"/>
      </w:pBdr>
      <w:spacing w:before="80"/>
      <w:jc w:val="center"/>
    </w:pPr>
    <w:r>
      <w:rPr>
        <w:rFonts w:ascii="微软雅黑" w:hAnsi="微软雅黑" w:eastAsia="微软雅黑" w:cs="微软雅黑"/>
        <w:color w:val="666666"/>
        <w:sz w:val="18"/>
        <w:szCs w:val="18"/>
      </w:rPr>
      <w:t xml:space="preserve">第 </w:t>
    </w:r>
    <w:r>
      <w:rPr>
        <w:rFonts w:ascii="微软雅黑" w:hAnsi="微软雅黑" w:eastAsia="微软雅黑" w:cs="微软雅黑"/>
        <w:color w:val="666666"/>
        <w:sz w:val="18"/>
        <w:szCs w:val="18"/>
      </w:rPr>
      <w:fldChar w:fldCharType="begin"/>
    </w:r>
    <w:r>
      <w:rPr>
        <w:rFonts w:ascii="微软雅黑" w:hAnsi="微软雅黑" w:eastAsia="微软雅黑" w:cs="微软雅黑"/>
        <w:color w:val="666666"/>
        <w:sz w:val="18"/>
        <w:szCs w:val="18"/>
      </w:rPr>
      <w:instrText xml:space="preserve">PAGE</w:instrText>
    </w:r>
    <w:r>
      <w:rPr>
        <w:rFonts w:ascii="微软雅黑" w:hAnsi="微软雅黑" w:eastAsia="微软雅黑" w:cs="微软雅黑"/>
        <w:color w:val="666666"/>
        <w:sz w:val="18"/>
        <w:szCs w:val="18"/>
      </w:rPr>
      <w:fldChar w:fldCharType="separate"/>
    </w:r>
    <w:r>
      <w:rPr>
        <w:rFonts w:ascii="微软雅黑" w:hAnsi="微软雅黑" w:eastAsia="微软雅黑" w:cs="微软雅黑"/>
        <w:color w:val="666666"/>
        <w:sz w:val="18"/>
        <w:szCs w:val="18"/>
      </w:rPr>
      <w:fldChar w:fldCharType="end"/>
    </w:r>
    <w:r>
      <w:rPr>
        <w:rFonts w:ascii="微软雅黑" w:hAnsi="微软雅黑" w:eastAsia="微软雅黑" w:cs="微软雅黑"/>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8C561">
    <w:pPr>
      <w:pBdr>
        <w:bottom w:val="single" w:color="1F4E79" w:sz="6" w:space="4"/>
      </w:pBdr>
      <w:spacing w:after="120"/>
    </w:pPr>
    <w:r>
      <w:rPr>
        <w:rFonts w:ascii="微软雅黑" w:hAnsi="微软雅黑" w:eastAsia="微软雅黑" w:cs="微软雅黑"/>
        <w:color w:val="666666"/>
        <w:sz w:val="18"/>
        <w:szCs w:val="18"/>
      </w:rPr>
      <w:t>法序智演 LexGentium 产品介绍视频脚本（案例演示版）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D007B"/>
    <w:multiLevelType w:val="singleLevel"/>
    <w:tmpl w:val="175D007B"/>
    <w:lvl w:ilvl="0" w:tentative="0">
      <w:start w:val="3"/>
      <w:numFmt w:val="decimal"/>
      <w:suff w:val="space"/>
      <w:lvlText w:val="%1."/>
      <w:lvlJc w:val="left"/>
    </w:lvl>
  </w:abstractNum>
  <w:num w:numId="1">
    <w:abstractNumId w:val="0"/>
  </w:num>
  <w:num w:numId="2">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瀚元">
    <w15:presenceInfo w15:providerId="WPS Office" w15:userId="78857494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4F357B68"/>
    <w:rsid w:val="50314471"/>
    <w:rsid w:val="DFFF8D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sz w:val="21"/>
      <w:szCs w:val="21"/>
    </w:rPr>
  </w:style>
  <w:style w:type="paragraph" w:styleId="2">
    <w:name w:val="heading 1"/>
    <w:next w:val="1"/>
    <w:qFormat/>
    <w:uiPriority w:val="0"/>
    <w:pPr>
      <w:spacing w:before="360" w:after="200"/>
      <w:outlineLvl w:val="0"/>
    </w:pPr>
    <w:rPr>
      <w:rFonts w:ascii="微软雅黑" w:hAnsi="微软雅黑" w:eastAsia="微软雅黑" w:cs="微软雅黑"/>
      <w:b/>
      <w:bCs/>
      <w:color w:val="1F4E79"/>
      <w:sz w:val="32"/>
      <w:szCs w:val="32"/>
    </w:rPr>
  </w:style>
  <w:style w:type="paragraph" w:styleId="3">
    <w:name w:val="heading 2"/>
    <w:next w:val="1"/>
    <w:qFormat/>
    <w:uiPriority w:val="0"/>
    <w:pPr>
      <w:spacing w:before="280" w:after="140"/>
      <w:outlineLvl w:val="1"/>
    </w:pPr>
    <w:rPr>
      <w:rFonts w:ascii="微软雅黑" w:hAnsi="微软雅黑" w:eastAsia="微软雅黑" w:cs="微软雅黑"/>
      <w:b/>
      <w:bCs/>
      <w:color w:val="2E75B6"/>
      <w:sz w:val="26"/>
      <w:szCs w:val="26"/>
    </w:rPr>
  </w:style>
  <w:style w:type="paragraph" w:styleId="4">
    <w:name w:val="heading 3"/>
    <w:next w:val="1"/>
    <w:qFormat/>
    <w:uiPriority w:val="0"/>
    <w:pPr>
      <w:spacing w:before="200" w:after="100"/>
      <w:outlineLvl w:val="2"/>
    </w:pPr>
    <w:rPr>
      <w:rFonts w:ascii="微软雅黑" w:hAnsi="微软雅黑" w:eastAsia="微软雅黑" w:cs="微软雅黑"/>
      <w:b/>
      <w:bCs/>
      <w:color w:val="404040"/>
      <w:sz w:val="22"/>
      <w:szCs w:val="22"/>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annotation text"/>
    <w:basedOn w:val="1"/>
    <w:uiPriority w:val="0"/>
    <w:pPr>
      <w:jc w:val="left"/>
    </w:pPr>
  </w:style>
  <w:style w:type="paragraph" w:styleId="9">
    <w:name w:val="endnote text"/>
    <w:link w:val="19"/>
    <w:semiHidden/>
    <w:unhideWhenUsed/>
    <w:qFormat/>
    <w:uiPriority w:val="99"/>
    <w:pPr>
      <w:spacing w:after="0" w:line="240" w:lineRule="auto"/>
    </w:pPr>
    <w:rPr>
      <w:rFonts w:ascii="微软雅黑" w:hAnsi="微软雅黑" w:eastAsia="微软雅黑" w:cs="微软雅黑"/>
      <w:sz w:val="20"/>
      <w:szCs w:val="20"/>
    </w:rPr>
  </w:style>
  <w:style w:type="paragraph" w:styleId="10">
    <w:name w:val="footnote text"/>
    <w:link w:val="18"/>
    <w:semiHidden/>
    <w:unhideWhenUsed/>
    <w:qFormat/>
    <w:uiPriority w:val="99"/>
    <w:pPr>
      <w:spacing w:after="0" w:line="240" w:lineRule="auto"/>
    </w:pPr>
    <w:rPr>
      <w:rFonts w:ascii="微软雅黑" w:hAnsi="微软雅黑" w:eastAsia="微软雅黑" w:cs="微软雅黑"/>
      <w:sz w:val="20"/>
      <w:szCs w:val="20"/>
    </w:rPr>
  </w:style>
  <w:style w:type="paragraph" w:styleId="11">
    <w:name w:val="Title"/>
    <w:qFormat/>
    <w:uiPriority w:val="0"/>
    <w:rPr>
      <w:rFonts w:ascii="微软雅黑" w:hAnsi="微软雅黑" w:eastAsia="微软雅黑" w:cs="微软雅黑"/>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微软雅黑" w:hAnsi="微软雅黑" w:eastAsia="微软雅黑" w:cs="微软雅黑"/>
      <w:sz w:val="21"/>
      <w:szCs w:val="21"/>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5258</Words>
  <Characters>5981</Characters>
  <TotalTime>6</TotalTime>
  <ScaleCrop>false</ScaleCrop>
  <LinksUpToDate>false</LinksUpToDate>
  <CharactersWithSpaces>6327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2026-09-19T09:21:00Z</dcterms:created>
  <dc:creator>Un-named</dc:creator>
  <cp:lastModifiedBy>张瀚元</cp:lastModifiedBy>
  <dcterms:modified xsi:type="dcterms:W3CDTF">2026-09-19T19:32:01Z</dcterms:modified>
  <cp:revision>1</cp:revision>
  <dc:title>法序智演产品介绍视频脚本（盈帆案比赛演示版）</dc:title>
  <dc:subject>LexGentium Yingfan v. Amazon competition demo</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C29BEDDE689ED7FA614FAE6A0B1B6A24_42</vt:lpwstr>
  </property>
  <property fmtid="{D5CDD505-2E9C-101B-9397-08002B2CF9AE}" pid="4" name="KSOTemplateDocerSaveRecord">
    <vt:lpwstr>eyJoZGlkIjoiYmVjYzMwZDk0MWI2Y2Q2MmI5YWJhOTA1ZjRjODIyOTIiLCJ1c2VySWQiOiIxNjkxOTYxNzQ2In0=</vt:lpwstr>
  </property>
</Properties>
</file>