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LexCyber 法学会签材料包</w:t>
      </w:r>
    </w:p>
    <w:p>
      <w:pPr>
        <w:jc w:val="center"/>
      </w:pPr>
      <w:r>
        <w:t>生成日期：2026-09-26　|　版本：v1.3 生命周期架构　|　密级：内部评审材料</w:t>
      </w:r>
    </w:p>
    <w:p>
      <w:r>
        <w:rPr>
          <w:b/>
          <w:color w:val="993300"/>
        </w:rPr>
        <w:t>免责声明：本平台为辅助研判工具，不替代司法裁量，不产出量刑、责任或犯罪终局结论；所有模块结果均标记 human_review_required，须经具备资质人员复核后方可使用。</w:t>
      </w:r>
    </w:p>
    <w:p>
      <w:pPr>
        <w:pStyle w:val="Heading1"/>
      </w:pPr>
      <w:r>
        <w:t>一、背景与现状</w:t>
      </w:r>
    </w:p>
    <w:p>
      <w:r>
        <w:t>平台五段管道（合规筛查 → 定罪研判 → 量刑分析 → 文书生成 → 人工复核与归档）已在 compose 全栈端到端实测。规则、法源、模板统一由注册表管理，仅 approved 条目可被执行体消费；所有评审结论须通过 signoff() 落审计记录，直连 SQL 改写状态会被触发器拒绝。</w:t>
      </w:r>
    </w:p>
    <w:p>
      <w:r>
        <w:t>当前开发库中全部 approved 条目的会签人为占位标识 e2e-reviewer，不构成正式法学批准。本材料包列出的全部事项均须法学负责人重走 signoff() 后方可视为正式启用。</w:t>
      </w:r>
    </w:p>
    <w:p>
      <w:pPr>
        <w:pStyle w:val="Heading1"/>
      </w:pPr>
      <w:r>
        <w:t>二、会签事项总览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条目标识</w:t>
            </w:r>
          </w:p>
        </w:tc>
        <w:tc>
          <w:tcPr>
            <w:tcW w:type="dxa" w:w="1728"/>
          </w:tcPr>
          <w:p>
            <w:r>
              <w:t>待会签内容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返回码/门闩</w:t>
            </w:r>
          </w:p>
        </w:tc>
      </w:tr>
      <w:tr>
        <w:tc>
          <w:tcPr>
            <w:tcW w:type="dxa" w:w="1728"/>
          </w:tcPr>
          <w:p>
            <w:r>
              <w:t>SIGNOFF-001</w:t>
            </w:r>
          </w:p>
        </w:tc>
        <w:tc>
          <w:tcPr>
            <w:tcW w:type="dxa" w:w="1728"/>
          </w:tcPr>
          <w:p>
            <w:r>
              <w:t>检索公开口：法源检索结果、来源、时间与引用范围可用于辅助研判</w:t>
            </w:r>
          </w:p>
        </w:tc>
        <w:tc>
          <w:tcPr>
            <w:tcW w:type="dxa" w:w="1728"/>
          </w:tcPr>
          <w:p>
            <w:r>
              <w:t>法学负责人、检索轨道负责人</w:t>
            </w:r>
          </w:p>
        </w:tc>
        <w:tc>
          <w:tcPr>
            <w:tcW w:type="dxa" w:w="1728"/>
          </w:tcPr>
          <w:p>
            <w:r>
              <w:t>待签</w:t>
            </w:r>
          </w:p>
        </w:tc>
        <w:tc>
          <w:tcPr>
            <w:tcW w:type="dxa" w:w="1728"/>
          </w:tcPr>
          <w:p>
            <w:r>
              <w:t>501</w:t>
            </w:r>
          </w:p>
        </w:tc>
      </w:tr>
      <w:tr>
        <w:tc>
          <w:tcPr>
            <w:tcW w:type="dxa" w:w="1728"/>
          </w:tcPr>
          <w:p>
            <w:r>
              <w:t>SIGNOFF-002</w:t>
            </w:r>
          </w:p>
        </w:tc>
        <w:tc>
          <w:tcPr>
            <w:tcW w:type="dxa" w:w="1728"/>
          </w:tcPr>
          <w:p>
            <w:r>
              <w:t>量刑公开口：事实输入、规则依据、计算结果与展示边界</w:t>
            </w:r>
          </w:p>
        </w:tc>
        <w:tc>
          <w:tcPr>
            <w:tcW w:type="dxa" w:w="1728"/>
          </w:tcPr>
          <w:p>
            <w:r>
              <w:t>法学负责人、量刑轨道负责人</w:t>
            </w:r>
          </w:p>
        </w:tc>
        <w:tc>
          <w:tcPr>
            <w:tcW w:type="dxa" w:w="1728"/>
          </w:tcPr>
          <w:p>
            <w:r>
              <w:t>待签</w:t>
            </w:r>
          </w:p>
        </w:tc>
        <w:tc>
          <w:tcPr>
            <w:tcW w:type="dxa" w:w="1728"/>
          </w:tcPr>
          <w:p>
            <w:r>
              <w:t>501</w:t>
            </w:r>
          </w:p>
        </w:tc>
      </w:tr>
      <w:tr>
        <w:tc>
          <w:tcPr>
            <w:tcW w:type="dxa" w:w="1728"/>
          </w:tcPr>
          <w:p>
            <w:r>
              <w:t>SIGNOFF-003</w:t>
            </w:r>
          </w:p>
        </w:tc>
        <w:tc>
          <w:tcPr>
            <w:tcW w:type="dxa" w:w="1728"/>
          </w:tcPr>
          <w:p>
            <w:r>
              <w:t>compliance.analyze 案件级合规分析边界</w:t>
            </w:r>
          </w:p>
        </w:tc>
        <w:tc>
          <w:tcPr>
            <w:tcW w:type="dxa" w:w="1728"/>
          </w:tcPr>
          <w:p>
            <w:r>
              <w:t>法学负责人、合规轨道负责人</w:t>
            </w:r>
          </w:p>
        </w:tc>
        <w:tc>
          <w:tcPr>
            <w:tcW w:type="dxa" w:w="1728"/>
          </w:tcPr>
          <w:p>
            <w:r>
              <w:t>待签</w:t>
            </w:r>
          </w:p>
        </w:tc>
        <w:tc>
          <w:tcPr>
            <w:tcW w:type="dxa" w:w="1728"/>
          </w:tcPr>
          <w:p>
            <w:r>
              <w:t>501</w:t>
            </w:r>
          </w:p>
        </w:tc>
      </w:tr>
      <w:tr>
        <w:tc>
          <w:tcPr>
            <w:tcW w:type="dxa" w:w="1728"/>
          </w:tcPr>
          <w:p>
            <w:r>
              <w:t>SIGNOFF-004</w:t>
            </w:r>
          </w:p>
        </w:tc>
        <w:tc>
          <w:tcPr>
            <w:tcW w:type="dxa" w:w="1728"/>
          </w:tcPr>
          <w:p>
            <w:r>
              <w:t>conviction.analyze 案件级定罪分析边界</w:t>
            </w:r>
          </w:p>
        </w:tc>
        <w:tc>
          <w:tcPr>
            <w:tcW w:type="dxa" w:w="1728"/>
          </w:tcPr>
          <w:p>
            <w:r>
              <w:t>法学负责人、定罪轨道负责人</w:t>
            </w:r>
          </w:p>
        </w:tc>
        <w:tc>
          <w:tcPr>
            <w:tcW w:type="dxa" w:w="1728"/>
          </w:tcPr>
          <w:p>
            <w:r>
              <w:t>待签</w:t>
            </w:r>
          </w:p>
        </w:tc>
        <w:tc>
          <w:tcPr>
            <w:tcW w:type="dxa" w:w="1728"/>
          </w:tcPr>
          <w:p>
            <w:r>
              <w:t>501</w:t>
            </w:r>
          </w:p>
        </w:tc>
      </w:tr>
      <w:tr>
        <w:tc>
          <w:tcPr>
            <w:tcW w:type="dxa" w:w="1728"/>
          </w:tcPr>
          <w:p>
            <w:r>
              <w:t>SIGNOFF-005</w:t>
            </w:r>
          </w:p>
        </w:tc>
        <w:tc>
          <w:tcPr>
            <w:tcW w:type="dxa" w:w="1728"/>
          </w:tcPr>
          <w:p>
            <w:r>
              <w:t>文书字段字典：draftType/templateVersion 语义与可编辑边界</w:t>
            </w:r>
          </w:p>
        </w:tc>
        <w:tc>
          <w:tcPr>
            <w:tcW w:type="dxa" w:w="1728"/>
          </w:tcPr>
          <w:p>
            <w:r>
              <w:t>法学负责人、文书产品负责人</w:t>
            </w:r>
          </w:p>
        </w:tc>
        <w:tc>
          <w:tcPr>
            <w:tcW w:type="dxa" w:w="1728"/>
          </w:tcPr>
          <w:p>
            <w:r>
              <w:t>待签</w:t>
            </w:r>
          </w:p>
        </w:tc>
        <w:tc>
          <w:tcPr>
            <w:tcW w:type="dxa" w:w="1728"/>
          </w:tcPr>
          <w:p>
            <w:r>
              <w:t>501</w:t>
            </w:r>
          </w:p>
        </w:tc>
      </w:tr>
      <w:tr>
        <w:tc>
          <w:tcPr>
            <w:tcW w:type="dxa" w:w="1728"/>
          </w:tcPr>
          <w:p>
            <w:r>
              <w:t>SIGNOFF-006</w:t>
            </w:r>
          </w:p>
        </w:tc>
        <w:tc>
          <w:tcPr>
            <w:tcW w:type="dxa" w:w="1728"/>
          </w:tcPr>
          <w:p>
            <w:r>
              <w:t>core_rules.json 七条规则底稿的谓词化表达（阈值、枚举、法源绑定）</w:t>
            </w:r>
          </w:p>
        </w:tc>
        <w:tc>
          <w:tcPr>
            <w:tcW w:type="dxa" w:w="1728"/>
          </w:tcPr>
          <w:p>
            <w:r>
              <w:t>法学负责人、定罪轨道负责人</w:t>
            </w:r>
          </w:p>
        </w:tc>
        <w:tc>
          <w:tcPr>
            <w:tcW w:type="dxa" w:w="1728"/>
          </w:tcPr>
          <w:p>
            <w:r>
              <w:t>待签（e2e-reviewer 占位）</w:t>
            </w:r>
          </w:p>
        </w:tc>
        <w:tc>
          <w:tcPr>
            <w:tcW w:type="dxa" w:w="1728"/>
          </w:tcPr>
          <w:p>
            <w:r>
              <w:t>能力门闩</w:t>
            </w:r>
          </w:p>
        </w:tc>
      </w:tr>
      <w:tr>
        <w:tc>
          <w:tcPr>
            <w:tcW w:type="dxa" w:w="1728"/>
          </w:tcPr>
          <w:p>
            <w:r>
              <w:t>SIGNOFF-007</w:t>
            </w:r>
          </w:p>
        </w:tc>
        <w:tc>
          <w:tcPr>
            <w:tcW w:type="dxa" w:w="1728"/>
          </w:tcPr>
          <w:p>
            <w:r>
              <w:t>legal_sources.json 十条法源及新旧链/supersession 语义</w:t>
            </w:r>
          </w:p>
        </w:tc>
        <w:tc>
          <w:tcPr>
            <w:tcW w:type="dxa" w:w="1728"/>
          </w:tcPr>
          <w:p>
            <w:r>
              <w:t>法学负责人</w:t>
            </w:r>
          </w:p>
        </w:tc>
        <w:tc>
          <w:tcPr>
            <w:tcW w:type="dxa" w:w="1728"/>
          </w:tcPr>
          <w:p>
            <w:r>
              <w:t>待签（占位）</w:t>
            </w:r>
          </w:p>
        </w:tc>
        <w:tc>
          <w:tcPr>
            <w:tcW w:type="dxa" w:w="1728"/>
          </w:tcPr>
          <w:p>
            <w:r>
              <w:t>能力门闩</w:t>
            </w:r>
          </w:p>
        </w:tc>
      </w:tr>
      <w:tr>
        <w:tc>
          <w:tcPr>
            <w:tcW w:type="dxa" w:w="1728"/>
          </w:tcPr>
          <w:p>
            <w:r>
              <w:t>SIGNOFF-008</w:t>
            </w:r>
          </w:p>
        </w:tc>
        <w:tc>
          <w:tcPr>
            <w:tcW w:type="dxa" w:w="1728"/>
          </w:tcPr>
          <w:p>
            <w:r>
              <w:t>core_templates.json 两份模板 + draftType/占位符字段字典 + 案型→doc_type 映射</w:t>
            </w:r>
          </w:p>
        </w:tc>
        <w:tc>
          <w:tcPr>
            <w:tcW w:type="dxa" w:w="1728"/>
          </w:tcPr>
          <w:p>
            <w:r>
              <w:t>法学负责人、文书产品负责人</w:t>
            </w:r>
          </w:p>
        </w:tc>
        <w:tc>
          <w:tcPr>
            <w:tcW w:type="dxa" w:w="1728"/>
          </w:tcPr>
          <w:p>
            <w:r>
              <w:t>待签（占位）</w:t>
            </w:r>
          </w:p>
        </w:tc>
        <w:tc>
          <w:tcPr>
            <w:tcW w:type="dxa" w:w="1728"/>
          </w:tcPr>
          <w:p>
            <w:r>
              <w:t>能力门闩</w:t>
            </w:r>
          </w:p>
        </w:tc>
      </w:tr>
      <w:tr>
        <w:tc>
          <w:tcPr>
            <w:tcW w:type="dxa" w:w="1728"/>
          </w:tcPr>
          <w:p>
            <w:r>
              <w:t>SIGNOFF-009</w:t>
            </w:r>
          </w:p>
        </w:tc>
        <w:tc>
          <w:tcPr>
            <w:tcW w:type="dxa" w:w="1728"/>
          </w:tcPr>
          <w:p>
            <w:r>
              <w:t>演示案 B/C 结构化事实覆盖层映射（叙述事实→求值器键 + 金额封闭集归类）</w:t>
            </w:r>
          </w:p>
        </w:tc>
        <w:tc>
          <w:tcPr>
            <w:tcW w:type="dxa" w:w="1728"/>
          </w:tcPr>
          <w:p>
            <w:r>
              <w:t>法学负责人、产品经理</w:t>
            </w:r>
          </w:p>
        </w:tc>
        <w:tc>
          <w:tcPr>
            <w:tcW w:type="dxa" w:w="1728"/>
          </w:tcPr>
          <w:p>
            <w:r>
              <w:t>待签（未开始）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SIGNOFF-010</w:t>
            </w:r>
          </w:p>
        </w:tc>
        <w:tc>
          <w:tcPr>
            <w:tcW w:type="dxa" w:w="1728"/>
          </w:tcPr>
          <w:p>
            <w:r>
              <w:t>案例A量刑基准档偏差校正：规则 9.0→8.1 月 vs 案载审定基准 12–18 月</w:t>
            </w:r>
          </w:p>
        </w:tc>
        <w:tc>
          <w:tcPr>
            <w:tcW w:type="dxa" w:w="1728"/>
          </w:tcPr>
          <w:p>
            <w:r>
              <w:t>法学负责人、量刑轨道负责人</w:t>
            </w:r>
          </w:p>
        </w:tc>
        <w:tc>
          <w:tcPr>
            <w:tcW w:type="dxa" w:w="1728"/>
          </w:tcPr>
          <w:p>
            <w:r>
              <w:t>待签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1"/>
      </w:pPr>
      <w:r>
        <w:t>三、规则语料复核（SIGNOFF-006，共 7 条）</w:t>
      </w:r>
    </w:p>
    <w:p>
      <w:r>
        <w:t>语料文件：engine/rules/corpus/core_rules.json。每条规则含谓词（predicate，求值器 DSL）与产出（outcome）。以下将谓词转写为评审语言，请以语料原文为准逐项核对。</w:t>
      </w:r>
    </w:p>
    <w:p>
      <w:pPr>
        <w:pStyle w:val="Heading2"/>
      </w:pPr>
      <w:r>
        <w:t>帮信罪构成要件（刑法第287条之二）（rule-conviction-assist-287-2-elements@1.0.0，族：conviction）</w:t>
      </w:r>
    </w:p>
    <w:p>
      <w:r>
        <w:t>谓词转写：全部满足：① knowledge_of_crime ∈ {explicit 明知, presumed 应知}；② help_type ∈ {互联网接入、服务器托管、网络存储、通讯传输、支付结算、广告推广、技术支持} 七类帮助之一；③ upstream_crime_established = true（上游犯罪成立）。</w:t>
      </w:r>
    </w:p>
    <w:p>
      <w:r>
        <w:t>产出语义：{"charge_candidate": "assisting_information_network_crime", "article": "刑法第287条之二", "elements_met": ["knowledge", "assistance", "upstream_crime"], "note": "构成要件命中不等于定罪结论；情节严重门槛与排除事由另行评估"}</w:t>
      </w:r>
    </w:p>
    <w:p>
      <w:r>
        <w:t>复核要点：确认「明知」二分取值与帮助行为七类枚举的映射口径；确认三要件全部命中仅输出 charge_candidate（候选罪名提示），不构成定罪结论。</w:t>
      </w:r>
    </w:p>
    <w:p>
      <w:pPr>
        <w:pStyle w:val="Heading2"/>
      </w:pPr>
      <w:r>
        <w:t>帮信罪「情节严重」门槛（2019解释/2025意见）（rule-conviction-assist-severity-2019-threshold@1.0.1，族：conviction）</w:t>
      </w:r>
    </w:p>
    <w:p>
      <w:r>
        <w:t>谓词转写：任一满足：① payment_settlement_amount ≥ 200,000 元（2019解释20万支付结算线）；② assisted_targets ≥ 3 且 payment_settlement_amount ≥ 300,000 元（2025意见三账户30万流入线）；③ illegal_gain ≥ 10,000 元（违法所得线）。</w:t>
      </w:r>
    </w:p>
    <w:p>
      <w:r>
        <w:t>产出语义：{"severity_threshold": "met", "note": "2019解释20万支付结算线 与 2025意见三账户30万流入线 是择一路径，不叠加；金额口径统一用 payment_settlement_amount（ADR-0003 封闭集）"}</w:t>
      </w:r>
    </w:p>
    <w:p>
      <w:r>
        <w:t>复核要点：确认两条支付结算路径为择一不叠加；确认金额口径统一 payment_settlement_amount（ADR-0003 封闭集）；确认 1.0.0 → 1.0.1 版本化修正后旧版已 superseded。</w:t>
      </w:r>
    </w:p>
    <w:p>
      <w:pPr>
        <w:pStyle w:val="Heading2"/>
      </w:pPr>
      <w:r>
        <w:t>掩隐与帮信界分——既遂后介入（rule-distinction-concealment-after-upstream@1.0.0，族：distinction）</w:t>
      </w:r>
    </w:p>
    <w:p>
      <w:r>
        <w:t>谓词转写：全部满足：upstream_crime_completed = true 且 contact_timing = after_upstream。</w:t>
      </w:r>
    </w:p>
    <w:p>
      <w:r>
        <w:t>产出语义：{"distinction": "concealment_over_assist", "note": "上游犯罪既遂后介入转移赃款 → 掩隐方向；但仍须排除事前通谋"}</w:t>
      </w:r>
    </w:p>
    <w:p>
      <w:r>
        <w:t>复核要点：确认「上游既遂后介入转移赃款 → 掩隐方向」的提示措辞；确认该结果仍需排除事前通谋，不直接定掩隐。</w:t>
      </w:r>
    </w:p>
    <w:p>
      <w:pPr>
        <w:pStyle w:val="Heading2"/>
      </w:pPr>
      <w:r>
        <w:t>诈骗共犯风险提示——事前通谋（rule-distinction-fraud-accomplice-prior-collusion@1.0.0，族：distinction）</w:t>
      </w:r>
    </w:p>
    <w:p>
      <w:r>
        <w:t>谓词转写：全部满足：prior_collusion = true 且 contact_timing = before_upstream。</w:t>
      </w:r>
    </w:p>
    <w:p>
      <w:r>
        <w:t>产出语义：{"distinction": "fraud_accomplice_risk", "note": "事前通谋 + 提供支持 → 存在诈骗共犯评价风险，须人工研判分工深度"}</w:t>
      </w:r>
    </w:p>
    <w:p>
      <w:r>
        <w:t>复核要点：确认「事前通谋 + 提供支持 → 诈骗共犯评价风险」仅作风险提示，分工深度由人工研判。</w:t>
      </w:r>
    </w:p>
    <w:p>
      <w:pPr>
        <w:pStyle w:val="Heading2"/>
      </w:pPr>
      <w:r>
        <w:t>合规义务——网络日志留存（rule-compliance-logs-retention-6m@1.0.0，族：compliance）</w:t>
      </w:r>
    </w:p>
    <w:p>
      <w:r>
        <w:t>谓词转写：log_retention_months ≥ 6。</w:t>
      </w:r>
    </w:p>
    <w:p>
      <w:r>
        <w:t>产出语义：{"finding": "log_retention_compliant", "severity": "info", "duty": "网络日志留存不少于六个月"}</w:t>
      </w:r>
    </w:p>
    <w:p>
      <w:r>
        <w:t>复核要点：确认「日志留存不少于六个月」义务口径与 finding/severity=info 的提示级别。</w:t>
      </w:r>
    </w:p>
    <w:p>
      <w:pPr>
        <w:pStyle w:val="Heading2"/>
      </w:pPr>
      <w:r>
        <w:t>合规义务——真实身份核验（rule-compliance-realname-verification@1.0.0，族：compliance）</w:t>
      </w:r>
    </w:p>
    <w:p>
      <w:r>
        <w:t>谓词转写：has_realname_verification = true。</w:t>
      </w:r>
    </w:p>
    <w:p>
      <w:r>
        <w:t>产出语义：{"finding": "realname_verification_present", "severity": "info", "duty": "用户真实身份信息核验"}</w:t>
      </w:r>
    </w:p>
    <w:p>
      <w:r>
        <w:t>复核要点：确认「用户真实身份信息核验」义务口径。</w:t>
      </w:r>
    </w:p>
    <w:p>
      <w:pPr>
        <w:pStyle w:val="Heading2"/>
      </w:pPr>
      <w:r>
        <w:t>帮信罪基准刑与情节调节（rule-sentencing-assist-base@1.0.1，族：sentencing）</w:t>
      </w:r>
    </w:p>
    <w:p>
      <w:r>
        <w:t>谓词转写：前置 upstream_crime_established = true；基准档：payment_settlement ≥30万→18月 / ≥20万→12月 / illegal_gain ≥1万→9月；调节：自首-30%、坦白-10%、认罪认罚-20%（percent_of_base）；上限36月；罚金并处或单处由裁量。</w:t>
      </w:r>
    </w:p>
    <w:p>
      <w:r>
        <w:t>产出语义：{"charge": "assisting_information_network_crime", "statutory_range": "三年以下有期徒刑或者拘役，并处或者单处罚金", "calculation": {"base_tiers": [{"when": {"path": "amounts.payment_settlement_amount.confirmedSum", "op": "gte", "value": 300000}, "months": 18}, {"when": {"path": "amounts.payment_settlement_amount.confirmedSum", "op": "gte", "value": 200000}, "months": 12}, {"when": {"path": "amounts.illegal_gain.confirm</w:t>
      </w:r>
    </w:p>
    <w:p>
      <w:r>
        <w:t>复核要点：重点：基准档取值与案载裁量的对应关系须逐档会签（见「案例A量刑偏差」）；确认调节项幅度、叠加顺序与上限夹逼口径。</w:t>
      </w:r>
    </w:p>
    <w:p>
      <w:pPr>
        <w:pStyle w:val="Heading1"/>
      </w:pPr>
      <w:r>
        <w:t>四、法源清单复核（SIGNOFF-007，共 10 条）</w:t>
      </w:r>
    </w:p>
    <w:p>
      <w:r>
        <w:t>语料文件：engine/adapters/legal_sources.json。法源支持别名与新旧链（supersession）；分析结果为每条命中规则做双时点法源解析。请核对各法源效力期间、别名覆盖与新旧链声明。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法源标识</w:t>
            </w:r>
          </w:p>
        </w:tc>
        <w:tc>
          <w:tcPr>
            <w:tcW w:type="dxa" w:w="2160"/>
          </w:tcPr>
          <w:p>
            <w:r>
              <w:t>名称/文号</w:t>
            </w:r>
          </w:p>
        </w:tc>
        <w:tc>
          <w:tcPr>
            <w:tcW w:type="dxa" w:w="2160"/>
          </w:tcPr>
          <w:p>
            <w:r>
              <w:t>效力期间</w:t>
            </w:r>
          </w:p>
        </w:tc>
        <w:tc>
          <w:tcPr>
            <w:tcW w:type="dxa" w:w="2160"/>
          </w:tcPr>
          <w:p>
            <w:r>
              <w:t>别名</w:t>
            </w:r>
          </w:p>
        </w:tc>
      </w:tr>
      <w:tr>
        <w:tc>
          <w:tcPr>
            <w:tcW w:type="dxa" w:w="2160"/>
          </w:tcPr>
          <w:p>
            <w:r>
              <w:t>cn-criminal-law-287-2-current</w:t>
            </w:r>
          </w:p>
        </w:tc>
        <w:tc>
          <w:tcPr>
            <w:tcW w:type="dxa" w:w="2160"/>
          </w:tcPr>
          <w:p>
            <w:r>
              <w:t>中华人民共和国刑法｜刑法第二百八十七条之二</w:t>
            </w:r>
          </w:p>
        </w:tc>
        <w:tc>
          <w:tcPr>
            <w:tcW w:type="dxa" w:w="2160"/>
          </w:tcPr>
          <w:p>
            <w:r>
              <w:t>2015-11-01 → 现行</w:t>
            </w:r>
          </w:p>
        </w:tc>
        <w:tc>
          <w:tcPr>
            <w:tcW w:type="dxa" w:w="2160"/>
          </w:tcPr>
          <w:p>
            <w:r>
              <w:t>帮信罪、帮助信息网络犯罪活动罪、支付结算帮助、广告推广帮助</w:t>
            </w:r>
          </w:p>
        </w:tc>
      </w:tr>
      <w:tr>
        <w:tc>
          <w:tcPr>
            <w:tcW w:type="dxa" w:w="2160"/>
          </w:tcPr>
          <w:p>
            <w:r>
              <w:t>cn-criminal-law-266-current</w:t>
            </w:r>
          </w:p>
        </w:tc>
        <w:tc>
          <w:tcPr>
            <w:tcW w:type="dxa" w:w="2160"/>
          </w:tcPr>
          <w:p>
            <w:r>
              <w:t>中华人民共和国刑法｜刑法第二百六十六条</w:t>
            </w:r>
          </w:p>
        </w:tc>
        <w:tc>
          <w:tcPr>
            <w:tcW w:type="dxa" w:w="2160"/>
          </w:tcPr>
          <w:p>
            <w:r>
              <w:t>1997-10-01 → 现行</w:t>
            </w:r>
          </w:p>
        </w:tc>
        <w:tc>
          <w:tcPr>
            <w:tcW w:type="dxa" w:w="2160"/>
          </w:tcPr>
          <w:p>
            <w:r>
              <w:t>诈骗罪、诈骗共犯、共同诈骗</w:t>
            </w:r>
          </w:p>
        </w:tc>
      </w:tr>
      <w:tr>
        <w:tc>
          <w:tcPr>
            <w:tcW w:type="dxa" w:w="2160"/>
          </w:tcPr>
          <w:p>
            <w:r>
              <w:t>cn-criminal-law-312-current</w:t>
            </w:r>
          </w:p>
        </w:tc>
        <w:tc>
          <w:tcPr>
            <w:tcW w:type="dxa" w:w="2160"/>
          </w:tcPr>
          <w:p>
            <w:r>
              <w:t>中华人民共和国刑法｜刑法第三百一十二条</w:t>
            </w:r>
          </w:p>
        </w:tc>
        <w:tc>
          <w:tcPr>
            <w:tcW w:type="dxa" w:w="2160"/>
          </w:tcPr>
          <w:p>
            <w:r>
              <w:t>2009-02-28 → 现行</w:t>
            </w:r>
          </w:p>
        </w:tc>
        <w:tc>
          <w:tcPr>
            <w:tcW w:type="dxa" w:w="2160"/>
          </w:tcPr>
          <w:p>
            <w:r>
              <w:t>掩隐罪、掩饰隐瞒犯罪所得罪、犯罪所得收益、转移赃款</w:t>
            </w:r>
          </w:p>
        </w:tc>
      </w:tr>
      <w:tr>
        <w:tc>
          <w:tcPr>
            <w:tcW w:type="dxa" w:w="2160"/>
          </w:tcPr>
          <w:p>
            <w:r>
              <w:t>cn-criminal-law-6-7-current</w:t>
            </w:r>
          </w:p>
        </w:tc>
        <w:tc>
          <w:tcPr>
            <w:tcW w:type="dxa" w:w="2160"/>
          </w:tcPr>
          <w:p>
            <w:r>
              <w:t>中华人民共和国刑法｜刑法第六条、第七条</w:t>
            </w:r>
          </w:p>
        </w:tc>
        <w:tc>
          <w:tcPr>
            <w:tcW w:type="dxa" w:w="2160"/>
          </w:tcPr>
          <w:p>
            <w:r>
              <w:t>1997-10-01 → 现行</w:t>
            </w:r>
          </w:p>
        </w:tc>
        <w:tc>
          <w:tcPr>
            <w:tcW w:type="dxa" w:w="2160"/>
          </w:tcPr>
          <w:p>
            <w:r>
              <w:t>属地管辖、属人管辖、行为地、结果地、涉外连接点</w:t>
            </w:r>
          </w:p>
        </w:tc>
      </w:tr>
      <w:tr>
        <w:tc>
          <w:tcPr>
            <w:tcW w:type="dxa" w:w="2160"/>
          </w:tcPr>
          <w:p>
            <w:r>
              <w:t>cn-cybercrime-interpretation-2019-11-12</w:t>
            </w:r>
          </w:p>
        </w:tc>
        <w:tc>
          <w:tcPr>
            <w:tcW w:type="dxa" w:w="2160"/>
          </w:tcPr>
          <w:p>
            <w:r>
              <w:t>最高人民法院、最高人民检察院关于办理非法利用信息网络、帮助信息网络犯罪活动等刑事案件适用法律若干问题的解释｜法释〔2019〕15号</w:t>
            </w:r>
          </w:p>
        </w:tc>
        <w:tc>
          <w:tcPr>
            <w:tcW w:type="dxa" w:w="2160"/>
          </w:tcPr>
          <w:p>
            <w:r>
              <w:t>2019-11-01 → 现行</w:t>
            </w:r>
          </w:p>
        </w:tc>
        <w:tc>
          <w:tcPr>
            <w:tcW w:type="dxa" w:w="2160"/>
          </w:tcPr>
          <w:p>
            <w:r>
              <w:t>2019帮信解释、帮信解释、明知推定、情节严重、支付结算二十万元、违法所得一万元</w:t>
            </w:r>
          </w:p>
        </w:tc>
      </w:tr>
      <w:tr>
        <w:tc>
          <w:tcPr>
            <w:tcW w:type="dxa" w:w="2160"/>
          </w:tcPr>
          <w:p>
            <w:r>
              <w:t>cn-telefraud-opinion-2016-common-crime</w:t>
            </w:r>
          </w:p>
        </w:tc>
        <w:tc>
          <w:tcPr>
            <w:tcW w:type="dxa" w:w="2160"/>
          </w:tcPr>
          <w:p>
            <w:r>
              <w:t>最高人民法院、最高人民检察院、公安部关于办理电信网络诈骗等刑事案件适用法律若干问题的意见｜法发〔2016〕32号</w:t>
            </w:r>
          </w:p>
        </w:tc>
        <w:tc>
          <w:tcPr>
            <w:tcW w:type="dxa" w:w="2160"/>
          </w:tcPr>
          <w:p>
            <w:r>
              <w:t>2016-12-19 → 现行</w:t>
            </w:r>
          </w:p>
        </w:tc>
        <w:tc>
          <w:tcPr>
            <w:tcW w:type="dxa" w:w="2160"/>
          </w:tcPr>
          <w:p>
            <w:r>
              <w:t>电诈意见一、电信网络诈骗意见、诈骗共同犯罪、诈骗共犯</w:t>
            </w:r>
          </w:p>
        </w:tc>
      </w:tr>
      <w:tr>
        <w:tc>
          <w:tcPr>
            <w:tcW w:type="dxa" w:w="2160"/>
          </w:tcPr>
          <w:p>
            <w:r>
              <w:t>cn-helping-opinion-2025-4-9</w:t>
            </w:r>
          </w:p>
        </w:tc>
        <w:tc>
          <w:tcPr>
            <w:tcW w:type="dxa" w:w="2160"/>
          </w:tcPr>
          <w:p>
            <w:r>
              <w:t>最高人民法院、最高人民检察院、公安部关于办理帮助信息网络犯罪活动等刑事案件有关问题的意见｜法发〔2025〕12号</w:t>
            </w:r>
          </w:p>
        </w:tc>
        <w:tc>
          <w:tcPr>
            <w:tcW w:type="dxa" w:w="2160"/>
          </w:tcPr>
          <w:p>
            <w:r>
              <w:t>2025-07-22 → 现行</w:t>
            </w:r>
          </w:p>
        </w:tc>
        <w:tc>
          <w:tcPr>
            <w:tcW w:type="dxa" w:w="2160"/>
          </w:tcPr>
          <w:p>
            <w:r>
              <w:t>2025帮信意见、帮信意见、帮信与掩隐界分、稳定配合关系、跨境协同</w:t>
            </w:r>
          </w:p>
        </w:tc>
      </w:tr>
      <w:tr>
        <w:tc>
          <w:tcPr>
            <w:tcW w:type="dxa" w:w="2160"/>
          </w:tcPr>
          <w:p>
            <w:r>
              <w:t>cn-sentencing-guidance-2024-2</w:t>
            </w:r>
          </w:p>
        </w:tc>
        <w:tc>
          <w:tcPr>
            <w:tcW w:type="dxa" w:w="2160"/>
          </w:tcPr>
          <w:p>
            <w:r>
              <w:t>最高人民法院 最高人民检察院关于常见犯罪的量刑指导意见（二）（试行）｜法〔2024〕132号</w:t>
            </w:r>
          </w:p>
        </w:tc>
        <w:tc>
          <w:tcPr>
            <w:tcW w:type="dxa" w:w="2160"/>
          </w:tcPr>
          <w:p>
            <w:r>
              <w:t>2024-07-01 → 2025-06-30</w:t>
            </w:r>
          </w:p>
        </w:tc>
        <w:tc>
          <w:tcPr>
            <w:tcW w:type="dxa" w:w="2160"/>
          </w:tcPr>
          <w:p>
            <w:r>
              <w:t>2024量刑指导意见二、法2024第132号、帮信罪量刑起点、量刑指导意见二</w:t>
            </w:r>
          </w:p>
        </w:tc>
      </w:tr>
      <w:tr>
        <w:tc>
          <w:tcPr>
            <w:tcW w:type="dxa" w:w="2160"/>
          </w:tcPr>
          <w:p>
            <w:r>
              <w:t>cn-concealment-interpretation-2015-2021</w:t>
            </w:r>
          </w:p>
        </w:tc>
        <w:tc>
          <w:tcPr>
            <w:tcW w:type="dxa" w:w="2160"/>
          </w:tcPr>
          <w:p>
            <w:r>
              <w:t>最高人民法院关于审理掩饰、隐瞒犯罪所得、犯罪所得收益刑事案件适用法律若干问题的解释（2021年修正）｜法释〔2015〕11号、法释〔2021〕8号</w:t>
            </w:r>
          </w:p>
        </w:tc>
        <w:tc>
          <w:tcPr>
            <w:tcW w:type="dxa" w:w="2160"/>
          </w:tcPr>
          <w:p>
            <w:r>
              <w:t>2021-04-15 → 2025-08-25</w:t>
            </w:r>
          </w:p>
        </w:tc>
        <w:tc>
          <w:tcPr>
            <w:tcW w:type="dxa" w:w="2160"/>
          </w:tcPr>
          <w:p>
            <w:r>
              <w:t>旧掩隐解释、2015掩隐解释、2021掩隐修改决定、行为时法</w:t>
            </w:r>
          </w:p>
        </w:tc>
      </w:tr>
      <w:tr>
        <w:tc>
          <w:tcPr>
            <w:tcW w:type="dxa" w:w="2160"/>
          </w:tcPr>
          <w:p>
            <w:r>
              <w:t>cn-concealment-interpretation-2025-1-12</w:t>
            </w:r>
          </w:p>
        </w:tc>
        <w:tc>
          <w:tcPr>
            <w:tcW w:type="dxa" w:w="2160"/>
          </w:tcPr>
          <w:p>
            <w:r>
              <w:t>最高人民法院、最高人民检察院关于办理掩饰、隐瞒犯罪所得、犯罪所得收益刑事案件适用法律若干问题的解释｜法释〔2025〕13号</w:t>
            </w:r>
          </w:p>
        </w:tc>
        <w:tc>
          <w:tcPr>
            <w:tcW w:type="dxa" w:w="2160"/>
          </w:tcPr>
          <w:p>
            <w:r>
              <w:t>2025-08-26 → 现行</w:t>
            </w:r>
          </w:p>
        </w:tc>
        <w:tc>
          <w:tcPr>
            <w:tcW w:type="dxa" w:w="2160"/>
          </w:tcPr>
          <w:p>
            <w:r>
              <w:t>2025掩隐解释、掩饰隐瞒犯罪所得解释、法释2025第13号、事前通谋、犯罪所得形成、五十万元</w:t>
            </w:r>
          </w:p>
        </w:tc>
      </w:tr>
    </w:tbl>
    <w:p>
      <w:pPr>
        <w:pStyle w:val="Heading1"/>
      </w:pPr>
      <w:r>
        <w:t>五、模板语料复核（SIGNOFF-008）</w:t>
      </w:r>
    </w:p>
    <w:p>
      <w:r>
        <w:t>策略：按案型分模板。doc_type 决定 active_template；必填字段解析失败 → blocked 不产正文（fail-closed）。当前在册：</w:t>
      </w:r>
    </w:p>
    <w:p>
      <w:pPr>
        <w:pStyle w:val="ListBullet"/>
      </w:pPr>
      <w:r>
        <w:t>• indictment-draft@1.0.1（doc_type=indictment，支付结算型）：含 amounts.payment_settlement_amount 等占位符；状态 approved（占位会签）</w:t>
      </w:r>
    </w:p>
    <w:p>
      <w:pPr>
        <w:pStyle w:val="ListBullet"/>
      </w:pPr>
      <w:r>
        <w:t>• indictment-assist@1.0.0（doc_type=indictment-assist，帮信通用型（非支付结算））：必填：facts.defendant_name.value；状态 approved（占位会签，新入册）</w:t>
      </w:r>
    </w:p>
    <w:p>
      <w:r>
        <w:t>请复核：①字段字典（占位符路径 ↔ 法律语义）；②必填口径；③案型 → doc_type 映射（何种案件应走 indictment 而非 indictment-assist，及后续是否增设其他案型模板）。</w:t>
      </w:r>
    </w:p>
    <w:p>
      <w:pPr>
        <w:pStyle w:val="Heading1"/>
      </w:pPr>
      <w:r>
        <w:t>六、演示案结构化覆盖层（SIGNOFF-009）</w:t>
      </w:r>
    </w:p>
    <w:p>
      <w:r>
        <w:t>演示案原始事实为叙述文本，与求值器键模型存在代差；金额口径（如 non_crime_flow、personal_profit）不在 ADR-0003 封闭集。覆盖层映射属法律定性判断，须法学审定后注入，工程侧不自行定性。案例 A 已完成示例（locator: bundle:* 可溯源）。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案件</w:t>
            </w:r>
          </w:p>
        </w:tc>
        <w:tc>
          <w:tcPr>
            <w:tcW w:type="dxa" w:w="2160"/>
          </w:tcPr>
          <w:p>
            <w:r>
              <w:t>标题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待审定映射</w:t>
            </w:r>
          </w:p>
        </w:tc>
      </w:tr>
      <w:tr>
        <w:tc>
          <w:tcPr>
            <w:tcW w:type="dxa" w:w="2160"/>
          </w:tcPr>
          <w:p>
            <w:r>
              <w:t>demo-case-a-helping</w:t>
            </w:r>
          </w:p>
        </w:tc>
        <w:tc>
          <w:tcPr>
            <w:tcW w:type="dxa" w:w="2160"/>
          </w:tcPr>
          <w:p>
            <w:r>
              <w:t>科技公司员工违规销售GOIP设备帮助行为案</w:t>
            </w:r>
          </w:p>
        </w:tc>
        <w:tc>
          <w:tcPr>
            <w:tcW w:type="dxa" w:w="2160"/>
          </w:tcPr>
          <w:p>
            <w:r>
              <w:t>已完成（示例）</w:t>
            </w:r>
          </w:p>
        </w:tc>
        <w:tc>
          <w:tcPr>
            <w:tcW w:type="dxa" w:w="2160"/>
          </w:tcPr>
          <w:p>
            <w:r>
              <w:t>已按 bundle 审定结论注入键化事实（locator: bundle:* 可溯源）：28万→business_revenue（原审定「非支付结算」）、3万→illegal_gain、96万→crime_amount；不写 payment_settlement_amount。</w:t>
            </w:r>
          </w:p>
        </w:tc>
      </w:tr>
      <w:tr>
        <w:tc>
          <w:tcPr>
            <w:tcW w:type="dxa" w:w="2160"/>
          </w:tcPr>
          <w:p>
            <w:r>
              <w:t>demo-case-b-proceeds</w:t>
            </w:r>
          </w:p>
        </w:tc>
        <w:tc>
          <w:tcPr>
            <w:tcW w:type="dxa" w:w="2160"/>
          </w:tcPr>
          <w:p>
            <w:r>
              <w:t>案例009帮助行为与案例042资金处置界分对照案</w:t>
            </w:r>
          </w:p>
        </w:tc>
        <w:tc>
          <w:tcPr>
            <w:tcW w:type="dxa" w:w="2160"/>
          </w:tcPr>
          <w:p>
            <w:r>
              <w:t>待法学审定</w:t>
            </w:r>
          </w:p>
        </w:tc>
        <w:tc>
          <w:tcPr>
            <w:tcW w:type="dxa" w:w="2160"/>
          </w:tcPr>
          <w:p>
            <w:r>
              <w:t>须由法学审定：帮助/处置两段行为的事实键映射（contact_timing/prior_collusion/upstream_crime_completed）、金额归类（含 non_crime_flow、personal_profit 等待归类口径）。</w:t>
            </w:r>
          </w:p>
        </w:tc>
      </w:tr>
      <w:tr>
        <w:tc>
          <w:tcPr>
            <w:tcW w:type="dxa" w:w="2160"/>
          </w:tcPr>
          <w:p>
            <w:r>
              <w:t>demo-case-c-unit-crossborder</w:t>
            </w:r>
          </w:p>
        </w:tc>
        <w:tc>
          <w:tcPr>
            <w:tcW w:type="dxa" w:w="2160"/>
          </w:tcPr>
          <w:p>
            <w:r>
              <w:t>网络科技公司及管理人员跨境技术帮助案</w:t>
            </w:r>
          </w:p>
        </w:tc>
        <w:tc>
          <w:tcPr>
            <w:tcW w:type="dxa" w:w="2160"/>
          </w:tcPr>
          <w:p>
            <w:r>
              <w:t>待法学审定</w:t>
            </w:r>
          </w:p>
        </w:tc>
        <w:tc>
          <w:tcPr>
            <w:tcW w:type="dxa" w:w="2160"/>
          </w:tcPr>
          <w:p>
            <w:r>
              <w:t>须由法学审定：单位犯罪与自然人责任的事实键拆分、跨境要素的 jurisdiction_connection 表达、金额归类。</w:t>
            </w:r>
          </w:p>
        </w:tc>
      </w:tr>
    </w:tbl>
    <w:p/>
    <w:p>
      <w:r>
        <w:t>求值器事实键字典（覆盖层目标模型）：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键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取值</w:t>
            </w:r>
          </w:p>
        </w:tc>
        <w:tc>
          <w:tcPr>
            <w:tcW w:type="dxa" w:w="2160"/>
          </w:tcPr>
          <w:p>
            <w:r>
              <w:t>用于</w:t>
            </w:r>
          </w:p>
        </w:tc>
      </w:tr>
      <w:tr>
        <w:tc>
          <w:tcPr>
            <w:tcW w:type="dxa" w:w="2160"/>
          </w:tcPr>
          <w:p>
            <w:r>
              <w:t>knowledge_of_crime</w:t>
            </w:r>
          </w:p>
        </w:tc>
        <w:tc>
          <w:tcPr>
            <w:tcW w:type="dxa" w:w="2160"/>
          </w:tcPr>
          <w:p>
            <w:r>
              <w:t>明知状态</w:t>
            </w:r>
          </w:p>
        </w:tc>
        <w:tc>
          <w:tcPr>
            <w:tcW w:type="dxa" w:w="2160"/>
          </w:tcPr>
          <w:p>
            <w:r>
              <w:t>{explicit 明知, presumed 应知}</w:t>
            </w:r>
          </w:p>
        </w:tc>
        <w:tc>
          <w:tcPr>
            <w:tcW w:type="dxa" w:w="2160"/>
          </w:tcPr>
          <w:p>
            <w:r>
              <w:t>帮信要件①</w:t>
            </w:r>
          </w:p>
        </w:tc>
      </w:tr>
      <w:tr>
        <w:tc>
          <w:tcPr>
            <w:tcW w:type="dxa" w:w="2160"/>
          </w:tcPr>
          <w:p>
            <w:r>
              <w:t>help_type</w:t>
            </w:r>
          </w:p>
        </w:tc>
        <w:tc>
          <w:tcPr>
            <w:tcW w:type="dxa" w:w="2160"/>
          </w:tcPr>
          <w:p>
            <w:r>
              <w:t>帮助类型</w:t>
            </w:r>
          </w:p>
        </w:tc>
        <w:tc>
          <w:tcPr>
            <w:tcW w:type="dxa" w:w="2160"/>
          </w:tcPr>
          <w:p>
            <w:r>
              <w:t>七类枚举：internet_access/server_hosting/network_storage/communication_transmission/payment_settlement/advertising_promotion/technical_support</w:t>
            </w:r>
          </w:p>
        </w:tc>
        <w:tc>
          <w:tcPr>
            <w:tcW w:type="dxa" w:w="2160"/>
          </w:tcPr>
          <w:p>
            <w:r>
              <w:t>帮信要件②</w:t>
            </w:r>
          </w:p>
        </w:tc>
      </w:tr>
      <w:tr>
        <w:tc>
          <w:tcPr>
            <w:tcW w:type="dxa" w:w="2160"/>
          </w:tcPr>
          <w:p>
            <w:r>
              <w:t>upstream_crime_established</w:t>
            </w:r>
          </w:p>
        </w:tc>
        <w:tc>
          <w:tcPr>
            <w:tcW w:type="dxa" w:w="2160"/>
          </w:tcPr>
          <w:p>
            <w:r>
              <w:t>上游犯罪成立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帮信要件③ + 量刑前置</w:t>
            </w:r>
          </w:p>
        </w:tc>
      </w:tr>
      <w:tr>
        <w:tc>
          <w:tcPr>
            <w:tcW w:type="dxa" w:w="2160"/>
          </w:tcPr>
          <w:p>
            <w:r>
              <w:t>upstream_crime_completed</w:t>
            </w:r>
          </w:p>
        </w:tc>
        <w:tc>
          <w:tcPr>
            <w:tcW w:type="dxa" w:w="2160"/>
          </w:tcPr>
          <w:p>
            <w:r>
              <w:t>上游犯罪既遂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掩隐界分</w:t>
            </w:r>
          </w:p>
        </w:tc>
      </w:tr>
      <w:tr>
        <w:tc>
          <w:tcPr>
            <w:tcW w:type="dxa" w:w="2160"/>
          </w:tcPr>
          <w:p>
            <w:r>
              <w:t>contact_timing</w:t>
            </w:r>
          </w:p>
        </w:tc>
        <w:tc>
          <w:tcPr>
            <w:tcW w:type="dxa" w:w="2160"/>
          </w:tcPr>
          <w:p>
            <w:r>
              <w:t>介入时点</w:t>
            </w:r>
          </w:p>
        </w:tc>
        <w:tc>
          <w:tcPr>
            <w:tcW w:type="dxa" w:w="2160"/>
          </w:tcPr>
          <w:p>
            <w:r>
              <w:t>{before_upstream, after_upstream}</w:t>
            </w:r>
          </w:p>
        </w:tc>
        <w:tc>
          <w:tcPr>
            <w:tcW w:type="dxa" w:w="2160"/>
          </w:tcPr>
          <w:p>
            <w:r>
              <w:t>界分双规则</w:t>
            </w:r>
          </w:p>
        </w:tc>
      </w:tr>
      <w:tr>
        <w:tc>
          <w:tcPr>
            <w:tcW w:type="dxa" w:w="2160"/>
          </w:tcPr>
          <w:p>
            <w:r>
              <w:t>prior_collusion</w:t>
            </w:r>
          </w:p>
        </w:tc>
        <w:tc>
          <w:tcPr>
            <w:tcW w:type="dxa" w:w="2160"/>
          </w:tcPr>
          <w:p>
            <w:r>
              <w:t>事前通谋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诈骗共犯提示</w:t>
            </w:r>
          </w:p>
        </w:tc>
      </w:tr>
      <w:tr>
        <w:tc>
          <w:tcPr>
            <w:tcW w:type="dxa" w:w="2160"/>
          </w:tcPr>
          <w:p>
            <w:r>
              <w:t>assisted_targets</w:t>
            </w:r>
          </w:p>
        </w:tc>
        <w:tc>
          <w:tcPr>
            <w:tcW w:type="dxa" w:w="2160"/>
          </w:tcPr>
          <w:p>
            <w:r>
              <w:t>帮助对象数量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2025意见三账户路径</w:t>
            </w:r>
          </w:p>
        </w:tc>
      </w:tr>
      <w:tr>
        <w:tc>
          <w:tcPr>
            <w:tcW w:type="dxa" w:w="2160"/>
          </w:tcPr>
          <w:p>
            <w:r>
              <w:t>log_retention_months</w:t>
            </w:r>
          </w:p>
        </w:tc>
        <w:tc>
          <w:tcPr>
            <w:tcW w:type="dxa" w:w="2160"/>
          </w:tcPr>
          <w:p>
            <w:r>
              <w:t>日志留存月数</w:t>
            </w:r>
          </w:p>
        </w:tc>
        <w:tc>
          <w:tcPr>
            <w:tcW w:type="dxa" w:w="2160"/>
          </w:tcPr>
          <w:p>
            <w:r>
              <w:t>num</w:t>
            </w:r>
          </w:p>
        </w:tc>
        <w:tc>
          <w:tcPr>
            <w:tcW w:type="dxa" w:w="2160"/>
          </w:tcPr>
          <w:p>
            <w:r>
              <w:t>合规义务</w:t>
            </w:r>
          </w:p>
        </w:tc>
      </w:tr>
      <w:tr>
        <w:tc>
          <w:tcPr>
            <w:tcW w:type="dxa" w:w="2160"/>
          </w:tcPr>
          <w:p>
            <w:r>
              <w:t>has_realname_verification</w:t>
            </w:r>
          </w:p>
        </w:tc>
        <w:tc>
          <w:tcPr>
            <w:tcW w:type="dxa" w:w="2160"/>
          </w:tcPr>
          <w:p>
            <w:r>
              <w:t>实名核验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合规义务</w:t>
            </w:r>
          </w:p>
        </w:tc>
      </w:tr>
      <w:tr>
        <w:tc>
          <w:tcPr>
            <w:tcW w:type="dxa" w:w="2160"/>
          </w:tcPr>
          <w:p>
            <w:r>
              <w:t>has_surrender / has_confession / has_guilty_plea</w:t>
            </w:r>
          </w:p>
        </w:tc>
        <w:tc>
          <w:tcPr>
            <w:tcW w:type="dxa" w:w="2160"/>
          </w:tcPr>
          <w:p>
            <w:r>
              <w:t>自首/坦白/认罪认罚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量刑调节项</w:t>
            </w:r>
          </w:p>
        </w:tc>
      </w:tr>
      <w:tr>
        <w:tc>
          <w:tcPr>
            <w:tcW w:type="dxa" w:w="2160"/>
          </w:tcPr>
          <w:p>
            <w:r>
              <w:t>defendant_name</w:t>
            </w:r>
          </w:p>
        </w:tc>
        <w:tc>
          <w:tcPr>
            <w:tcW w:type="dxa" w:w="2160"/>
          </w:tcPr>
          <w:p>
            <w:r>
              <w:t>被告人名称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文书必填字段</w:t>
            </w:r>
          </w:p>
        </w:tc>
      </w:tr>
    </w:tbl>
    <w:p>
      <w:r>
        <w:t>金额 kind 封闭集（ADR-0003，新增须法学会签 + ADR + 前向迁移）：</w:t>
      </w:r>
    </w:p>
    <w:p>
      <w:pPr>
        <w:pStyle w:val="ListBullet"/>
      </w:pPr>
      <w:r>
        <w:t>• payment_settlement_amount — 支付结算金额（帮信「情节严重」要件）</w:t>
      </w:r>
    </w:p>
    <w:p>
      <w:pPr>
        <w:pStyle w:val="ListBullet"/>
      </w:pPr>
      <w:r>
        <w:t>• illegal_gain — 违法所得</w:t>
      </w:r>
    </w:p>
    <w:p>
      <w:pPr>
        <w:pStyle w:val="ListBullet"/>
      </w:pPr>
      <w:r>
        <w:t>• crime_amount — 上游犯罪金额 / 被害人损失</w:t>
      </w:r>
    </w:p>
    <w:p>
      <w:pPr>
        <w:pStyle w:val="ListBullet"/>
      </w:pPr>
      <w:r>
        <w:t>• business_revenue — 经营性收入，不入罪量评价</w:t>
      </w:r>
    </w:p>
    <w:p>
      <w:pPr>
        <w:pStyle w:val="ListBullet"/>
      </w:pPr>
      <w:r>
        <w:t>• recovery — 追缴数额</w:t>
      </w:r>
    </w:p>
    <w:p>
      <w:pPr>
        <w:pStyle w:val="ListBullet"/>
      </w:pPr>
      <w:r>
        <w:t>• fine — 罚金</w:t>
      </w:r>
    </w:p>
    <w:p>
      <w:pPr>
        <w:pStyle w:val="Heading1"/>
      </w:pPr>
      <w:r>
        <w:t>七、案例A量刑偏差（SIGNOFF-010）</w:t>
      </w:r>
    </w:p>
    <w:p>
      <w:r>
        <w:t>规则计算：基准档 illegal_gain≥1万 → 9.0 月，坦白 -10% → 8.1 月。案载（bundle）审定基准：12–18 月。请确认偏差归因——是规则语料基准档取值偏低（须校语料或另立版本），还是案载裁量包含未建模情节。修正方式：规则以新版本入册（approved 不可改），旧版 superseded。</w:t>
      </w:r>
    </w:p>
    <w:p>
      <w:pPr>
        <w:pStyle w:val="Heading1"/>
      </w:pPr>
      <w:r>
        <w:t>八、会签执行方式</w:t>
      </w:r>
    </w:p>
    <w:p>
      <w:r>
        <w:t>会签通过注册表 signoff() 完成（engine.rules.registry.signoff），字段：subject_kind（rule/template/legal_source）、subject_key（id@version）、reviewer、role、decision（approved/rejected）、comment。签后条目状态翻转并落 signoff_record 审计行；占位会签以正式会签记录覆盖，历史记录保留。不得直接 SQL 修改 legal_review_status（触发器拒绝）。</w:t>
      </w:r>
    </w:p>
    <w:p>
      <w:pPr>
        <w:pStyle w:val="Heading1"/>
      </w:pPr>
      <w:r>
        <w:t>签署</w:t>
      </w:r>
    </w:p>
    <w:p>
      <w:r>
        <w:t>法学负责人：＿＿＿＿＿＿＿＿　　日期：＿＿＿＿＿＿</w:t>
      </w:r>
    </w:p>
    <w:p>
      <w:r>
        <w:t>工程负责人：＿＿＿＿＿＿＿＿　　产品负责人：＿＿＿＿＿＿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