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after="480"/>
        <w:jc w:val="center"/>
      </w:pPr>
      <w:r>
        <w:rPr>
          <w:rFonts w:ascii="Garamond" w:hAnsi="Garamond" w:cs="Garamond" w:eastAsia="Songti SC"/>
          <w:b/>
          <w:i w:val="0"/>
          <w:color w:val="000000"/>
          <w:sz w:val="48"/>
        </w:rPr>
        <w:t>帮信及邻近罪名法律标注指南</w:t>
      </w:r>
    </w:p>
    <w:p>
      <w:pPr>
        <w:spacing w:line="276" w:lineRule="auto" w:before="0" w:after="60"/>
        <w:ind w:firstLine="0"/>
        <w:jc w:val="left"/>
      </w:pPr>
      <w:r>
        <w:rPr>
          <w:rFonts w:ascii="Garamond" w:hAnsi="Garamond" w:cs="Garamond" w:eastAsia="Songti SC"/>
          <w:b/>
          <w:i w:val="0"/>
          <w:color w:val="000000"/>
          <w:sz w:val="23"/>
        </w:rPr>
        <w:t>使用者：</w:t>
      </w:r>
      <w:r>
        <w:rPr>
          <w:rFonts w:ascii="Garamond" w:hAnsi="Garamond" w:cs="Garamond" w:eastAsia="Songti SC"/>
          <w:b w:val="0"/>
          <w:i w:val="0"/>
          <w:color w:val="000000"/>
          <w:sz w:val="23"/>
        </w:rPr>
        <w:t>法律专家标注员、人工智能评测研究人员和裁决专家</w:t>
      </w:r>
    </w:p>
    <w:p>
      <w:pPr>
        <w:spacing w:line="276" w:lineRule="auto" w:before="0" w:after="60"/>
        <w:ind w:firstLine="0"/>
        <w:jc w:val="left"/>
      </w:pPr>
      <w:r>
        <w:rPr>
          <w:rFonts w:ascii="Garamond" w:hAnsi="Garamond" w:cs="Garamond" w:eastAsia="Songti SC"/>
          <w:b/>
          <w:i w:val="0"/>
          <w:color w:val="000000"/>
          <w:sz w:val="23"/>
        </w:rPr>
        <w:t>对应系统：</w:t>
      </w:r>
      <w:r>
        <w:rPr>
          <w:rFonts w:ascii="Garamond" w:hAnsi="Garamond" w:cs="Garamond" w:eastAsia="Songti SC"/>
          <w:b w:val="0"/>
          <w:i w:val="0"/>
          <w:color w:val="000000"/>
          <w:sz w:val="23"/>
        </w:rPr>
        <w:t>LexCyber 网域衡鉴</w:t>
      </w:r>
    </w:p>
    <w:p>
      <w:pPr>
        <w:spacing w:line="276" w:lineRule="auto" w:before="0" w:after="60"/>
        <w:ind w:firstLine="0"/>
        <w:jc w:val="left"/>
      </w:pPr>
      <w:r>
        <w:rPr>
          <w:rFonts w:ascii="Garamond" w:hAnsi="Garamond" w:cs="Garamond" w:eastAsia="Songti SC"/>
          <w:b/>
          <w:i w:val="0"/>
          <w:color w:val="000000"/>
          <w:sz w:val="23"/>
        </w:rPr>
        <w:t>版本：</w:t>
      </w:r>
      <w:r>
        <w:rPr>
          <w:rFonts w:ascii="Garamond" w:hAnsi="Garamond" w:cs="Garamond" w:eastAsia="Songti SC"/>
          <w:b w:val="0"/>
          <w:i w:val="0"/>
          <w:color w:val="000000"/>
          <w:sz w:val="23"/>
        </w:rPr>
        <w:t>v1　2026年9月12日　供专家试标后冻结</w:t>
      </w:r>
    </w:p>
    <w:p>
      <w:pPr>
        <w:spacing w:line="276" w:lineRule="auto" w:before="0" w:after="60"/>
        <w:ind w:firstLine="0"/>
        <w:jc w:val="left"/>
      </w:pPr>
      <w:r>
        <w:rPr>
          <w:rFonts w:ascii="Garamond" w:hAnsi="Garamond" w:cs="Garamond" w:eastAsia="Songti SC"/>
          <w:b/>
          <w:i w:val="0"/>
          <w:color w:val="000000"/>
          <w:sz w:val="23"/>
        </w:rPr>
        <w:t>范围：</w:t>
      </w:r>
      <w:r>
        <w:rPr>
          <w:rFonts w:ascii="Garamond" w:hAnsi="Garamond" w:cs="Garamond" w:eastAsia="Songti SC"/>
          <w:b w:val="0"/>
          <w:i w:val="0"/>
          <w:color w:val="000000"/>
          <w:sz w:val="23"/>
        </w:rPr>
        <w:t>帮信罪及其邻近罪名验证簇；具体模块以当前功能说明和工作簿字典为准</w:t>
      </w:r>
    </w:p>
    <w:p>
      <w:pPr>
        <w:spacing w:after="280"/>
        <w:pBdr>
          <w:bottom w:val="single" w:sz="8" w:space="1" w:color="808080"/>
        </w:pBdr>
      </w:pPr>
    </w:p>
    <w:p>
      <w:pPr>
        <w:spacing w:line="348" w:lineRule="auto" w:before="0" w:after="120"/>
        <w:ind w:firstLine="480"/>
        <w:jc w:val="both"/>
      </w:pPr>
      <w:r>
        <w:rPr>
          <w:rFonts w:ascii="Garamond" w:hAnsi="Garamond" w:cs="Garamond" w:eastAsia="Songti SC"/>
          <w:b w:val="0"/>
          <w:i w:val="0"/>
          <w:color w:val="000000"/>
          <w:sz w:val="23"/>
        </w:rPr>
        <w:t>版本 v1　2026年9月12日　配套法律专家标注工作簿 v1　供专家试标后冻结</w:t>
      </w:r>
    </w:p>
    <w:p>
      <w:pPr>
        <w:pStyle w:val="Heading1"/>
        <w:keepNext/>
        <w:spacing w:before="280" w:after="120" w:line="276" w:lineRule="auto"/>
        <w:jc w:val="center"/>
      </w:pPr>
      <w:r>
        <w:rPr>
          <w:rFonts w:ascii="Garamond" w:hAnsi="Garamond" w:cs="Garamond" w:eastAsia="Songti SC"/>
          <w:b/>
          <w:i w:val="0"/>
          <w:color w:val="000000"/>
          <w:sz w:val="28"/>
          <w:u w:val="single"/>
        </w:rPr>
        <w:t>一 使用目的与适用范围</w:t>
      </w:r>
    </w:p>
    <w:p>
      <w:pPr>
        <w:spacing w:line="348" w:lineRule="auto" w:before="0" w:after="120"/>
        <w:ind w:firstLine="480"/>
        <w:jc w:val="both"/>
      </w:pPr>
      <w:r>
        <w:rPr>
          <w:rFonts w:ascii="Garamond" w:hAnsi="Garamond" w:cs="Garamond" w:eastAsia="Songti SC"/>
          <w:b w:val="0"/>
          <w:i w:val="0"/>
          <w:color w:val="000000"/>
          <w:sz w:val="23"/>
        </w:rPr>
        <w:t>本指南服务于 LexCyber 网域衡鉴的法律标注、专家裁决和后续法律智能体评测。它把案件材料整理为可追溯的事实、证据、事件、主体关系、罪名要件、论证和动态更新记录。指南的核心不是让标注员直接给出“有罪”标签，而是把“材料说了什么、能够支持什么、仍缺什么、某项依据后来是否继续可用”分开记录。</w:t>
      </w:r>
    </w:p>
    <w:p>
      <w:pPr>
        <w:spacing w:line="348" w:lineRule="auto" w:before="0" w:after="120"/>
        <w:ind w:firstLine="480"/>
        <w:jc w:val="both"/>
      </w:pPr>
      <w:r>
        <w:rPr>
          <w:rFonts w:ascii="Garamond" w:hAnsi="Garamond" w:cs="Garamond" w:eastAsia="Songti SC"/>
          <w:b w:val="0"/>
          <w:i w:val="0"/>
          <w:color w:val="000000"/>
          <w:sz w:val="23"/>
        </w:rPr>
        <w:t>首轮场景簇以帮助信息网络犯罪活动罪（以下简称帮信罪）为中心，纳入掩饰、隐瞒犯罪所得、犯罪所得收益罪（以下简称掩隐罪）和诈骗罪共同犯罪（以下简称诈骗共犯）作为邻近边界。诈骗共犯是共同犯罪形态，不是独立罪名；工作簿在“要件审查”的候选路径登记诈骗罪，在“扩展审查”的共同犯罪地位中分别评价直接实施、共同故意、分工及参与形态。数据集可以包含证据不足、非刑事处置或其他罪名材料，用来检验标注员和模型是否把异常行为机械转换为三选一结论。三组并非封闭的法律选项，也不是要求每案必须选出一个；出现其他罪名、竞合、事实不足或规范未覆盖时，应保留开放项并说明理由。</w:t>
      </w:r>
    </w:p>
    <w:p>
      <w:pPr>
        <w:spacing w:line="348" w:lineRule="auto" w:before="0" w:after="120"/>
        <w:ind w:firstLine="480"/>
        <w:jc w:val="both"/>
      </w:pPr>
      <w:r>
        <w:rPr>
          <w:rFonts w:ascii="Garamond" w:hAnsi="Garamond" w:cs="Garamond" w:eastAsia="Songti SC"/>
          <w:b w:val="0"/>
          <w:i w:val="0"/>
          <w:color w:val="000000"/>
          <w:sz w:val="23"/>
        </w:rPr>
        <w:t>系统功能模块采用“案件中心—合规筛查—定罪研判—量刑分析—复核归档”的顺序。标注可以读取上游内容，但不得替上游补全“待确认”事实。合规材料是证据链的一部分，不得直接转换为有罪、无罪或“合规出罪”。定罪研判要把人、行为、阶段、认识对象、时间、资金、账户、通信、地域和来源连起来；量刑和文书字段必须建立在已确认的定罪事实之上。</w:t>
      </w:r>
    </w:p>
    <w:p>
      <w:pPr>
        <w:pStyle w:val="Heading2"/>
        <w:keepNext/>
        <w:spacing w:before="160" w:after="120" w:line="276" w:lineRule="auto"/>
        <w:jc w:val="left"/>
      </w:pPr>
      <w:r>
        <w:rPr>
          <w:rFonts w:ascii="Garamond" w:hAnsi="Garamond" w:cs="Garamond" w:eastAsia="Songti SC"/>
          <w:b/>
          <w:i w:val="0"/>
          <w:color w:val="000000"/>
          <w:sz w:val="25"/>
          <w:u w:val="none"/>
        </w:rPr>
        <w:t>最小使用路径</w:t>
      </w:r>
    </w:p>
    <w:p>
      <w:pPr>
        <w:spacing w:line="348" w:lineRule="auto" w:before="0" w:after="120"/>
        <w:ind w:firstLine="480"/>
        <w:jc w:val="both"/>
      </w:pPr>
      <w:r>
        <w:rPr>
          <w:rFonts w:ascii="Garamond" w:hAnsi="Garamond" w:cs="Garamond" w:eastAsia="Songti SC"/>
          <w:b w:val="0"/>
          <w:i w:val="0"/>
          <w:color w:val="000000"/>
          <w:sz w:val="23"/>
        </w:rPr>
        <w:t>先读训练示例；协调员登记案件与材料并分发独立A/B副本；标注片段、实体事件关系和金额；逐要件写论证并锁定E0后揭示更新；第三人保存裁决及完整参考包。</w:t>
      </w:r>
    </w:p>
    <w:p>
      <w:pPr>
        <w:spacing w:line="348" w:lineRule="auto" w:before="0" w:after="120"/>
        <w:ind w:firstLine="480"/>
        <w:jc w:val="both"/>
      </w:pPr>
      <w:r>
        <w:rPr>
          <w:rFonts w:ascii="Garamond" w:hAnsi="Garamond" w:cs="Garamond" w:eastAsia="Songti SC"/>
          <w:b w:val="0"/>
          <w:i w:val="0"/>
          <w:color w:val="000000"/>
          <w:sz w:val="23"/>
        </w:rPr>
        <w:t>工作簿含18张表，13张数据表各预留200条记录，第一行为字段名。浅黄输入、灰色记录检查为公式。字段齐备只代表基础结构检查，不代表法律正确、完整证据链、盲法成功或任务完成。超200条由协调员统一扩展表、公式、下拉及计数范围后验证。所有ID列表用英文分号分隔，证据缺失不以UNKNOWN伪造I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line="264" w:lineRule="auto" w:before="0" w:after="0"/>
              <w:ind w:firstLine="0"/>
              <w:jc w:val="center"/>
            </w:pPr>
            <w:r>
              <w:rPr>
                <w:b/>
                <w:color w:val="FFFFFF"/>
              </w:rPr>
            </w:r>
            <w:r>
              <w:rPr>
                <w:rFonts w:ascii="Garamond" w:hAnsi="Garamond" w:cs="Garamond" w:eastAsia="Songti SC"/>
                <w:b/>
                <w:i w:val="0"/>
                <w:color w:val="FFFFFF"/>
                <w:sz w:val="19"/>
              </w:rPr>
              <w:t>功能模块</w:t>
            </w:r>
          </w:p>
        </w:tc>
        <w:tc>
          <w:tcPr>
            <w:tcW w:type="dxa" w:w="312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line="264" w:lineRule="auto" w:before="0" w:after="0"/>
              <w:ind w:firstLine="0"/>
              <w:jc w:val="center"/>
            </w:pPr>
            <w:r>
              <w:rPr>
                <w:b/>
                <w:color w:val="FFFFFF"/>
              </w:rPr>
            </w:r>
            <w:r>
              <w:rPr>
                <w:rFonts w:ascii="Garamond" w:hAnsi="Garamond" w:cs="Garamond" w:eastAsia="Songti SC"/>
                <w:b/>
                <w:i w:val="0"/>
                <w:color w:val="FFFFFF"/>
                <w:sz w:val="19"/>
              </w:rPr>
              <w:t>对应表</w:t>
            </w:r>
          </w:p>
        </w:tc>
        <w:tc>
          <w:tcPr>
            <w:tcW w:type="dxa" w:w="3120"/>
            <w:shd w:fill="4040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line="264" w:lineRule="auto" w:before="0" w:after="0"/>
              <w:ind w:firstLine="0"/>
              <w:jc w:val="center"/>
            </w:pPr>
            <w:r>
              <w:rPr>
                <w:b/>
                <w:color w:val="FFFFFF"/>
              </w:rPr>
            </w:r>
            <w:r>
              <w:rPr>
                <w:rFonts w:ascii="Garamond" w:hAnsi="Garamond" w:cs="Garamond" w:eastAsia="Songti SC"/>
                <w:b/>
                <w:i w:val="0"/>
                <w:color w:val="FFFFFF"/>
                <w:sz w:val="19"/>
              </w:rPr>
              <w:t>主要产出</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案件中心</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案件 材料 实体 事件 关系</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案件族、来源、人物与时间链</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合规筛查</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证据片段 事件 扩展审查</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制度执行、预警接收、正常业务解释</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定罪研判</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要件审查 论证 关系</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主客观要件、反向依据、竞合</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金额与量刑辅助</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金额 扩展审查</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八类金额及量刑事实，不自动算刑</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文书与复核</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扩展审查 裁决</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vAlign w:val="center"/>
          </w:tcPr>
          <w:p>
            <w:pPr>
              <w:spacing w:line="264" w:lineRule="auto" w:before="0" w:after="0"/>
              <w:ind w:firstLine="0"/>
              <w:jc w:val="left"/>
            </w:pPr>
            <w:r/>
            <w:r>
              <w:rPr>
                <w:rFonts w:ascii="Garamond" w:hAnsi="Garamond" w:cs="Garamond" w:eastAsia="Songti SC"/>
                <w:b w:val="0"/>
                <w:i w:val="0"/>
                <w:color w:val="000000"/>
                <w:sz w:val="19"/>
              </w:rPr>
              <w:t>命题一致性、缺项、独立裁决</w:t>
            </w:r>
          </w:p>
        </w:tc>
      </w:tr>
      <w:tr>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动态更新</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更新处置 关系 论证</w:t>
            </w:r>
          </w:p>
        </w:tc>
        <w:tc>
          <w:tcPr>
            <w:tcW w:type="dxa" w:w="31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2F2F2"/>
            <w:vAlign w:val="center"/>
          </w:tcPr>
          <w:p>
            <w:pPr>
              <w:spacing w:line="264" w:lineRule="auto" w:before="0" w:after="0"/>
              <w:ind w:firstLine="0"/>
              <w:jc w:val="left"/>
            </w:pPr>
            <w:r/>
            <w:r>
              <w:rPr>
                <w:rFonts w:ascii="Garamond" w:hAnsi="Garamond" w:cs="Garamond" w:eastAsia="Songti SC"/>
                <w:b w:val="0"/>
                <w:i w:val="0"/>
                <w:color w:val="000000"/>
                <w:sz w:val="19"/>
              </w:rPr>
              <w:t>必须复核、容许范围及来源传播</w:t>
            </w:r>
          </w:p>
        </w:tc>
      </w:tr>
    </w:tbl>
    <w:p>
      <w:pPr>
        <w:spacing w:after="40"/>
      </w:pPr>
    </w:p>
    <w:p>
      <w:pPr>
        <w:pStyle w:val="Heading1"/>
        <w:keepNext/>
        <w:spacing w:before="280" w:after="120" w:line="276" w:lineRule="auto"/>
        <w:jc w:val="center"/>
      </w:pPr>
      <w:r>
        <w:rPr>
          <w:rFonts w:ascii="Garamond" w:hAnsi="Garamond" w:cs="Garamond" w:eastAsia="Songti SC"/>
          <w:b/>
          <w:i w:val="0"/>
          <w:color w:val="000000"/>
          <w:sz w:val="28"/>
          <w:u w:val="single"/>
        </w:rPr>
        <w:t>二 标注对象和基本原则</w:t>
      </w:r>
    </w:p>
    <w:p>
      <w:pPr>
        <w:pStyle w:val="Heading2"/>
        <w:keepNext/>
        <w:spacing w:before="160" w:after="120" w:line="276" w:lineRule="auto"/>
        <w:jc w:val="left"/>
      </w:pPr>
      <w:r>
        <w:rPr>
          <w:rFonts w:ascii="Garamond" w:hAnsi="Garamond" w:cs="Garamond" w:eastAsia="Songti SC"/>
          <w:b/>
          <w:i w:val="0"/>
          <w:color w:val="000000"/>
          <w:sz w:val="25"/>
          <w:u w:val="none"/>
        </w:rPr>
        <w:t>事实与评价分层</w:t>
      </w:r>
    </w:p>
    <w:p>
      <w:pPr>
        <w:spacing w:line="348" w:lineRule="auto" w:before="0" w:after="120"/>
        <w:ind w:firstLine="480"/>
        <w:jc w:val="both"/>
      </w:pPr>
      <w:r>
        <w:rPr>
          <w:rFonts w:ascii="Garamond" w:hAnsi="Garamond" w:cs="Garamond" w:eastAsia="Songti SC"/>
          <w:b w:val="0"/>
          <w:i w:val="0"/>
          <w:color w:val="000000"/>
          <w:sz w:val="23"/>
        </w:rPr>
        <w:t>每条记录先回答“材料中是否有这句话或可定位的客观记录”，再回答“它对哪个命题有什么作用”。建议使用四层区分：</w:t>
      </w:r>
    </w:p>
    <w:p>
      <w:pPr>
        <w:spacing w:line="348" w:lineRule="auto" w:before="0" w:after="120"/>
        <w:ind w:left="360" w:hanging="240"/>
        <w:jc w:val="both"/>
      </w:pPr>
      <w:r>
        <w:rPr>
          <w:rFonts w:ascii="Garamond" w:hAnsi="Garamond" w:cs="Garamond" w:eastAsia="Songti SC"/>
          <w:b w:val="0"/>
          <w:i w:val="0"/>
          <w:color w:val="000000"/>
          <w:sz w:val="23"/>
        </w:rPr>
        <w:t xml:space="preserve">1. </w:t>
      </w:r>
      <w:r>
        <w:rPr>
          <w:rFonts w:ascii="Garamond" w:hAnsi="Garamond" w:cs="Garamond" w:eastAsia="Songti SC"/>
          <w:b/>
          <w:i w:val="0"/>
          <w:color w:val="000000"/>
          <w:sz w:val="23"/>
        </w:rPr>
        <w:t>记录事实</w:t>
      </w:r>
      <w:r>
        <w:rPr>
          <w:rFonts w:ascii="Garamond" w:hAnsi="Garamond" w:cs="Garamond" w:eastAsia="Songti SC"/>
          <w:b w:val="0"/>
          <w:i w:val="0"/>
          <w:color w:val="000000"/>
          <w:sz w:val="23"/>
        </w:rPr>
        <w:t>：材料明确写出、显示或可由表格直接读取的内容，例如某账户在某日收到一笔转账。</w:t>
      </w:r>
    </w:p>
    <w:p>
      <w:pPr>
        <w:spacing w:line="348" w:lineRule="auto" w:before="0" w:after="120"/>
        <w:ind w:left="360" w:hanging="240"/>
        <w:jc w:val="both"/>
      </w:pPr>
      <w:r>
        <w:rPr>
          <w:rFonts w:ascii="Garamond" w:hAnsi="Garamond" w:cs="Garamond" w:eastAsia="Songti SC"/>
          <w:b w:val="0"/>
          <w:i w:val="0"/>
          <w:color w:val="000000"/>
          <w:sz w:val="23"/>
        </w:rPr>
        <w:t xml:space="preserve">2. </w:t>
      </w:r>
      <w:r>
        <w:rPr>
          <w:rFonts w:ascii="Garamond" w:hAnsi="Garamond" w:cs="Garamond" w:eastAsia="Songti SC"/>
          <w:b/>
          <w:i w:val="0"/>
          <w:color w:val="000000"/>
          <w:sz w:val="23"/>
        </w:rPr>
        <w:t>待证明事实</w:t>
      </w:r>
      <w:r>
        <w:rPr>
          <w:rFonts w:ascii="Garamond" w:hAnsi="Garamond" w:cs="Garamond" w:eastAsia="Songti SC"/>
          <w:b w:val="0"/>
          <w:i w:val="0"/>
          <w:color w:val="000000"/>
          <w:sz w:val="23"/>
        </w:rPr>
        <w:t>：需要由多个材料综合判断的命题，例如某账户由某人实际控制。</w:t>
      </w:r>
    </w:p>
    <w:p>
      <w:pPr>
        <w:spacing w:line="348" w:lineRule="auto" w:before="0" w:after="120"/>
        <w:ind w:left="360" w:hanging="240"/>
        <w:jc w:val="both"/>
      </w:pPr>
      <w:r>
        <w:rPr>
          <w:rFonts w:ascii="Garamond" w:hAnsi="Garamond" w:cs="Garamond" w:eastAsia="Songti SC"/>
          <w:b w:val="0"/>
          <w:i w:val="0"/>
          <w:color w:val="000000"/>
          <w:sz w:val="23"/>
        </w:rPr>
        <w:t xml:space="preserve">3. </w:t>
      </w:r>
      <w:r>
        <w:rPr>
          <w:rFonts w:ascii="Garamond" w:hAnsi="Garamond" w:cs="Garamond" w:eastAsia="Songti SC"/>
          <w:b/>
          <w:i w:val="0"/>
          <w:color w:val="000000"/>
          <w:sz w:val="23"/>
        </w:rPr>
        <w:t>规范或论证评价</w:t>
      </w:r>
      <w:r>
        <w:rPr>
          <w:rFonts w:ascii="Garamond" w:hAnsi="Garamond" w:cs="Garamond" w:eastAsia="Songti SC"/>
          <w:b w:val="0"/>
          <w:i w:val="0"/>
          <w:color w:val="000000"/>
          <w:sz w:val="23"/>
        </w:rPr>
        <w:t>：依据某罪构成要件、证明标准或论证方案作出的评价。</w:t>
      </w:r>
    </w:p>
    <w:p>
      <w:pPr>
        <w:spacing w:line="348" w:lineRule="auto" w:before="0" w:after="120"/>
        <w:ind w:left="360" w:hanging="240"/>
        <w:jc w:val="both"/>
      </w:pPr>
      <w:r>
        <w:rPr>
          <w:rFonts w:ascii="Garamond" w:hAnsi="Garamond" w:cs="Garamond" w:eastAsia="Songti SC"/>
          <w:b w:val="0"/>
          <w:i w:val="0"/>
          <w:color w:val="000000"/>
          <w:sz w:val="23"/>
        </w:rPr>
        <w:t xml:space="preserve">4. </w:t>
      </w:r>
      <w:r>
        <w:rPr>
          <w:rFonts w:ascii="Garamond" w:hAnsi="Garamond" w:cs="Garamond" w:eastAsia="Songti SC"/>
          <w:b/>
          <w:i w:val="0"/>
          <w:color w:val="000000"/>
          <w:sz w:val="23"/>
        </w:rPr>
        <w:t>裁判结果或专家判断</w:t>
      </w:r>
      <w:r>
        <w:rPr>
          <w:rFonts w:ascii="Garamond" w:hAnsi="Garamond" w:cs="Garamond" w:eastAsia="Songti SC"/>
          <w:b w:val="0"/>
          <w:i w:val="0"/>
          <w:color w:val="000000"/>
          <w:sz w:val="23"/>
        </w:rPr>
        <w:t>：法院实际采用的罪名、专家在限定材料范围内的判断。它们不能覆盖前面三层。</w:t>
      </w:r>
    </w:p>
    <w:p>
      <w:pPr>
        <w:spacing w:line="348" w:lineRule="auto" w:before="0" w:after="120"/>
        <w:ind w:firstLine="480"/>
        <w:jc w:val="both"/>
      </w:pPr>
      <w:r>
        <w:rPr>
          <w:rFonts w:ascii="Garamond" w:hAnsi="Garamond" w:cs="Garamond" w:eastAsia="Songti SC"/>
          <w:b w:val="0"/>
          <w:i w:val="0"/>
          <w:color w:val="000000"/>
          <w:sz w:val="23"/>
        </w:rPr>
        <w:t>材料没有提到某事实，支持状态选择“信息不足”，不得标为“不存在”。材料有指向相反命题的内容时，选择“材料反对”；材料互相冲突，选择“存在冲突”。有正向依据选择“材料支持”，问题确实无关才选择“不适用”并说明。“未知”是信息状态，不是犯罪构成要件不成立。</w:t>
      </w:r>
    </w:p>
    <w:p>
      <w:pPr>
        <w:pStyle w:val="Heading2"/>
        <w:keepNext/>
        <w:spacing w:before="160" w:after="120" w:line="276" w:lineRule="auto"/>
        <w:jc w:val="left"/>
      </w:pPr>
      <w:r>
        <w:rPr>
          <w:rFonts w:ascii="Garamond" w:hAnsi="Garamond" w:cs="Garamond" w:eastAsia="Songti SC"/>
          <w:b/>
          <w:i w:val="0"/>
          <w:color w:val="000000"/>
          <w:sz w:val="25"/>
          <w:u w:val="none"/>
        </w:rPr>
        <w:t>主体和时间不可合并</w:t>
      </w:r>
    </w:p>
    <w:p>
      <w:pPr>
        <w:spacing w:line="348" w:lineRule="auto" w:before="0" w:after="120"/>
        <w:ind w:firstLine="480"/>
        <w:jc w:val="both"/>
      </w:pPr>
      <w:r>
        <w:rPr>
          <w:rFonts w:ascii="Garamond" w:hAnsi="Garamond" w:cs="Garamond" w:eastAsia="Songti SC"/>
          <w:b w:val="0"/>
          <w:i w:val="0"/>
          <w:color w:val="000000"/>
          <w:sz w:val="23"/>
        </w:rPr>
        <w:t>同一自然人可以分别作为作者、发言人、账户实名人、实际操作人、雇员、负责人或被推断认识的人。不要仅凭岗位、实名认证、收款或公司登记直接归责。每个主体—行为关系在“关系”中填写起点、作用、终点、来源片段、有效时间及作用说明；不得自创没有定义的归属强度分数。</w:t>
      </w:r>
    </w:p>
    <w:p>
      <w:pPr>
        <w:spacing w:line="348" w:lineRule="auto" w:before="0" w:after="120"/>
        <w:ind w:firstLine="480"/>
        <w:jc w:val="both"/>
      </w:pPr>
      <w:r>
        <w:rPr>
          <w:rFonts w:ascii="Garamond" w:hAnsi="Garamond" w:cs="Garamond" w:eastAsia="Songti SC"/>
          <w:b w:val="0"/>
          <w:i w:val="0"/>
          <w:color w:val="000000"/>
          <w:sz w:val="23"/>
        </w:rPr>
        <w:t>至少分别记录行为发生时间、材料形成时间、消息发送时间、接收或阅读时间、账户操作时间、资金入账时间和材料进入系统时间。较晚进入系统不表示事实较晚发生，较晚陈述也不当然更可靠。一个认识对象可以有自己的形成时间：标注员要指出“何时可能知道了什么”，不得只写“被告人明知”。</w:t>
      </w:r>
    </w:p>
    <w:p>
      <w:pPr>
        <w:pStyle w:val="Heading2"/>
        <w:keepNext/>
        <w:spacing w:before="160" w:after="120" w:line="276" w:lineRule="auto"/>
        <w:jc w:val="left"/>
      </w:pPr>
      <w:r>
        <w:rPr>
          <w:rFonts w:ascii="Garamond" w:hAnsi="Garamond" w:cs="Garamond" w:eastAsia="Songti SC"/>
          <w:b/>
          <w:i w:val="0"/>
          <w:color w:val="000000"/>
          <w:sz w:val="25"/>
          <w:u w:val="none"/>
        </w:rPr>
        <w:t>原始来源和派生记录</w:t>
      </w:r>
    </w:p>
    <w:p>
      <w:pPr>
        <w:spacing w:line="348" w:lineRule="auto" w:before="0" w:after="120"/>
        <w:ind w:firstLine="480"/>
        <w:jc w:val="both"/>
      </w:pPr>
      <w:r>
        <w:rPr>
          <w:rFonts w:ascii="Garamond" w:hAnsi="Garamond" w:cs="Garamond" w:eastAsia="Songti SC"/>
          <w:b w:val="0"/>
          <w:i w:val="0"/>
          <w:color w:val="000000"/>
          <w:sz w:val="23"/>
        </w:rPr>
        <w:t>原文件、文件哈希、页码/段落/表格坐标、材料收集时间和解析版本必须保留，实际入库时间由协调员的来源登记保存。摘要、OCR、人工转录和模型提取均是派生记录，不能替换原文件。多份摘要如果都来自同一份原文，只算一个来源依赖链，不算多个独立证据。来源之间有共同上游时，在“关系”表用“同源转述”或“派生依赖”连接派生材料至原始材料，并写明依赖字段。</w:t>
      </w:r>
    </w:p>
    <w:p>
      <w:pPr>
        <w:pStyle w:val="Heading2"/>
        <w:keepNext/>
        <w:spacing w:before="160" w:after="120" w:line="276" w:lineRule="auto"/>
        <w:jc w:val="left"/>
      </w:pPr>
      <w:r>
        <w:rPr>
          <w:rFonts w:ascii="Garamond" w:hAnsi="Garamond" w:cs="Garamond" w:eastAsia="Songti SC"/>
          <w:b/>
          <w:i w:val="0"/>
          <w:color w:val="000000"/>
          <w:sz w:val="25"/>
          <w:u w:val="none"/>
        </w:rPr>
        <w:t>论证处置和支持状态分开</w:t>
      </w:r>
    </w:p>
    <w:p>
      <w:pPr>
        <w:spacing w:line="348" w:lineRule="auto" w:before="0" w:after="120"/>
        <w:ind w:firstLine="480"/>
        <w:jc w:val="both"/>
      </w:pPr>
      <w:r>
        <w:rPr>
          <w:rFonts w:ascii="Garamond" w:hAnsi="Garamond" w:cs="Garamond" w:eastAsia="Songti SC"/>
          <w:b w:val="0"/>
          <w:i w:val="0"/>
          <w:color w:val="000000"/>
          <w:sz w:val="23"/>
        </w:rPr>
        <w:t>论证处置（R）只说明某项现有论证依据怎样处理：</w:t>
      </w:r>
    </w:p>
    <w:p>
      <w:pPr>
        <w:spacing w:line="348" w:lineRule="auto" w:before="0" w:after="120"/>
        <w:ind w:firstLine="480"/>
        <w:jc w:val="both"/>
      </w:pPr>
      <w:r>
        <w:rPr>
          <w:rFonts w:ascii="Garamond" w:hAnsi="Garamond" w:cs="Garamond" w:eastAsia="Songti SC"/>
          <w:b w:val="0"/>
          <w:i w:val="0"/>
          <w:color w:val="000000"/>
          <w:sz w:val="23"/>
        </w:rPr>
        <w:t xml:space="preserve">• </w:t>
      </w:r>
      <w:r>
        <w:rPr>
          <w:rFonts w:ascii="Garamond" w:hAnsi="Garamond" w:cs="Garamond" w:eastAsia="Songti SC"/>
          <w:b/>
          <w:i w:val="0"/>
          <w:color w:val="000000"/>
          <w:sz w:val="23"/>
        </w:rPr>
        <w:t>KEEP 保持</w:t>
      </w:r>
      <w:r>
        <w:rPr>
          <w:rFonts w:ascii="Garamond" w:hAnsi="Garamond" w:cs="Garamond" w:eastAsia="Songti SC"/>
          <w:b w:val="0"/>
          <w:i w:val="0"/>
          <w:color w:val="000000"/>
          <w:sz w:val="23"/>
        </w:rPr>
        <w:t>：现有依据仍可按原目标使用；不表示整体命题已被证明。</w:t>
      </w:r>
    </w:p>
    <w:p>
      <w:pPr>
        <w:spacing w:line="348" w:lineRule="auto" w:before="0" w:after="120"/>
        <w:ind w:firstLine="480"/>
        <w:jc w:val="both"/>
      </w:pPr>
      <w:r>
        <w:rPr>
          <w:rFonts w:ascii="Garamond" w:hAnsi="Garamond" w:cs="Garamond" w:eastAsia="Songti SC"/>
          <w:b w:val="0"/>
          <w:i w:val="0"/>
          <w:color w:val="000000"/>
          <w:sz w:val="23"/>
        </w:rPr>
        <w:t xml:space="preserve">• </w:t>
      </w:r>
      <w:r>
        <w:rPr>
          <w:rFonts w:ascii="Garamond" w:hAnsi="Garamond" w:cs="Garamond" w:eastAsia="Songti SC"/>
          <w:b/>
          <w:i w:val="0"/>
          <w:color w:val="000000"/>
          <w:sz w:val="23"/>
        </w:rPr>
        <w:t>REVISE 修订</w:t>
      </w:r>
      <w:r>
        <w:rPr>
          <w:rFonts w:ascii="Garamond" w:hAnsi="Garamond" w:cs="Garamond" w:eastAsia="Songti SC"/>
          <w:b w:val="0"/>
          <w:i w:val="0"/>
          <w:color w:val="000000"/>
          <w:sz w:val="23"/>
        </w:rPr>
        <w:t>：核心推断路径保持，部分前提或范围被更正，修订后仍可提出该论证；必须新建论证版本记录。</w:t>
      </w:r>
    </w:p>
    <w:p>
      <w:pPr>
        <w:spacing w:line="348" w:lineRule="auto" w:before="0" w:after="120"/>
        <w:ind w:firstLine="480"/>
        <w:jc w:val="both"/>
      </w:pPr>
      <w:r>
        <w:rPr>
          <w:rFonts w:ascii="Garamond" w:hAnsi="Garamond" w:cs="Garamond" w:eastAsia="Songti SC"/>
          <w:b w:val="0"/>
          <w:i w:val="0"/>
          <w:color w:val="000000"/>
          <w:sz w:val="23"/>
        </w:rPr>
        <w:t xml:space="preserve">• </w:t>
      </w:r>
      <w:r>
        <w:rPr>
          <w:rFonts w:ascii="Garamond" w:hAnsi="Garamond" w:cs="Garamond" w:eastAsia="Songti SC"/>
          <w:b/>
          <w:i w:val="0"/>
          <w:color w:val="000000"/>
          <w:sz w:val="23"/>
        </w:rPr>
        <w:t>STOP 停止</w:t>
      </w:r>
      <w:r>
        <w:rPr>
          <w:rFonts w:ascii="Garamond" w:hAnsi="Garamond" w:cs="Garamond" w:eastAsia="Songti SC"/>
          <w:b w:val="0"/>
          <w:i w:val="0"/>
          <w:color w:val="000000"/>
          <w:sz w:val="23"/>
        </w:rPr>
        <w:t>：该论证不能再依赖指定依据；不表示相反命题为真。</w:t>
      </w:r>
    </w:p>
    <w:p>
      <w:pPr>
        <w:spacing w:line="348" w:lineRule="auto" w:before="0" w:after="120"/>
        <w:ind w:firstLine="480"/>
        <w:jc w:val="both"/>
      </w:pPr>
      <w:r>
        <w:rPr>
          <w:rFonts w:ascii="Garamond" w:hAnsi="Garamond" w:cs="Garamond" w:eastAsia="Songti SC"/>
          <w:b w:val="0"/>
          <w:i w:val="0"/>
          <w:color w:val="000000"/>
          <w:sz w:val="23"/>
        </w:rPr>
        <w:t xml:space="preserve">• </w:t>
      </w:r>
      <w:r>
        <w:rPr>
          <w:rFonts w:ascii="Garamond" w:hAnsi="Garamond" w:cs="Garamond" w:eastAsia="Songti SC"/>
          <w:b/>
          <w:i w:val="0"/>
          <w:color w:val="000000"/>
          <w:sz w:val="23"/>
        </w:rPr>
        <w:t>PENDING 待核</w:t>
      </w:r>
      <w:r>
        <w:rPr>
          <w:rFonts w:ascii="Garamond" w:hAnsi="Garamond" w:cs="Garamond" w:eastAsia="Songti SC"/>
          <w:b w:val="0"/>
          <w:i w:val="0"/>
          <w:color w:val="000000"/>
          <w:sz w:val="23"/>
        </w:rPr>
        <w:t>：具体实质材料冲突导致该论证使用资格待核，当前不能稳定选择保持、修订或停止。</w:t>
      </w:r>
    </w:p>
    <w:p>
      <w:pPr>
        <w:spacing w:line="348" w:lineRule="auto" w:before="0" w:after="120"/>
        <w:ind w:firstLine="480"/>
        <w:jc w:val="both"/>
      </w:pPr>
      <w:r>
        <w:rPr>
          <w:rFonts w:ascii="Garamond" w:hAnsi="Garamond" w:cs="Garamond" w:eastAsia="Songti SC"/>
          <w:b w:val="0"/>
          <w:i w:val="0"/>
          <w:color w:val="000000"/>
          <w:sz w:val="23"/>
        </w:rPr>
        <w:t>支持状态（S）仅使用“材料支持、材料反对、存在冲突、信息不足、不适用”，不从 R 自动推导。PENDING 不是模型拒答，也不是普通缺失；来源或身份时间绑定存在具体实质冲突并影响论证使用资格时才适用，不能仅因缺少材料就填PENDING。问题清单（CQ）只是需要核查的问题，提出问题不等于论证已被推翻。</w:t>
      </w:r>
    </w:p>
    <w:p>
      <w:pPr>
        <w:spacing w:line="348" w:lineRule="auto" w:before="0" w:after="120"/>
        <w:ind w:firstLine="480"/>
        <w:jc w:val="both"/>
      </w:pPr>
      <w:r>
        <w:rPr>
          <w:rFonts w:ascii="Garamond" w:hAnsi="Garamond" w:cs="Garamond" w:eastAsia="Songti SC"/>
          <w:b w:val="0"/>
          <w:i w:val="0"/>
          <w:color w:val="000000"/>
          <w:sz w:val="23"/>
        </w:rPr>
        <w:t>事实（F）、论证审查（A）和证明/证明责任限制（P）分开：F记录材料与事件，A记录论证与反向理由，P记录当前材料是否足以达到相应证明门槛。不要把“目前无法证明”改写为“事实不存在”，也不要把“辩方提出合理质疑”写成“辩方已证明相反事实”。</w:t>
      </w:r>
    </w:p>
    <w:p>
      <w:pPr>
        <w:pStyle w:val="Heading1"/>
        <w:keepNext/>
        <w:spacing w:before="280" w:after="120" w:line="276" w:lineRule="auto"/>
        <w:jc w:val="center"/>
      </w:pPr>
      <w:r>
        <w:rPr>
          <w:rFonts w:ascii="Garamond" w:hAnsi="Garamond" w:cs="Garamond" w:eastAsia="Songti SC"/>
          <w:b/>
          <w:i w:val="0"/>
          <w:color w:val="000000"/>
          <w:sz w:val="28"/>
          <w:u w:val="single"/>
        </w:rPr>
        <w:t>三 工作簿填报顺序</w:t>
      </w:r>
    </w:p>
    <w:p>
      <w:pPr>
        <w:pStyle w:val="Heading2"/>
        <w:keepNext/>
        <w:spacing w:before="160" w:after="120" w:line="276" w:lineRule="auto"/>
        <w:jc w:val="left"/>
      </w:pPr>
      <w:r>
        <w:rPr>
          <w:rFonts w:ascii="Garamond" w:hAnsi="Garamond" w:cs="Garamond" w:eastAsia="Songti SC"/>
          <w:b/>
          <w:i w:val="0"/>
          <w:color w:val="000000"/>
          <w:sz w:val="25"/>
          <w:u w:val="none"/>
        </w:rPr>
        <w:t>任务登记</w:t>
      </w:r>
    </w:p>
    <w:p>
      <w:pPr>
        <w:spacing w:line="348" w:lineRule="auto" w:before="0" w:after="120"/>
        <w:ind w:firstLine="480"/>
        <w:jc w:val="both"/>
      </w:pPr>
      <w:r>
        <w:rPr>
          <w:rFonts w:ascii="Garamond" w:hAnsi="Garamond" w:cs="Garamond" w:eastAsia="Songti SC"/>
          <w:b w:val="0"/>
          <w:i w:val="0"/>
          <w:color w:val="000000"/>
          <w:sz w:val="23"/>
        </w:rPr>
        <w:t xml:space="preserve">协调员为每一份独立标注文件分配任务ID，例如 </w:t>
      </w:r>
      <w:r>
        <w:rPr>
          <w:rFonts w:ascii="Garamond" w:hAnsi="Garamond" w:cs="Garamond" w:eastAsia="Songti SC"/>
          <w:b w:val="0"/>
          <w:i w:val="0"/>
          <w:color w:val="000000"/>
          <w:sz w:val="23"/>
        </w:rPr>
        <w:t>A-001</w:t>
      </w:r>
      <w:r>
        <w:rPr>
          <w:rFonts w:ascii="Garamond" w:hAnsi="Garamond" w:cs="Garamond" w:eastAsia="Songti SC"/>
          <w:b w:val="0"/>
          <w:i w:val="0"/>
          <w:color w:val="000000"/>
          <w:sz w:val="23"/>
        </w:rPr>
        <w:t>、</w:t>
      </w:r>
      <w:r>
        <w:rPr>
          <w:rFonts w:ascii="Garamond" w:hAnsi="Garamond" w:cs="Garamond" w:eastAsia="Songti SC"/>
          <w:b w:val="0"/>
          <w:i w:val="0"/>
          <w:color w:val="000000"/>
          <w:sz w:val="23"/>
        </w:rPr>
        <w:t>B-001</w:t>
      </w:r>
      <w:r>
        <w:rPr>
          <w:rFonts w:ascii="Garamond" w:hAnsi="Garamond" w:cs="Garamond" w:eastAsia="Songti SC"/>
          <w:b w:val="0"/>
          <w:i w:val="0"/>
          <w:color w:val="000000"/>
          <w:sz w:val="23"/>
        </w:rPr>
        <w:t>。A、B标注员各使用自己的文件副本，正式独立标注期间不得读取对方文件、裁决表或专家参考包。模板本身不能提供权限隔离，权限由文件管理和协调员控制。登记规范包和指南版本、标注者代号、角色、可见阶段与材料清单、用途、状态和实际用时；技术故障和盲法偏离写备注。E0封存时填写初始锁定时间。</w:t>
      </w:r>
    </w:p>
    <w:p>
      <w:pPr>
        <w:pStyle w:val="Heading2"/>
        <w:keepNext/>
        <w:spacing w:before="160" w:after="120" w:line="276" w:lineRule="auto"/>
        <w:jc w:val="left"/>
      </w:pPr>
      <w:r>
        <w:rPr>
          <w:rFonts w:ascii="Garamond" w:hAnsi="Garamond" w:cs="Garamond" w:eastAsia="Songti SC"/>
          <w:b/>
          <w:i w:val="0"/>
          <w:color w:val="000000"/>
          <w:sz w:val="25"/>
          <w:u w:val="none"/>
        </w:rPr>
        <w:t>案件和案件族</w:t>
      </w:r>
    </w:p>
    <w:p>
      <w:pPr>
        <w:spacing w:line="348" w:lineRule="auto" w:before="0" w:after="120"/>
        <w:ind w:firstLine="480"/>
        <w:jc w:val="both"/>
      </w:pPr>
      <w:r>
        <w:rPr>
          <w:rFonts w:ascii="Garamond" w:hAnsi="Garamond" w:cs="Garamond" w:eastAsia="Songti SC"/>
          <w:b w:val="0"/>
          <w:i w:val="0"/>
          <w:color w:val="000000"/>
          <w:sz w:val="23"/>
        </w:rPr>
        <w:t>案件表登记匿名案件ID、研究簇、程序阶段、材料构造类型、权限、脱敏和拆分状态；法域连接事实在实体、事件及扩展审查中记录。另填案件族ID。同案不同被告人、不同审级、派生裁判、同一案内不同罪名或同一动态材料的更新仍应归入同一案件族。案件族是训练/开发/测试拆分的单位；罪名场景簇只是报告和迁移分析的分层，不能用“帮信样本”和“掩隐样本”掩盖同案拆分泄漏。</w:t>
      </w:r>
    </w:p>
    <w:p>
      <w:pPr>
        <w:pStyle w:val="Heading2"/>
        <w:keepNext/>
        <w:spacing w:before="160" w:after="120" w:line="276" w:lineRule="auto"/>
        <w:jc w:val="left"/>
      </w:pPr>
      <w:r>
        <w:rPr>
          <w:rFonts w:ascii="Garamond" w:hAnsi="Garamond" w:cs="Garamond" w:eastAsia="Songti SC"/>
          <w:b/>
          <w:i w:val="0"/>
          <w:color w:val="000000"/>
          <w:sz w:val="25"/>
          <w:u w:val="none"/>
        </w:rPr>
        <w:t>材料和证据片段</w:t>
      </w:r>
    </w:p>
    <w:p>
      <w:pPr>
        <w:spacing w:line="348" w:lineRule="auto" w:before="0" w:after="120"/>
        <w:ind w:firstLine="480"/>
        <w:jc w:val="both"/>
      </w:pPr>
      <w:r>
        <w:rPr>
          <w:rFonts w:ascii="Garamond" w:hAnsi="Garamond" w:cs="Garamond" w:eastAsia="Songti SC"/>
          <w:b w:val="0"/>
          <w:i w:val="0"/>
          <w:color w:val="000000"/>
          <w:sz w:val="23"/>
        </w:rPr>
        <w:t>材料表记录材料类型、脱敏文件名、SHA256、成文及收集时间、版本、原始出处、首次可见阶段、更正范围、访问范围和核验状态。证据片段表以最小可复核范围为单位：短文本优先句子或连续数句，表格使用行列坐标，音视频使用起止时间，图片使用区域说明。每条片段填写脱敏原文、定位、陈述人及陈述时间、记载层次、事实概括、转录核验和材料ID；支持或挑战关系另建行，首次可见阶段从材料继承。必要时再建证据组，但不要把一整份卷宗复制为每一个命题的证据。</w:t>
      </w:r>
    </w:p>
    <w:p>
      <w:pPr>
        <w:spacing w:line="348" w:lineRule="auto" w:before="0" w:after="120"/>
        <w:ind w:firstLine="480"/>
        <w:jc w:val="both"/>
      </w:pPr>
      <w:r>
        <w:rPr>
          <w:rFonts w:ascii="Garamond" w:hAnsi="Garamond" w:cs="Garamond" w:eastAsia="Songti SC"/>
          <w:b w:val="0"/>
          <w:i w:val="0"/>
          <w:color w:val="000000"/>
          <w:sz w:val="23"/>
        </w:rPr>
        <w:t>定位规则是先精确到文件，再精确到页、段、行、表格或时间。OCR错误、转录不确定、缺页和不可读处要原样记录；不能凭上下文修正为确定事实。摘要必须回链原文。若使用裁判文书中的转述，来源角色写“裁判文书转述”，不要冒充原始聊天、流水或讯问笔录。</w:t>
      </w:r>
    </w:p>
    <w:p>
      <w:pPr>
        <w:pStyle w:val="Heading2"/>
        <w:keepNext/>
        <w:spacing w:before="160" w:after="120" w:line="276" w:lineRule="auto"/>
        <w:jc w:val="left"/>
      </w:pPr>
      <w:r>
        <w:rPr>
          <w:rFonts w:ascii="Garamond" w:hAnsi="Garamond" w:cs="Garamond" w:eastAsia="Songti SC"/>
          <w:b/>
          <w:i w:val="0"/>
          <w:color w:val="000000"/>
          <w:sz w:val="25"/>
          <w:u w:val="none"/>
        </w:rPr>
        <w:t>实体、事件和关系</w:t>
      </w:r>
    </w:p>
    <w:p>
      <w:pPr>
        <w:spacing w:line="348" w:lineRule="auto" w:before="0" w:after="120"/>
        <w:ind w:firstLine="480"/>
        <w:jc w:val="both"/>
      </w:pPr>
      <w:r>
        <w:rPr>
          <w:rFonts w:ascii="Garamond" w:hAnsi="Garamond" w:cs="Garamond" w:eastAsia="Songti SC"/>
          <w:b w:val="0"/>
          <w:i w:val="0"/>
          <w:color w:val="000000"/>
          <w:sz w:val="23"/>
        </w:rPr>
        <w:t>实体表由协调员预置并冻结人、单位、账户、设备、通信账号、资金批次和地点的中性ID及代称；实质身份属性、同一性、实际控制存在争议时，A/B在各自任务的事件、关系或扩展审查中记录，不共同修改实体层。新增实体先使用各自独立代号，由协调员对齐且保留原记录。实名、使用、控制、运营等关系分别建行。事件表以一次可定位行为或状态变化为最小单位，至少填主要行为人、事件类型、行为描述、对象、时间、精度时区、地点、片段及支持状态；工具、多对象和多参与者通过关系补充，资金方向在金额表登记。典型顺序包括上游犯罪准备、诈骗实施、被害人处分、入账、中转、提现/换汇/虚拟资产、跨境转移和后续处置；不要为了符合顺序而捏造缺失事件。</w:t>
      </w:r>
    </w:p>
    <w:p>
      <w:pPr>
        <w:spacing w:line="348" w:lineRule="auto" w:before="0" w:after="120"/>
        <w:ind w:firstLine="480"/>
        <w:jc w:val="both"/>
      </w:pPr>
      <w:r>
        <w:rPr>
          <w:rFonts w:ascii="Garamond" w:hAnsi="Garamond" w:cs="Garamond" w:eastAsia="Songti SC"/>
          <w:b w:val="0"/>
          <w:i w:val="0"/>
          <w:color w:val="000000"/>
          <w:sz w:val="23"/>
        </w:rPr>
        <w:t>关系表记录“谁—对什么—通过何种关系—何时—依据何来源”。事先共谋、稳定配合、临时帮助、事后处理和普通业务往来必须区分。关系不明时填“待确认”，不以共同出现在聊天、同一公司或同一账户自动建立共犯关系。</w:t>
      </w:r>
    </w:p>
    <w:p>
      <w:pPr>
        <w:pStyle w:val="Heading1"/>
        <w:keepNext/>
        <w:spacing w:before="280" w:after="120" w:line="276" w:lineRule="auto"/>
        <w:jc w:val="center"/>
      </w:pPr>
      <w:r>
        <w:rPr>
          <w:rFonts w:ascii="Garamond" w:hAnsi="Garamond" w:cs="Garamond" w:eastAsia="Songti SC"/>
          <w:b/>
          <w:i w:val="0"/>
          <w:color w:val="000000"/>
          <w:sz w:val="28"/>
          <w:u w:val="single"/>
        </w:rPr>
        <w:t>四 三类核心罪名的标注重点</w:t>
      </w:r>
    </w:p>
    <w:p>
      <w:pPr>
        <w:pStyle w:val="Heading2"/>
        <w:keepNext/>
        <w:spacing w:before="160" w:after="120" w:line="276" w:lineRule="auto"/>
        <w:jc w:val="left"/>
      </w:pPr>
      <w:r>
        <w:rPr>
          <w:rFonts w:ascii="Garamond" w:hAnsi="Garamond" w:cs="Garamond" w:eastAsia="Songti SC"/>
          <w:b/>
          <w:i w:val="0"/>
          <w:color w:val="000000"/>
          <w:sz w:val="25"/>
          <w:u w:val="none"/>
        </w:rPr>
        <w:t>帮信罪</w:t>
      </w:r>
    </w:p>
    <w:p>
      <w:pPr>
        <w:spacing w:line="348" w:lineRule="auto" w:before="0" w:after="120"/>
        <w:ind w:firstLine="480"/>
        <w:jc w:val="both"/>
      </w:pPr>
      <w:r>
        <w:rPr>
          <w:rFonts w:ascii="Garamond" w:hAnsi="Garamond" w:cs="Garamond" w:eastAsia="Songti SC"/>
          <w:b w:val="0"/>
          <w:i w:val="0"/>
          <w:color w:val="000000"/>
          <w:sz w:val="23"/>
        </w:rPr>
        <w:t>至少分别标注：被帮助的网络犯罪或其状态；帮助行为的类型、对象、时间和持续范围；行为人与账户、设备、平台或资金的实际联系；认识对象的内容、形成时间和证据；情节严重所需的金额、数量、对象数、违法所得、历史处罚或严重后果；支持明知的反向材料；上游犯罪是否已查证。</w:t>
      </w:r>
    </w:p>
    <w:p>
      <w:pPr>
        <w:spacing w:line="348" w:lineRule="auto" w:before="0" w:after="120"/>
        <w:ind w:firstLine="480"/>
        <w:jc w:val="both"/>
      </w:pPr>
      <w:r>
        <w:rPr>
          <w:rFonts w:ascii="Garamond" w:hAnsi="Garamond" w:cs="Garamond" w:eastAsia="Songti SC"/>
          <w:b w:val="0"/>
          <w:i w:val="0"/>
          <w:color w:val="000000"/>
          <w:sz w:val="23"/>
        </w:rPr>
        <w:t>“异常收费”“绕过审查”“隐蔽通信”“监管告知后继续”“虚假用途”“职业经验”等是待评价的事实线索，不是单独的明知标签。每条线索要写具体行为、发生时点、对认识内容的指向和相反解释。支付结算必须区分被帮助犯罪资金与账户全部流水；不能把账户总流水自动当成帮信金额。</w:t>
      </w:r>
    </w:p>
    <w:p>
      <w:pPr>
        <w:pStyle w:val="Heading2"/>
        <w:keepNext/>
        <w:spacing w:before="160" w:after="120" w:line="276" w:lineRule="auto"/>
        <w:jc w:val="left"/>
      </w:pPr>
      <w:r>
        <w:rPr>
          <w:rFonts w:ascii="Garamond" w:hAnsi="Garamond" w:cs="Garamond" w:eastAsia="Songti SC"/>
          <w:b/>
          <w:i w:val="0"/>
          <w:color w:val="000000"/>
          <w:sz w:val="25"/>
          <w:u w:val="none"/>
        </w:rPr>
        <w:t>掩隐罪</w:t>
      </w:r>
    </w:p>
    <w:p>
      <w:pPr>
        <w:spacing w:line="348" w:lineRule="auto" w:before="0" w:after="120"/>
        <w:ind w:firstLine="480"/>
        <w:jc w:val="both"/>
      </w:pPr>
      <w:r>
        <w:rPr>
          <w:rFonts w:ascii="Garamond" w:hAnsi="Garamond" w:cs="Garamond" w:eastAsia="Songti SC"/>
          <w:b w:val="0"/>
          <w:i w:val="0"/>
          <w:color w:val="000000"/>
          <w:sz w:val="23"/>
        </w:rPr>
        <w:t>分别标注上游犯罪所得或收益的来源状态、行为人对“犯罪所得/收益”性质的认识、掩饰或隐瞒行为的具体方式、时间、对象和资金路径，以及是否存在收受、转移、转换、代持、套现、跨境处置等事实。不能因为有收款、转账或提现就直接标为掩隐；要记录其与上游犯罪的连接证据、认识程度和正常业务解释。与帮信的边界记录在论证表中，不在实体表中硬编码一个排他标签。</w:t>
      </w:r>
    </w:p>
    <w:p>
      <w:pPr>
        <w:pStyle w:val="Heading2"/>
        <w:keepNext/>
        <w:spacing w:before="160" w:after="120" w:line="276" w:lineRule="auto"/>
        <w:jc w:val="left"/>
      </w:pPr>
      <w:r>
        <w:rPr>
          <w:rFonts w:ascii="Garamond" w:hAnsi="Garamond" w:cs="Garamond" w:eastAsia="Songti SC"/>
          <w:b/>
          <w:i w:val="0"/>
          <w:color w:val="000000"/>
          <w:sz w:val="25"/>
          <w:u w:val="none"/>
        </w:rPr>
        <w:t>诈骗罪共同犯罪</w:t>
      </w:r>
    </w:p>
    <w:p>
      <w:pPr>
        <w:spacing w:line="348" w:lineRule="auto" w:before="0" w:after="120"/>
        <w:ind w:firstLine="480"/>
        <w:jc w:val="both"/>
      </w:pPr>
      <w:r>
        <w:rPr>
          <w:rFonts w:ascii="Garamond" w:hAnsi="Garamond" w:cs="Garamond" w:eastAsia="Songti SC"/>
          <w:b w:val="0"/>
          <w:i w:val="0"/>
          <w:color w:val="000000"/>
          <w:sz w:val="23"/>
        </w:rPr>
        <w:t>记录诈骗行为的具体环节、行为人参与方式、与其他人的联系、分工、利益分配、事先或事中意思联络、对诈骗对象和结果的认识，以及其行为是否超出一般平台、劳务或账户服务。共同犯罪论证必须有关系来源和时间顺序；单纯同事、账户实名、岗位或收取固定报酬不等于共同故意。诈骗共犯与帮信、掩隐可以作为候选边界并存，最终由要件审查、排除理由和证据范围决定是否保留。普通诈骗罪没有一般单位犯罪条款，单位参与背景与自然人归责分别审查。</w:t>
      </w:r>
    </w:p>
    <w:p>
      <w:pPr>
        <w:pStyle w:val="Heading2"/>
        <w:keepNext/>
        <w:spacing w:before="160" w:after="120" w:line="276" w:lineRule="auto"/>
        <w:jc w:val="left"/>
      </w:pPr>
      <w:r>
        <w:rPr>
          <w:rFonts w:ascii="Garamond" w:hAnsi="Garamond" w:cs="Garamond" w:eastAsia="Songti SC"/>
          <w:b/>
          <w:i w:val="0"/>
          <w:color w:val="000000"/>
          <w:sz w:val="25"/>
          <w:u w:val="none"/>
        </w:rPr>
        <w:t>不构罪和开放项</w:t>
      </w:r>
    </w:p>
    <w:p>
      <w:pPr>
        <w:spacing w:line="348" w:lineRule="auto" w:before="0" w:after="120"/>
        <w:ind w:firstLine="480"/>
        <w:jc w:val="both"/>
      </w:pPr>
      <w:r>
        <w:rPr>
          <w:rFonts w:ascii="Garamond" w:hAnsi="Garamond" w:cs="Garamond" w:eastAsia="Songti SC"/>
          <w:b w:val="0"/>
          <w:i w:val="0"/>
          <w:color w:val="000000"/>
          <w:sz w:val="23"/>
        </w:rPr>
        <w:t>证据不足、合法业务、一般过失、未达到相应构成条件、其他罪名或程序处置分别登记。不要为了完成三选一而把“未决”改为“无罪”，也不要把裁判文书结论直接当作限定材料下的专家金标。案件实际裁判结果由协调员单独保管，独立材料内评价副本移除其内容；专家评价写要件和论证。模型输出在后续实验另外保存，不混入专家参考。</w:t>
      </w:r>
    </w:p>
    <w:p>
      <w:pPr>
        <w:pStyle w:val="Heading1"/>
        <w:keepNext/>
        <w:spacing w:before="280" w:after="120" w:line="276" w:lineRule="auto"/>
        <w:jc w:val="center"/>
      </w:pPr>
      <w:r>
        <w:rPr>
          <w:rFonts w:ascii="Garamond" w:hAnsi="Garamond" w:cs="Garamond" w:eastAsia="Songti SC"/>
          <w:b/>
          <w:i w:val="0"/>
          <w:color w:val="000000"/>
          <w:sz w:val="28"/>
          <w:u w:val="single"/>
        </w:rPr>
        <w:t>五 金额和量刑辅助字段</w:t>
      </w:r>
    </w:p>
    <w:p>
      <w:pPr>
        <w:spacing w:line="348" w:lineRule="auto" w:before="0" w:after="120"/>
        <w:ind w:firstLine="480"/>
        <w:jc w:val="both"/>
      </w:pPr>
      <w:r>
        <w:rPr>
          <w:rFonts w:ascii="Garamond" w:hAnsi="Garamond" w:cs="Garamond" w:eastAsia="Songti SC"/>
          <w:b w:val="0"/>
          <w:i w:val="0"/>
          <w:color w:val="000000"/>
          <w:sz w:val="23"/>
        </w:rPr>
        <w:t>金额表必须按金额性质、币种、时间口径、来源和是否去重记录。八类一级口径统一为：账户总流水、涉诈流入资金、支付结算金额、犯罪数额、犯罪所得及收益、个人参与数额、违法所得或个人获利、退赃退赔金额。每项填写原值、币种、原单位、查证状态、方向、个人归集期间、去重批次、计入规则与排除项、来源。广告帮助提供资金、被害损失等细分概念在计入规则中写明子口径和规范用途，不冒充支付结算。未知金额留空并说明，真实零填数字0；外币折算须另记汇率来源、时点与计算方法。八类金额不得无说明相加，也不能以最大值替代规范要求的特定口径。</w:t>
      </w:r>
    </w:p>
    <w:p>
      <w:pPr>
        <w:spacing w:line="348" w:lineRule="auto" w:before="0" w:after="120"/>
        <w:ind w:firstLine="480"/>
        <w:jc w:val="both"/>
      </w:pPr>
      <w:r>
        <w:rPr>
          <w:rFonts w:ascii="Garamond" w:hAnsi="Garamond" w:cs="Garamond" w:eastAsia="Songti SC"/>
          <w:b w:val="0"/>
          <w:i w:val="0"/>
          <w:color w:val="000000"/>
          <w:sz w:val="23"/>
        </w:rPr>
        <w:t>模块原文中的固定金额、数量、刑期起点、系数和比例只作产品规则候选，不能未经规范库确认直接变成金标。特别是“量刑调整幅度”“统一金额”“金额变更仅影响量刑”等说法，均需标为待核或规则假设。金额变化如果只影响量刑，标在量刑参数和论证影响范围中，不倒推定罪成立；如果可能影响入罪门槛，则必须同时更新要件审查和论证处置。量刑模块不得自动补全上游待确认事实。</w:t>
      </w:r>
    </w:p>
    <w:p>
      <w:pPr>
        <w:spacing w:line="348" w:lineRule="auto" w:before="0" w:after="120"/>
        <w:ind w:firstLine="480"/>
        <w:jc w:val="both"/>
      </w:pPr>
      <w:r>
        <w:rPr>
          <w:rFonts w:ascii="Garamond" w:hAnsi="Garamond" w:cs="Garamond" w:eastAsia="Songti SC"/>
          <w:b w:val="0"/>
          <w:i w:val="0"/>
          <w:color w:val="000000"/>
          <w:sz w:val="23"/>
        </w:rPr>
        <w:t>合规字段记录制度版本、岗位职责、实际执行、培训、审批、审计、预警、投诉、整改、隐匿资料、打击举报和正常业务解释。合规事实不产生自动出罪路径。管辖字段记录行为地、结果地、主体国籍、被害地、境外主体和法源定位；不要把系统分数直接标作管辖结论。文书字段记录拟用模板、人工复核状态、版本和导出权限；未复核文书只能标“待复核草稿”。</w:t>
      </w:r>
    </w:p>
    <w:p>
      <w:pPr>
        <w:pStyle w:val="Heading1"/>
        <w:keepNext/>
        <w:spacing w:before="280" w:after="120" w:line="276" w:lineRule="auto"/>
        <w:jc w:val="center"/>
      </w:pPr>
      <w:r>
        <w:rPr>
          <w:rFonts w:ascii="Garamond" w:hAnsi="Garamond" w:cs="Garamond" w:eastAsia="Songti SC"/>
          <w:b/>
          <w:i w:val="0"/>
          <w:color w:val="000000"/>
          <w:sz w:val="28"/>
          <w:u w:val="single"/>
        </w:rPr>
        <w:t>六 论证和更新标注</w:t>
      </w:r>
    </w:p>
    <w:p>
      <w:pPr>
        <w:pStyle w:val="Heading2"/>
        <w:keepNext/>
        <w:spacing w:before="160" w:after="120" w:line="276" w:lineRule="auto"/>
        <w:jc w:val="left"/>
      </w:pPr>
      <w:r>
        <w:rPr>
          <w:rFonts w:ascii="Garamond" w:hAnsi="Garamond" w:cs="Garamond" w:eastAsia="Songti SC"/>
          <w:b/>
          <w:i w:val="0"/>
          <w:color w:val="000000"/>
          <w:sz w:val="25"/>
          <w:u w:val="none"/>
        </w:rPr>
        <w:t>论证最小单位</w:t>
      </w:r>
    </w:p>
    <w:p>
      <w:pPr>
        <w:spacing w:line="348" w:lineRule="auto" w:before="0" w:after="120"/>
        <w:ind w:firstLine="480"/>
        <w:jc w:val="both"/>
      </w:pPr>
      <w:r>
        <w:rPr>
          <w:rFonts w:ascii="Garamond" w:hAnsi="Garamond" w:cs="Garamond" w:eastAsia="Songti SC"/>
          <w:b w:val="0"/>
          <w:i w:val="0"/>
          <w:color w:val="000000"/>
          <w:sz w:val="23"/>
        </w:rPr>
        <w:t xml:space="preserve">每条论证有稳定 </w:t>
      </w:r>
      <w:r>
        <w:rPr>
          <w:rFonts w:ascii="Garamond" w:hAnsi="Garamond" w:cs="Garamond" w:eastAsia="Songti SC"/>
          <w:b w:val="0"/>
          <w:i w:val="0"/>
          <w:color w:val="000000"/>
          <w:sz w:val="23"/>
        </w:rPr>
        <w:t>argument_id</w:t>
      </w:r>
      <w:r>
        <w:rPr>
          <w:rFonts w:ascii="Garamond" w:hAnsi="Garamond" w:cs="Garamond" w:eastAsia="Songti SC"/>
          <w:b w:val="0"/>
          <w:i w:val="0"/>
          <w:color w:val="000000"/>
          <w:sz w:val="23"/>
        </w:rPr>
        <w:t>、目标命题、前提或证据列表、结论、论证类型、主体/时间/对象绑定、适用罪名、支持与反向来源、适用条件和局限。目标相同不等于同一条论证；核心推断根据改变、认识主体改变或独立来源路径替换时，旧论证STOP，替代论证新建ID；核心根据不变而只缩窄非核心期间或删除可调整前提时，可在同一论证ID下REVISE。边界经试标冻结并保留裁决分歧，不能因任何小改动都新建ID。经验性推断要明确写“经验依据”和适用边界，不把经验当成事实来源。</w:t>
      </w:r>
    </w:p>
    <w:p>
      <w:pPr>
        <w:pStyle w:val="Heading2"/>
        <w:keepNext/>
        <w:spacing w:before="160" w:after="120" w:line="276" w:lineRule="auto"/>
        <w:jc w:val="left"/>
      </w:pPr>
      <w:r>
        <w:rPr>
          <w:rFonts w:ascii="Garamond" w:hAnsi="Garamond" w:cs="Garamond" w:eastAsia="Songti SC"/>
          <w:b/>
          <w:i w:val="0"/>
          <w:color w:val="000000"/>
          <w:sz w:val="25"/>
          <w:u w:val="none"/>
        </w:rPr>
        <w:t>CQ和反向理由</w:t>
      </w:r>
    </w:p>
    <w:p>
      <w:pPr>
        <w:spacing w:line="348" w:lineRule="auto" w:before="0" w:after="120"/>
        <w:ind w:firstLine="480"/>
        <w:jc w:val="both"/>
      </w:pPr>
      <w:r>
        <w:rPr>
          <w:rFonts w:ascii="Garamond" w:hAnsi="Garamond" w:cs="Garamond" w:eastAsia="Songti SC"/>
          <w:b w:val="0"/>
          <w:i w:val="0"/>
          <w:color w:val="000000"/>
          <w:sz w:val="23"/>
        </w:rPr>
        <w:t>对每条论证询问来源是否真实、是否独立、是否确实指向目标、主体和时间是否绑定、是否存在正常业务解释、是否有反向材料、是否需要上游事实成立、是否跨越了证明责任。CQ记录提出的问题、问题来源、涉及论证、是否已有回应和当前状态。只有有材料支持的实质挑战才会影响R；纯粹“还可以继续查”不自动标PENDING。</w:t>
      </w:r>
    </w:p>
    <w:p>
      <w:pPr>
        <w:pStyle w:val="Heading2"/>
        <w:keepNext/>
        <w:spacing w:before="160" w:after="120" w:line="276" w:lineRule="auto"/>
        <w:jc w:val="left"/>
      </w:pPr>
      <w:r>
        <w:rPr>
          <w:rFonts w:ascii="Garamond" w:hAnsi="Garamond" w:cs="Garamond" w:eastAsia="Songti SC"/>
          <w:b/>
          <w:i w:val="0"/>
          <w:color w:val="000000"/>
          <w:sz w:val="25"/>
          <w:u w:val="none"/>
        </w:rPr>
        <w:t>动态材料</w:t>
      </w:r>
    </w:p>
    <w:p>
      <w:pPr>
        <w:spacing w:line="348" w:lineRule="auto" w:before="0" w:after="120"/>
        <w:ind w:firstLine="480"/>
        <w:jc w:val="both"/>
      </w:pPr>
      <w:r>
        <w:rPr>
          <w:rFonts w:ascii="Garamond" w:hAnsi="Garamond" w:cs="Garamond" w:eastAsia="Songti SC"/>
          <w:b w:val="0"/>
          <w:i w:val="0"/>
          <w:color w:val="000000"/>
          <w:sz w:val="23"/>
        </w:rPr>
        <w:t>每一次新增、更正、撤回、来源降级或冲突建立都新增更新记录，不覆盖旧记录。“更新处置”填写更新ID、更新材料、类型、旧论证ID、R、影响范围、CQ、挑战效果、谱系、新论证记录ID、依据及保留信息。时间版本从材料和事件关联；S在要件审查另评，来源依赖在关系表记录。原材料仍保留；“停止依赖”是当前论证使用资格变化，不是删除证据或法律上的证据排除。撤回旧陈述不自动证明相反事实，后来的材料也不因时间较晚就自动优先。</w:t>
      </w:r>
    </w:p>
    <w:p>
      <w:pPr>
        <w:spacing w:line="348" w:lineRule="auto" w:before="0" w:after="120"/>
        <w:ind w:firstLine="480"/>
        <w:jc w:val="both"/>
      </w:pPr>
      <w:r>
        <w:rPr>
          <w:rFonts w:ascii="Garamond" w:hAnsi="Garamond" w:cs="Garamond" w:eastAsia="Songti SC"/>
          <w:b w:val="0"/>
          <w:i w:val="0"/>
          <w:color w:val="000000"/>
          <w:sz w:val="23"/>
        </w:rPr>
        <w:t>一条更正只影响其明确范围。若共同来源同时支持三条摘要，检查三条依赖；若还有真正独立来源，论证可能KEEP或REVISE。只有具体实质材料冲突使使用资格待核时使用PENDING；单纯影响范围缺信息，应说明缺口并交裁决，不能自动填PENDING。保持、修订、停止和待核要按目标论证分别判断，不能以“案件结论未变”替代逐项审查。</w:t>
      </w:r>
    </w:p>
    <w:p>
      <w:pPr>
        <w:pStyle w:val="Heading1"/>
        <w:keepNext/>
        <w:spacing w:before="280" w:after="120" w:line="276" w:lineRule="auto"/>
        <w:jc w:val="center"/>
      </w:pPr>
      <w:r>
        <w:rPr>
          <w:rFonts w:ascii="Garamond" w:hAnsi="Garamond" w:cs="Garamond" w:eastAsia="Songti SC"/>
          <w:b/>
          <w:i w:val="0"/>
          <w:color w:val="000000"/>
          <w:sz w:val="28"/>
          <w:u w:val="single"/>
        </w:rPr>
        <w:t>七 六个虚构例子</w:t>
      </w:r>
    </w:p>
    <w:p>
      <w:pPr>
        <w:spacing w:line="348" w:lineRule="auto" w:before="0" w:after="120"/>
        <w:ind w:firstLine="480"/>
        <w:jc w:val="both"/>
      </w:pPr>
      <w:r>
        <w:rPr>
          <w:rFonts w:ascii="Garamond" w:hAnsi="Garamond" w:cs="Garamond" w:eastAsia="Songti SC"/>
          <w:b w:val="0"/>
          <w:i w:val="0"/>
          <w:color w:val="000000"/>
          <w:sz w:val="23"/>
        </w:rPr>
        <w:t>下列例子全部为培训用虚构材料，不对应真实案件、案号或当事人；不得放入正式统计或金标参考包。</w:t>
      </w:r>
    </w:p>
    <w:p>
      <w:pPr>
        <w:spacing w:line="348" w:lineRule="auto" w:before="0" w:after="120"/>
        <w:ind w:firstLine="480"/>
        <w:jc w:val="both"/>
      </w:pPr>
      <w:r>
        <w:rPr>
          <w:rFonts w:ascii="Garamond" w:hAnsi="Garamond" w:cs="Garamond" w:eastAsia="Songti SC"/>
          <w:b/>
          <w:i w:val="0"/>
          <w:color w:val="000000"/>
          <w:sz w:val="23"/>
        </w:rPr>
        <w:t>例一 账户实名不等于操作归属。</w:t>
      </w:r>
      <w:r>
        <w:rPr>
          <w:rFonts w:ascii="Garamond" w:hAnsi="Garamond" w:cs="Garamond" w:eastAsia="Songti SC"/>
          <w:b w:val="0"/>
          <w:i w:val="0"/>
          <w:color w:val="000000"/>
          <w:sz w:val="23"/>
        </w:rPr>
        <w:t xml:space="preserve"> 材料A写“甲为账户实名人”，设备日志显示乙的设备连续登录，甲称曾把卡交给亲友但无交接时间。实体表分别登记实名人和操作人；事件表把登录归乙作为“材料显示”，把甲是否实际控制标“待确认”。不能直接以实名推定甲实施帮信或诈骗共犯。</w:t>
      </w:r>
    </w:p>
    <w:p>
      <w:pPr>
        <w:spacing w:line="348" w:lineRule="auto" w:before="0" w:after="120"/>
        <w:ind w:firstLine="480"/>
        <w:jc w:val="both"/>
      </w:pPr>
      <w:r>
        <w:rPr>
          <w:rFonts w:ascii="Garamond" w:hAnsi="Garamond" w:cs="Garamond" w:eastAsia="Songti SC"/>
          <w:b/>
          <w:i w:val="0"/>
          <w:color w:val="000000"/>
          <w:sz w:val="23"/>
        </w:rPr>
        <w:t>例二 异常收费和正常解释并存。</w:t>
      </w:r>
      <w:r>
        <w:rPr>
          <w:rFonts w:ascii="Garamond" w:hAnsi="Garamond" w:cs="Garamond" w:eastAsia="Songti SC"/>
          <w:b w:val="0"/>
          <w:i w:val="0"/>
          <w:color w:val="000000"/>
          <w:sz w:val="23"/>
        </w:rPr>
        <w:t xml:space="preserve"> 丙为跨境商户提供支付接口，收取高于一般市场的服务费；合同、发票和风控工单显示客户曾因资料不全被限制，丙后来解除限制。异常收费与解除限制需结合具体时点和内容判断证明方向，合同履行可提供正常业务解释。先建立目标和论证、分别标S；没有冻结旧论证和后续更新时不直接填REVISE。高费不自动证明明知，普通信息缺失也不自动填PENDING。</w:t>
      </w:r>
    </w:p>
    <w:p>
      <w:pPr>
        <w:spacing w:line="348" w:lineRule="auto" w:before="0" w:after="120"/>
        <w:ind w:firstLine="480"/>
        <w:jc w:val="both"/>
      </w:pPr>
      <w:r>
        <w:rPr>
          <w:rFonts w:ascii="Garamond" w:hAnsi="Garamond" w:cs="Garamond" w:eastAsia="Songti SC"/>
          <w:b/>
          <w:i w:val="0"/>
          <w:color w:val="000000"/>
          <w:sz w:val="23"/>
        </w:rPr>
        <w:t>例三 帮信与掩隐的阶段区分。</w:t>
      </w:r>
      <w:r>
        <w:rPr>
          <w:rFonts w:ascii="Garamond" w:hAnsi="Garamond" w:cs="Garamond" w:eastAsia="Songti SC"/>
          <w:b w:val="0"/>
          <w:i w:val="0"/>
          <w:color w:val="000000"/>
          <w:sz w:val="23"/>
        </w:rPr>
        <w:t xml:space="preserve"> 丁先按约提供技术接口，数月后收到一笔已被告知来源可疑的资金并代为换汇。前一阶段与后一阶段分别建事件、认识对象和论证ID；不能用后一阶段的认识自动回填前一阶段，也不能用前一阶段的普通业务解释抹去后一阶段的资金处理。</w:t>
      </w:r>
    </w:p>
    <w:p>
      <w:pPr>
        <w:spacing w:line="348" w:lineRule="auto" w:before="0" w:after="120"/>
        <w:ind w:firstLine="480"/>
        <w:jc w:val="both"/>
      </w:pPr>
      <w:r>
        <w:rPr>
          <w:rFonts w:ascii="Garamond" w:hAnsi="Garamond" w:cs="Garamond" w:eastAsia="Songti SC"/>
          <w:b/>
          <w:i w:val="0"/>
          <w:color w:val="000000"/>
          <w:sz w:val="23"/>
        </w:rPr>
        <w:t>例四 诈骗共犯需要联络和分工。</w:t>
      </w:r>
      <w:r>
        <w:rPr>
          <w:rFonts w:ascii="Garamond" w:hAnsi="Garamond" w:cs="Garamond" w:eastAsia="Songti SC"/>
          <w:b w:val="0"/>
          <w:i w:val="0"/>
          <w:color w:val="000000"/>
          <w:sz w:val="23"/>
        </w:rPr>
        <w:t xml:space="preserve"> 戊负责客服外包，聊天记录只显示“按脚本回复”，另有一条事前会议记录涉及虚假投资回报和分成。前者可能是业务行为，后者可能支持共同故意；必须定位会议参与人、时间和实际执行，不能以“客服岗位”或“分成”单独完成共犯标注。</w:t>
      </w:r>
    </w:p>
    <w:p>
      <w:pPr>
        <w:spacing w:line="348" w:lineRule="auto" w:before="0" w:after="120"/>
        <w:ind w:firstLine="480"/>
        <w:jc w:val="both"/>
      </w:pPr>
      <w:r>
        <w:rPr>
          <w:rFonts w:ascii="Garamond" w:hAnsi="Garamond" w:cs="Garamond" w:eastAsia="Songti SC"/>
          <w:b/>
          <w:i w:val="0"/>
          <w:color w:val="000000"/>
          <w:sz w:val="23"/>
        </w:rPr>
        <w:t>例五 共享来源失效。</w:t>
      </w:r>
      <w:r>
        <w:rPr>
          <w:rFonts w:ascii="Garamond" w:hAnsi="Garamond" w:cs="Garamond" w:eastAsia="Songti SC"/>
          <w:b w:val="0"/>
          <w:i w:val="0"/>
          <w:color w:val="000000"/>
          <w:sz w:val="23"/>
        </w:rPr>
        <w:t xml:space="preserve"> 三条论证都引用同一份被误录的“银行回执摘要”，原始银行文件显示摘要金额错位。更新记录将三条论证连到同一来源依赖；若明确更正使旧核心依据丧失，则STOP；只有存在未决实质材料冲突时才PENDING；若另有原始流水和独立审计支持，可分别REVISE或KEEP。三条摘要不算三份独立证据。</w:t>
      </w:r>
    </w:p>
    <w:p>
      <w:pPr>
        <w:spacing w:line="348" w:lineRule="auto" w:before="0" w:after="120"/>
        <w:ind w:firstLine="480"/>
        <w:jc w:val="both"/>
      </w:pPr>
      <w:r>
        <w:rPr>
          <w:rFonts w:ascii="Garamond" w:hAnsi="Garamond" w:cs="Garamond" w:eastAsia="Songti SC"/>
          <w:b/>
          <w:i w:val="0"/>
          <w:color w:val="000000"/>
          <w:sz w:val="23"/>
        </w:rPr>
        <w:t>例六 后来材料不当然覆盖旧材料。</w:t>
      </w:r>
      <w:r>
        <w:rPr>
          <w:rFonts w:ascii="Garamond" w:hAnsi="Garamond" w:cs="Garamond" w:eastAsia="Songti SC"/>
          <w:b w:val="0"/>
          <w:i w:val="0"/>
          <w:color w:val="000000"/>
          <w:sz w:val="23"/>
        </w:rPr>
        <w:t xml:space="preserve"> 己案在第一阶段有两份同步业务记录，第二阶段出现一名利害关系人称“所有订单都是假单”，但没有原始订单核验。该陈述不能自动覆盖第一阶段记录；先评估是否形成实质挑战。只有其具体冲突影响旧论证使用资格时标PENDING，普通无根据概括不自动触发该标签。若第三阶段原始服务器日志确认部分订单为真实，则只对相应范围REVISE。</w:t>
      </w:r>
    </w:p>
    <w:p>
      <w:pPr>
        <w:pStyle w:val="Heading1"/>
        <w:keepNext/>
        <w:spacing w:before="280" w:after="120" w:line="276" w:lineRule="auto"/>
        <w:jc w:val="center"/>
      </w:pPr>
      <w:r>
        <w:rPr>
          <w:rFonts w:ascii="Garamond" w:hAnsi="Garamond" w:cs="Garamond" w:eastAsia="Songti SC"/>
          <w:b/>
          <w:i w:val="0"/>
          <w:color w:val="000000"/>
          <w:sz w:val="28"/>
          <w:u w:val="single"/>
        </w:rPr>
        <w:t>八 双独立标注和裁决</w:t>
      </w:r>
    </w:p>
    <w:p>
      <w:pPr>
        <w:spacing w:line="348" w:lineRule="auto" w:before="0" w:after="120"/>
        <w:ind w:firstLine="480"/>
        <w:jc w:val="both"/>
      </w:pPr>
      <w:r>
        <w:rPr>
          <w:rFonts w:ascii="Garamond" w:hAnsi="Garamond" w:cs="Garamond" w:eastAsia="Songti SC"/>
          <w:b w:val="0"/>
          <w:i w:val="0"/>
          <w:color w:val="000000"/>
          <w:sz w:val="23"/>
        </w:rPr>
        <w:t>正式案件由A、B两名标注员独立完成，分别使用独立文件副本；不得先看对方答案、协调员合并表或未来更新。初始标注完成后锁定，后续更新是否隐藏旧答案由协调员预先分配并记在任务备注；安排部分隐藏旧答案的更新任务识别回溯锚定，不要求所有更新任务一律隐藏。每次任务保存提交时间、文件哈希和版本。</w:t>
      </w:r>
    </w:p>
    <w:p>
      <w:pPr>
        <w:spacing w:line="348" w:lineRule="auto" w:before="0" w:after="120"/>
        <w:ind w:firstLine="480"/>
        <w:jc w:val="both"/>
      </w:pPr>
      <w:r>
        <w:rPr>
          <w:rFonts w:ascii="Garamond" w:hAnsi="Garamond" w:cs="Garamond" w:eastAsia="Songti SC"/>
          <w:b w:val="0"/>
          <w:i w:val="0"/>
          <w:color w:val="000000"/>
          <w:sz w:val="23"/>
        </w:rPr>
        <w:t>协调员保留两份完整原文件，按任务、目标和论证ID对齐，生成待裁决清单，不丢掉原本一致的记录。第三名法律专家裁决时保留A、B原答案、理由、证据定位和专家裁决，不删除合理但未被采用的完整参考包。若存在两套均有材料支持的解释，建立多参考包并明确分歧边界；不得事后挑选最有利于模型的单一金标。</w:t>
      </w:r>
    </w:p>
    <w:p>
      <w:pPr>
        <w:spacing w:line="348" w:lineRule="auto" w:before="0" w:after="120"/>
        <w:ind w:firstLine="480"/>
        <w:jc w:val="both"/>
      </w:pPr>
      <w:r>
        <w:rPr>
          <w:rFonts w:ascii="Garamond" w:hAnsi="Garamond" w:cs="Garamond" w:eastAsia="Songti SC"/>
          <w:b w:val="0"/>
          <w:i w:val="0"/>
          <w:color w:val="000000"/>
          <w:sz w:val="23"/>
        </w:rPr>
        <w:t>裁决优先处理身份、时间、来源和罪名边界，再处理R/S、量刑和文书辅助字段。裁决理由必须回链材料和规范库条目；没有适用规范或证据不足时，裁决可保留“待确认/开放项”。同一案件族的不同版本须由协调员统一锁定拆分规则，不能在看到模型结果后改变。</w:t>
      </w:r>
    </w:p>
    <w:p>
      <w:pPr>
        <w:spacing w:line="348" w:lineRule="auto" w:before="0" w:after="120"/>
        <w:ind w:firstLine="480"/>
        <w:jc w:val="both"/>
      </w:pPr>
      <w:r>
        <w:rPr>
          <w:rFonts w:ascii="Garamond" w:hAnsi="Garamond" w:cs="Garamond" w:eastAsia="Songti SC"/>
          <w:b w:val="0"/>
          <w:i w:val="0"/>
          <w:color w:val="000000"/>
          <w:sz w:val="23"/>
        </w:rPr>
        <w:t>试标可先选3—5个案件族，覆盖帮信核心、掩隐边界、诈骗共犯边界、非定罪或证据不足、动态更正和共享来源。这个数量只是组织和培训建议，不是正式样本量或统计功效保证。试标中若大多数任务只剩日期抄录题，应补入主体归属、认识对象、反向解释和来源冲突。</w:t>
      </w:r>
    </w:p>
    <w:p>
      <w:pPr>
        <w:pStyle w:val="Heading1"/>
        <w:keepNext/>
        <w:spacing w:before="280" w:after="120" w:line="276" w:lineRule="auto"/>
        <w:jc w:val="center"/>
      </w:pPr>
      <w:r>
        <w:rPr>
          <w:rFonts w:ascii="Garamond" w:hAnsi="Garamond" w:cs="Garamond" w:eastAsia="Songti SC"/>
          <w:b/>
          <w:i w:val="0"/>
          <w:color w:val="000000"/>
          <w:sz w:val="28"/>
          <w:u w:val="single"/>
        </w:rPr>
        <w:t>九 质量控制和错误记录</w:t>
      </w:r>
    </w:p>
    <w:p>
      <w:pPr>
        <w:spacing w:line="348" w:lineRule="auto" w:before="0" w:after="120"/>
        <w:ind w:firstLine="480"/>
        <w:jc w:val="both"/>
      </w:pPr>
      <w:r>
        <w:rPr>
          <w:rFonts w:ascii="Garamond" w:hAnsi="Garamond" w:cs="Garamond" w:eastAsia="Songti SC"/>
          <w:b w:val="0"/>
          <w:i w:val="0"/>
          <w:color w:val="000000"/>
          <w:sz w:val="23"/>
        </w:rPr>
        <w:t>每个工作日由协调员抽查来源定位、未知/不存在区分、金额去重、主体—行为绑定和R/S分离。禁止以下严重错误：捏造来源或案情；把摘要当原始证据；把共同来源重复计数；使用已撤回或超出版本效力的材料；提出CQ就自动判定论证失败；把举证不足改写为事实不存在；以岗位、实名或流水直接归责；把某个金额或模块固定比例直接作为定罪金标；将合规等级直接改成有罪/无罪；将相对不起诉、累犯、学生身份或未成年人身份互相推定。</w:t>
      </w:r>
    </w:p>
    <w:p>
      <w:pPr>
        <w:spacing w:line="348" w:lineRule="auto" w:before="0" w:after="120"/>
        <w:ind w:firstLine="480"/>
        <w:jc w:val="both"/>
      </w:pPr>
      <w:r>
        <w:rPr>
          <w:rFonts w:ascii="Garamond" w:hAnsi="Garamond" w:cs="Garamond" w:eastAsia="Songti SC"/>
          <w:b w:val="0"/>
          <w:i w:val="0"/>
          <w:color w:val="000000"/>
          <w:sz w:val="23"/>
        </w:rPr>
        <w:t>发现错误时不要覆盖原值，在裁决或更正表建立错误记录，填错误类型、发现人、影响字段、修复方式、是否传播到其他论证和修复版本。模型评测时按案件族报告错误率和适用机会数；没有适用机会不能解释为零风险。R/G较高也不能抵销上述严重法律错误。</w:t>
      </w:r>
    </w:p>
    <w:p>
      <w:pPr>
        <w:pStyle w:val="Heading1"/>
        <w:keepNext/>
        <w:spacing w:before="280" w:after="120" w:line="276" w:lineRule="auto"/>
        <w:jc w:val="center"/>
      </w:pPr>
      <w:r>
        <w:rPr>
          <w:rFonts w:ascii="Garamond" w:hAnsi="Garamond" w:cs="Garamond" w:eastAsia="Songti SC"/>
          <w:b/>
          <w:i w:val="0"/>
          <w:color w:val="000000"/>
          <w:sz w:val="28"/>
          <w:u w:val="single"/>
        </w:rPr>
        <w:t>十 隐私和交付约束</w:t>
      </w:r>
    </w:p>
    <w:p>
      <w:pPr>
        <w:spacing w:line="348" w:lineRule="auto" w:before="0" w:after="120"/>
        <w:ind w:firstLine="480"/>
        <w:jc w:val="both"/>
      </w:pPr>
      <w:r>
        <w:rPr>
          <w:rFonts w:ascii="Garamond" w:hAnsi="Garamond" w:cs="Garamond" w:eastAsia="Songti SC"/>
          <w:b w:val="0"/>
          <w:i w:val="0"/>
          <w:color w:val="000000"/>
          <w:sz w:val="23"/>
        </w:rPr>
        <w:t>正式标注使用稳定随机主体及账户代号，映射另行保管；哈希、保留尾号或姓名替换不等于充分匿名。日期、金额、地点及组织关系也须评估再识别风险。脱敏改变决定性信息后重新独立标注。保留原始材料的权限、用途和脱敏状态；身份证号、完整手机号、住址、未成年人信息和无关第三方信息不进入公开示例。对外发布时分开说明材料来源权利、匿名化处理、专家许可和可复标范围；没有合法授权的材料不得放入公开数据集。</w:t>
      </w:r>
    </w:p>
    <w:p>
      <w:pPr>
        <w:spacing w:line="348" w:lineRule="auto" w:before="0" w:after="120"/>
        <w:ind w:firstLine="480"/>
        <w:jc w:val="both"/>
      </w:pPr>
      <w:r>
        <w:rPr>
          <w:rFonts w:ascii="Garamond" w:hAnsi="Garamond" w:cs="Garamond" w:eastAsia="Songti SC"/>
          <w:b w:val="0"/>
          <w:i w:val="0"/>
          <w:color w:val="000000"/>
          <w:sz w:val="23"/>
        </w:rPr>
        <w:t>每个交付版本至少包括：标注指南版本、工作簿版本、标签字典、规范库版本、来源清单、案例族拆分清单、双标注原始文件、合并与裁决记录、数据字典和已知缺陷。工作簿中的示例行必须有“虚构示例”标记并排除正式统计。正式数据冻结后，任何标签定义、匹配规则、参考包和更新视图变化，都要增加版本号并写入变更记录。</w:t>
      </w:r>
    </w:p>
    <w:p>
      <w:pPr>
        <w:pStyle w:val="Heading1"/>
        <w:keepNext/>
        <w:spacing w:before="280" w:after="120" w:line="276" w:lineRule="auto"/>
        <w:jc w:val="center"/>
      </w:pPr>
      <w:r>
        <w:rPr>
          <w:rFonts w:ascii="Garamond" w:hAnsi="Garamond" w:cs="Garamond" w:eastAsia="Songti SC"/>
          <w:b/>
          <w:i w:val="0"/>
          <w:color w:val="000000"/>
          <w:sz w:val="28"/>
          <w:u w:val="single"/>
        </w:rPr>
        <w:t>十一 结束检查清单</w:t>
      </w:r>
    </w:p>
    <w:p>
      <w:pPr>
        <w:spacing w:line="348" w:lineRule="auto" w:before="0" w:after="120"/>
        <w:ind w:firstLine="480"/>
        <w:jc w:val="both"/>
      </w:pPr>
      <w:r>
        <w:rPr>
          <w:rFonts w:ascii="Garamond" w:hAnsi="Garamond" w:cs="Garamond" w:eastAsia="Songti SC"/>
          <w:b w:val="0"/>
          <w:i w:val="0"/>
          <w:color w:val="000000"/>
          <w:sz w:val="23"/>
        </w:rPr>
        <w:t>提交前逐项检查：</w:t>
      </w:r>
    </w:p>
    <w:p>
      <w:pPr>
        <w:spacing w:line="348" w:lineRule="auto" w:before="0" w:after="120"/>
        <w:ind w:firstLine="480"/>
        <w:jc w:val="both"/>
      </w:pPr>
      <w:r>
        <w:rPr>
          <w:rFonts w:ascii="Garamond" w:hAnsi="Garamond" w:cs="Garamond" w:eastAsia="Songti SC"/>
          <w:b w:val="0"/>
          <w:i w:val="0"/>
          <w:color w:val="000000"/>
          <w:sz w:val="23"/>
        </w:rPr>
        <w:t>• 案件是否有案件族ID，是否存在同案跨拆分泄漏；</w:t>
      </w:r>
    </w:p>
    <w:p>
      <w:pPr>
        <w:spacing w:line="348" w:lineRule="auto" w:before="0" w:after="120"/>
        <w:ind w:firstLine="480"/>
        <w:jc w:val="both"/>
      </w:pPr>
      <w:r>
        <w:rPr>
          <w:rFonts w:ascii="Garamond" w:hAnsi="Garamond" w:cs="Garamond" w:eastAsia="Songti SC"/>
          <w:b w:val="0"/>
          <w:i w:val="0"/>
          <w:color w:val="000000"/>
          <w:sz w:val="23"/>
        </w:rPr>
        <w:t>• 每个关键事实是否回链材料、定位和来源版本；</w:t>
      </w:r>
    </w:p>
    <w:p>
      <w:pPr>
        <w:spacing w:line="348" w:lineRule="auto" w:before="0" w:after="120"/>
        <w:ind w:firstLine="480"/>
        <w:jc w:val="both"/>
      </w:pPr>
      <w:r>
        <w:rPr>
          <w:rFonts w:ascii="Garamond" w:hAnsi="Garamond" w:cs="Garamond" w:eastAsia="Songti SC"/>
          <w:b w:val="0"/>
          <w:i w:val="0"/>
          <w:color w:val="000000"/>
          <w:sz w:val="23"/>
        </w:rPr>
        <w:t>• 人、行为、阶段、认识对象和时间是否被分开；</w:t>
      </w:r>
    </w:p>
    <w:p>
      <w:pPr>
        <w:spacing w:line="348" w:lineRule="auto" w:before="0" w:after="120"/>
        <w:ind w:firstLine="480"/>
        <w:jc w:val="both"/>
      </w:pPr>
      <w:r>
        <w:rPr>
          <w:rFonts w:ascii="Garamond" w:hAnsi="Garamond" w:cs="Garamond" w:eastAsia="Songti SC"/>
          <w:b w:val="0"/>
          <w:i w:val="0"/>
          <w:color w:val="000000"/>
          <w:sz w:val="23"/>
        </w:rPr>
        <w:t>• 缺失是否写“未见/待确认”，而非“不存在”；</w:t>
      </w:r>
    </w:p>
    <w:p>
      <w:pPr>
        <w:spacing w:line="348" w:lineRule="auto" w:before="0" w:after="120"/>
        <w:ind w:firstLine="480"/>
        <w:jc w:val="both"/>
      </w:pPr>
      <w:r>
        <w:rPr>
          <w:rFonts w:ascii="Garamond" w:hAnsi="Garamond" w:cs="Garamond" w:eastAsia="Songti SC"/>
          <w:b w:val="0"/>
          <w:i w:val="0"/>
          <w:color w:val="000000"/>
          <w:sz w:val="23"/>
        </w:rPr>
        <w:t>• 三类罪名是否按各自要件和边界记录，是否保留开放项；</w:t>
      </w:r>
    </w:p>
    <w:p>
      <w:pPr>
        <w:spacing w:line="348" w:lineRule="auto" w:before="0" w:after="120"/>
        <w:ind w:firstLine="480"/>
        <w:jc w:val="both"/>
      </w:pPr>
      <w:r>
        <w:rPr>
          <w:rFonts w:ascii="Garamond" w:hAnsi="Garamond" w:cs="Garamond" w:eastAsia="Songti SC"/>
          <w:b w:val="0"/>
          <w:i w:val="0"/>
          <w:color w:val="000000"/>
          <w:sz w:val="23"/>
        </w:rPr>
        <w:t>• 金额是否分口径、去重并检查对入罪、量刑和文书的全部影响；</w:t>
      </w:r>
    </w:p>
    <w:p>
      <w:pPr>
        <w:spacing w:line="348" w:lineRule="auto" w:before="0" w:after="120"/>
        <w:ind w:firstLine="480"/>
        <w:jc w:val="both"/>
      </w:pPr>
      <w:r>
        <w:rPr>
          <w:rFonts w:ascii="Garamond" w:hAnsi="Garamond" w:cs="Garamond" w:eastAsia="Songti SC"/>
          <w:b w:val="0"/>
          <w:i w:val="0"/>
          <w:color w:val="000000"/>
          <w:sz w:val="23"/>
        </w:rPr>
        <w:t>• F、A、P、R、S和CQ是否没有相互替代；</w:t>
      </w:r>
    </w:p>
    <w:p>
      <w:pPr>
        <w:spacing w:line="348" w:lineRule="auto" w:before="0" w:after="120"/>
        <w:ind w:firstLine="480"/>
        <w:jc w:val="both"/>
      </w:pPr>
      <w:r>
        <w:rPr>
          <w:rFonts w:ascii="Garamond" w:hAnsi="Garamond" w:cs="Garamond" w:eastAsia="Songti SC"/>
          <w:b w:val="0"/>
          <w:i w:val="0"/>
          <w:color w:val="000000"/>
          <w:sz w:val="23"/>
        </w:rPr>
        <w:t>• 更新是否保留原文、版本、共同来源和影响范围；</w:t>
      </w:r>
    </w:p>
    <w:p>
      <w:pPr>
        <w:spacing w:line="348" w:lineRule="auto" w:before="0" w:after="120"/>
        <w:ind w:firstLine="480"/>
        <w:jc w:val="both"/>
      </w:pPr>
      <w:r>
        <w:rPr>
          <w:rFonts w:ascii="Garamond" w:hAnsi="Garamond" w:cs="Garamond" w:eastAsia="Songti SC"/>
          <w:b w:val="0"/>
          <w:i w:val="0"/>
          <w:color w:val="000000"/>
          <w:sz w:val="23"/>
        </w:rPr>
        <w:t>• A/B是否独立，初始是否锁定，裁决是否保存合理完整参考包；</w:t>
      </w:r>
    </w:p>
    <w:p>
      <w:pPr>
        <w:spacing w:line="348" w:lineRule="auto" w:before="0" w:after="120"/>
        <w:ind w:firstLine="480"/>
        <w:jc w:val="both"/>
      </w:pPr>
      <w:r>
        <w:rPr>
          <w:rFonts w:ascii="Garamond" w:hAnsi="Garamond" w:cs="Garamond" w:eastAsia="Songti SC"/>
          <w:b w:val="0"/>
          <w:i w:val="0"/>
          <w:color w:val="000000"/>
          <w:sz w:val="23"/>
        </w:rPr>
        <w:t>• 量刑、合规、管辖和文书字段是否仍是辅助信息，没有越权生成定罪结论；</w:t>
      </w:r>
    </w:p>
    <w:p>
      <w:pPr>
        <w:spacing w:line="348" w:lineRule="auto" w:before="0" w:after="120"/>
        <w:ind w:firstLine="480"/>
        <w:jc w:val="both"/>
      </w:pPr>
      <w:r>
        <w:rPr>
          <w:rFonts w:ascii="Garamond" w:hAnsi="Garamond" w:cs="Garamond" w:eastAsia="Songti SC"/>
          <w:b w:val="0"/>
          <w:i w:val="0"/>
          <w:color w:val="000000"/>
          <w:sz w:val="23"/>
        </w:rPr>
        <w:t>• 所有示例是否明确虚构，所有法律版本是否指向当前规范库待核条目。</w:t>
      </w:r>
    </w:p>
    <w:p>
      <w:pPr>
        <w:spacing w:line="348" w:lineRule="auto" w:before="0" w:after="120"/>
        <w:ind w:firstLine="480"/>
        <w:jc w:val="both"/>
      </w:pPr>
      <w:r>
        <w:rPr>
          <w:rFonts w:ascii="Garamond" w:hAnsi="Garamond" w:cs="Garamond" w:eastAsia="Songti SC"/>
          <w:b w:val="0"/>
          <w:i w:val="0"/>
          <w:color w:val="000000"/>
          <w:sz w:val="23"/>
        </w:rPr>
        <w:t>本指南描述标注流程和字段含义，不替代最终规范库、有效法律版本或办案人员的法律判断。法律依据以项目另行核验并冻结的规范库为准；若指南与规范库冲突，应暂停受影响字段，记录冲突并由法律专家裁决。</w:t>
      </w:r>
    </w:p>
    <w:p>
      <w:pPr>
        <w:pStyle w:val="Heading1"/>
        <w:keepNext/>
        <w:spacing w:before="280" w:after="120" w:line="276" w:lineRule="auto"/>
        <w:jc w:val="center"/>
      </w:pPr>
      <w:r>
        <w:rPr>
          <w:rFonts w:ascii="Garamond" w:hAnsi="Garamond" w:cs="Garamond" w:eastAsia="Songti SC"/>
          <w:b/>
          <w:i w:val="0"/>
          <w:color w:val="000000"/>
          <w:sz w:val="28"/>
          <w:u w:val="single"/>
        </w:rPr>
        <w:t>十二 要件代码及法律边界</w:t>
      </w:r>
    </w:p>
    <w:p>
      <w:pPr>
        <w:spacing w:line="348" w:lineRule="auto" w:before="0" w:after="120"/>
        <w:ind w:firstLine="480"/>
        <w:jc w:val="both"/>
      </w:pPr>
      <w:r>
        <w:rPr>
          <w:rFonts w:ascii="Garamond" w:hAnsi="Garamond" w:cs="Garamond" w:eastAsia="Songti SC"/>
          <w:b w:val="0"/>
          <w:i w:val="0"/>
          <w:color w:val="000000"/>
          <w:sz w:val="23"/>
        </w:rPr>
        <w:t>下列代码属于研究操作约定，不是法定四要件的替代。逐项写出完整规则前提、支持与相反片段、缺口、规范ID及推断理由，不按支持项数量投票定罪。</w:t>
      </w:r>
    </w:p>
    <w:p>
      <w:pPr>
        <w:pStyle w:val="Heading2"/>
        <w:keepNext/>
        <w:spacing w:before="160" w:after="120" w:line="276" w:lineRule="auto"/>
        <w:jc w:val="left"/>
      </w:pPr>
      <w:r>
        <w:rPr>
          <w:rFonts w:ascii="Garamond" w:hAnsi="Garamond" w:cs="Garamond" w:eastAsia="Songti SC"/>
          <w:b/>
          <w:i w:val="0"/>
          <w:color w:val="000000"/>
          <w:sz w:val="25"/>
          <w:u w:val="none"/>
        </w:rPr>
        <w:t>帮信罪</w:t>
      </w:r>
    </w:p>
    <w:p>
      <w:pPr>
        <w:spacing w:line="348" w:lineRule="auto" w:before="0" w:after="120"/>
        <w:ind w:firstLine="480"/>
        <w:jc w:val="both"/>
      </w:pPr>
      <w:r>
        <w:rPr>
          <w:rFonts w:ascii="Garamond" w:hAnsi="Garamond" w:cs="Garamond" w:eastAsia="Songti SC"/>
          <w:b w:val="0"/>
          <w:i w:val="0"/>
          <w:color w:val="000000"/>
          <w:sz w:val="23"/>
        </w:rPr>
        <w:t>H01 主体及单位责任；H02 被帮助的信息网络犯罪；H03 具体帮助行为；H04 明知及形成时间；H05 情节严重；H06 排除及竞合。</w:t>
      </w:r>
    </w:p>
    <w:p>
      <w:pPr>
        <w:pStyle w:val="Heading2"/>
        <w:keepNext/>
        <w:spacing w:before="160" w:after="120" w:line="276" w:lineRule="auto"/>
        <w:jc w:val="left"/>
      </w:pPr>
      <w:r>
        <w:rPr>
          <w:rFonts w:ascii="Garamond" w:hAnsi="Garamond" w:cs="Garamond" w:eastAsia="Songti SC"/>
          <w:b/>
          <w:i w:val="0"/>
          <w:color w:val="000000"/>
          <w:sz w:val="25"/>
          <w:u w:val="none"/>
        </w:rPr>
        <w:t>掩隐罪</w:t>
      </w:r>
    </w:p>
    <w:p>
      <w:pPr>
        <w:spacing w:line="348" w:lineRule="auto" w:before="0" w:after="120"/>
        <w:ind w:firstLine="480"/>
        <w:jc w:val="both"/>
      </w:pPr>
      <w:r>
        <w:rPr>
          <w:rFonts w:ascii="Garamond" w:hAnsi="Garamond" w:cs="Garamond" w:eastAsia="Songti SC"/>
          <w:b w:val="0"/>
          <w:i w:val="0"/>
          <w:color w:val="000000"/>
          <w:sz w:val="23"/>
        </w:rPr>
        <w:t>C01 主体及单位责任；C02 犯罪所得及其收益对象；C03 掩饰隐瞒行为；C04 明知及形成时间；C05 情节及共犯竞合。</w:t>
      </w:r>
    </w:p>
    <w:p>
      <w:pPr>
        <w:pStyle w:val="Heading2"/>
        <w:keepNext/>
        <w:spacing w:before="160" w:after="120" w:line="276" w:lineRule="auto"/>
        <w:jc w:val="left"/>
      </w:pPr>
      <w:r>
        <w:rPr>
          <w:rFonts w:ascii="Garamond" w:hAnsi="Garamond" w:cs="Garamond" w:eastAsia="Songti SC"/>
          <w:b/>
          <w:i w:val="0"/>
          <w:color w:val="000000"/>
          <w:sz w:val="25"/>
          <w:u w:val="none"/>
        </w:rPr>
        <w:t>诈骗罪</w:t>
      </w:r>
    </w:p>
    <w:p>
      <w:pPr>
        <w:spacing w:line="348" w:lineRule="auto" w:before="0" w:after="120"/>
        <w:ind w:firstLine="480"/>
        <w:jc w:val="both"/>
      </w:pPr>
      <w:r>
        <w:rPr>
          <w:rFonts w:ascii="Garamond" w:hAnsi="Garamond" w:cs="Garamond" w:eastAsia="Songti SC"/>
          <w:b w:val="0"/>
          <w:i w:val="0"/>
          <w:color w:val="000000"/>
          <w:sz w:val="23"/>
        </w:rPr>
        <w:t>F01 行为人及责任范围；F02 欺骗与财产处分链；F03 非法占有目的及故意；F04 共同故意与分工；F05 数额及其他情节；F06 排除形态及竞合。</w:t>
      </w:r>
    </w:p>
    <w:p>
      <w:pPr>
        <w:spacing w:line="348" w:lineRule="auto" w:before="0" w:after="120"/>
        <w:ind w:firstLine="480"/>
        <w:jc w:val="both"/>
      </w:pPr>
      <w:r>
        <w:rPr>
          <w:rFonts w:ascii="Garamond" w:hAnsi="Garamond" w:cs="Garamond" w:eastAsia="Songti SC"/>
          <w:b w:val="0"/>
          <w:i w:val="0"/>
          <w:color w:val="000000"/>
          <w:sz w:val="23"/>
        </w:rPr>
        <w:t>帮信主要依据N01第287条之二、N02第11至16条、N03第4至10条。明知线索保留相反证据例外；20万元、对象数、两卡和流入等条件必须按所选条项完整核对。五倍路径要求规范规定的客观条件限制，不能用未找到材料代替。</w:t>
      </w:r>
    </w:p>
    <w:p>
      <w:pPr>
        <w:spacing w:line="348" w:lineRule="auto" w:before="0" w:after="120"/>
        <w:ind w:firstLine="480"/>
        <w:jc w:val="both"/>
      </w:pPr>
      <w:r>
        <w:rPr>
          <w:rFonts w:ascii="Garamond" w:hAnsi="Garamond" w:cs="Garamond" w:eastAsia="Songti SC"/>
          <w:b w:val="0"/>
          <w:i w:val="0"/>
          <w:color w:val="000000"/>
          <w:sz w:val="23"/>
        </w:rPr>
        <w:t>掩隐主要依据N01第312条、N04。第5条应依上游类型同时审查数额、附加情节或损失分支；不要简化为单一金额门槛。第6条记录行为时数额和累计条件；第7条事前通谋、第9条竞合、第10条上游犯罪事实、第11条单位责任分别审查。2025年8月26日新解释施行后与旧解释的适用关系须按案件时点核定，不能无条件回填旧行为。</w:t>
      </w:r>
    </w:p>
    <w:p>
      <w:pPr>
        <w:spacing w:line="348" w:lineRule="auto" w:before="0" w:after="120"/>
        <w:ind w:firstLine="480"/>
        <w:jc w:val="both"/>
      </w:pPr>
      <w:r>
        <w:rPr>
          <w:rFonts w:ascii="Garamond" w:hAnsi="Garamond" w:cs="Garamond" w:eastAsia="Songti SC"/>
          <w:b w:val="0"/>
          <w:i w:val="0"/>
          <w:color w:val="000000"/>
          <w:sz w:val="23"/>
        </w:rPr>
        <w:t>诈骗基础依据N01第25至31及266条、N08；电信网络诈骗另查N09、N10，不能仅按普通诈骗地方区间替代专项标准。跨境适用N05第7、8条时，参加境外集团或团伙、实施诈骗、个人与集团数额均难查、赴窝点时间或次数、正当活动例外、实际加入时点和合理路途扣除须完整记录，不能只按境外停留30日定罪。</w:t>
      </w:r>
    </w:p>
    <w:p>
      <w:pPr>
        <w:spacing w:line="348" w:lineRule="auto" w:before="0" w:after="120"/>
        <w:ind w:firstLine="480"/>
        <w:jc w:val="both"/>
      </w:pPr>
      <w:r>
        <w:rPr>
          <w:rFonts w:ascii="Garamond" w:hAnsi="Garamond" w:cs="Garamond" w:eastAsia="Songti SC"/>
          <w:b w:val="0"/>
          <w:i w:val="0"/>
          <w:color w:val="000000"/>
          <w:sz w:val="23"/>
        </w:rPr>
        <w:t>公诉证明责任及证明标准见N07第51、55、200条。PENDING是研究标签，不能由上述条文直接推导为法定证据状态。</w:t>
      </w:r>
    </w:p>
    <w:p>
      <w:pPr>
        <w:spacing w:line="348" w:lineRule="auto" w:before="0" w:after="120"/>
        <w:ind w:firstLine="480"/>
        <w:jc w:val="both"/>
      </w:pPr>
      <w:r>
        <w:rPr>
          <w:rFonts w:ascii="Garamond" w:hAnsi="Garamond" w:cs="Garamond" w:eastAsia="Songti SC"/>
          <w:b w:val="0"/>
          <w:i w:val="0"/>
          <w:color w:val="000000"/>
          <w:sz w:val="23"/>
        </w:rPr>
        <w:t>中国刑法空间效力、国内办案管辖和外国法适用在扩展审查分开；N01第8条须核查外国人、境外行为、侵害对象、最低刑及犯罪地法律例外等前提。外国法规范条目须补法域、官方原文条款、施行时间、翻译来源及适用理由；本批未覆盖外国实体法，不凭风险分数填结论。</w:t>
      </w:r>
    </w:p>
    <w:p>
      <w:pPr>
        <w:spacing w:line="348" w:lineRule="auto" w:before="0" w:after="120"/>
        <w:ind w:firstLine="480"/>
        <w:jc w:val="both"/>
      </w:pPr>
      <w:r>
        <w:rPr>
          <w:rFonts w:ascii="Garamond" w:hAnsi="Garamond" w:cs="Garamond" w:eastAsia="Songti SC"/>
          <w:b w:val="0"/>
          <w:i w:val="0"/>
          <w:color w:val="000000"/>
          <w:sz w:val="23"/>
        </w:rPr>
        <w:t>量刑事实分别记录自首、坦白、立功、认罪认罚、退赔、前科及行政处罚、年龄学籍和胁迫。模块将坦白限定为供述未掌握同种罪行过窄，须按刑法第67条核验。相对不起诉不等于第65条累犯前罪；在校学生不等于未成年人。模块的固定量刑比例、合规反向清除追加15%至30%、并罚70%至80%及正负10%刑期区间未获本批法源支持为普遍规则，不进金标。第63条减轻处罚条件须另审查，不能统一禁止低于法定刑下限。</w:t>
      </w:r>
    </w:p>
    <w:p>
      <w:pPr>
        <w:spacing w:line="348" w:lineRule="auto" w:before="0" w:after="120"/>
        <w:ind w:firstLine="480"/>
        <w:jc w:val="both"/>
      </w:pPr>
      <w:r>
        <w:rPr>
          <w:rFonts w:ascii="Garamond" w:hAnsi="Garamond" w:cs="Garamond" w:eastAsia="Songti SC"/>
          <w:b w:val="0"/>
          <w:i w:val="0"/>
          <w:color w:val="000000"/>
          <w:sz w:val="23"/>
        </w:rPr>
        <w:t>合规缺资料不得默认无反向线索。公司收到告警不等于具体员工阅读。普通诈骗无一般单位犯罪条款；单位背景不代替自然人归责。产品保存30年、风险分数、审批时限和数据跨境配置不是科研通用法律规则，本批只登记研究权限与范围。</w:t>
      </w:r>
    </w:p>
    <w:p>
      <w:pPr>
        <w:pStyle w:val="Heading1"/>
        <w:keepNext/>
        <w:spacing w:before="280" w:after="120" w:line="276" w:lineRule="auto"/>
        <w:jc w:val="center"/>
      </w:pPr>
      <w:r>
        <w:rPr>
          <w:rFonts w:ascii="Garamond" w:hAnsi="Garamond" w:cs="Garamond" w:eastAsia="Songti SC"/>
          <w:b/>
          <w:i w:val="0"/>
          <w:color w:val="000000"/>
          <w:sz w:val="28"/>
          <w:u w:val="single"/>
        </w:rPr>
        <w:t>十三 完整动态练习及导出约定</w:t>
      </w:r>
    </w:p>
    <w:p>
      <w:pPr>
        <w:spacing w:line="348" w:lineRule="auto" w:before="0" w:after="120"/>
        <w:ind w:firstLine="480"/>
        <w:jc w:val="both"/>
      </w:pPr>
      <w:r>
        <w:rPr>
          <w:rFonts w:ascii="Garamond" w:hAnsi="Garamond" w:cs="Garamond" w:eastAsia="Songti SC"/>
          <w:b w:val="0"/>
          <w:i w:val="0"/>
          <w:color w:val="000000"/>
          <w:sz w:val="23"/>
        </w:rPr>
        <w:t>以下为虚构练习，不纳入正式统计。E0中，S1_v1的X1记载甲5日接收明确指向客户诈骗活动的告知，6日仍提供接口；S2_v1的X2只是X1摘要。论证A1据此支持目标Q1，即甲6日提供帮助时认识客户利用信息网络实施犯罪。另有S4_v1的X4记载甲4日参加讨论诈骗用途的会议，构成独立候选论证A2，仍须自行审查其来源资格。</w:t>
      </w:r>
    </w:p>
    <w:p>
      <w:pPr>
        <w:spacing w:line="348" w:lineRule="auto" w:before="0" w:after="120"/>
        <w:ind w:firstLine="480"/>
        <w:jc w:val="both"/>
      </w:pPr>
      <w:r>
        <w:rPr>
          <w:rFonts w:ascii="Garamond" w:hAnsi="Garamond" w:cs="Garamond" w:eastAsia="Songti SC"/>
          <w:b w:val="0"/>
          <w:i w:val="0"/>
          <w:color w:val="000000"/>
          <w:sz w:val="23"/>
        </w:rPr>
        <w:t>在材料和片段表登记原文，实体与事件分开甲、客户、告知和服务。要件审查建立H04目标Q1；论证表分别建立A1和A2，不把摘要算第二个独立佐证。锁定两名专家E0后才揭示U1。</w:t>
      </w:r>
    </w:p>
    <w:p>
      <w:pPr>
        <w:spacing w:line="348" w:lineRule="auto" w:before="0" w:after="120"/>
        <w:ind w:firstLine="480"/>
        <w:jc w:val="both"/>
      </w:pPr>
      <w:r>
        <w:rPr>
          <w:rFonts w:ascii="Garamond" w:hAnsi="Garamond" w:cs="Garamond" w:eastAsia="Songti SC"/>
          <w:b w:val="0"/>
          <w:i w:val="0"/>
          <w:color w:val="000000"/>
          <w:sz w:val="23"/>
        </w:rPr>
        <w:t>U1的S3_v1中X3明确更正原报告接收者为乙，其他字段未更正。A1核心主体绑定失效，标STOP；A2在X4使用资格不变且不受更正影响时KEEP。Q1的S另评，不由A1停止自动反转。S1_v1保留历史。</w:t>
      </w:r>
    </w:p>
    <w:p>
      <w:pPr>
        <w:spacing w:line="348" w:lineRule="auto" w:before="0" w:after="120"/>
        <w:ind w:firstLine="480"/>
        <w:jc w:val="both"/>
      </w:pPr>
      <w:r>
        <w:rPr>
          <w:rFonts w:ascii="Garamond" w:hAnsi="Garamond" w:cs="Garamond" w:eastAsia="Songti SC"/>
          <w:b w:val="0"/>
          <w:i w:val="0"/>
          <w:color w:val="000000"/>
          <w:sz w:val="23"/>
        </w:rPr>
        <w:t>关系表分别记录X3—撤回更正—A1，靶点CQ01；S2_v1—派生依赖—S1_v1，说明所依赖字段；X4—保持见证—A2。每条边有任务、阶段及理由。同一材料不同作用分行。若新核心路径支持Q1，新建论证ID，不覆盖旧A1的STOP。</w:t>
      </w:r>
    </w:p>
    <w:p>
      <w:pPr>
        <w:spacing w:line="348" w:lineRule="auto" w:before="0" w:after="120"/>
        <w:ind w:firstLine="480"/>
        <w:jc w:val="both"/>
      </w:pPr>
      <w:r>
        <w:rPr>
          <w:rFonts w:ascii="Garamond" w:hAnsi="Garamond" w:cs="Garamond" w:eastAsia="Songti SC"/>
          <w:b w:val="0"/>
          <w:i w:val="0"/>
          <w:color w:val="000000"/>
          <w:sz w:val="23"/>
        </w:rPr>
        <w:t>影响范围中必须复核对应A_min，容许复核对应A_max中额外可合理检查的部分；不受影响旧论证可记录KEEP。更多检查本身不扣分，无依据改变才是错误。新增替代论证不能扩大冻结旧论证的R分母。G按论证、来源、靶点和作用分别评价。评分、合理完整参考包选择和样本量按先导结果预注册，当前模板不提供未实现的自动评分。</w:t>
      </w:r>
    </w:p>
    <w:p>
      <w:pPr>
        <w:spacing w:line="348" w:lineRule="auto" w:before="0" w:after="120"/>
        <w:ind w:firstLine="480"/>
        <w:jc w:val="both"/>
      </w:pPr>
      <w:r>
        <w:rPr>
          <w:rFonts w:ascii="Garamond" w:hAnsi="Garamond" w:cs="Garamond" w:eastAsia="Songti SC"/>
          <w:b w:val="0"/>
          <w:i w:val="0"/>
          <w:color w:val="000000"/>
          <w:sz w:val="23"/>
        </w:rPr>
        <w:t>记录ID在合并后唯一，可加A/B后缀；目标ID及旧论证ID由协调员冻结对齐。裁决第三方案先建立第三任务及对应新记录，完整参考包清单同时保留要件、论证及R/G关系，不跨包挑字段。</w:t>
      </w:r>
    </w:p>
    <w:p>
      <w:pPr>
        <w:spacing w:line="348" w:lineRule="auto" w:before="0" w:after="120"/>
        <w:ind w:firstLine="480"/>
        <w:jc w:val="both"/>
      </w:pPr>
      <w:r>
        <w:rPr>
          <w:rFonts w:ascii="Garamond" w:hAnsi="Garamond" w:cs="Garamond" w:eastAsia="Songti SC"/>
          <w:b w:val="0"/>
          <w:i w:val="0"/>
          <w:color w:val="000000"/>
          <w:sz w:val="23"/>
        </w:rPr>
        <w:t>导出按字段字典读取，ID列表拆为数组，过滤首列空白行；记录检查列不作为研究标签。最终需核查全部外键、跨案关联、可见性、同源依赖及案件族拆分。Excel有基础行级检查，没有权限控制或完整图谱验证；只隐藏列不能实现盲法。</w:t>
      </w:r>
    </w:p>
    <w:p>
      <w:pPr>
        <w:pStyle w:val="Heading1"/>
        <w:keepNext/>
        <w:spacing w:before="280" w:after="120" w:line="276" w:lineRule="auto"/>
        <w:jc w:val="center"/>
      </w:pPr>
      <w:r>
        <w:rPr>
          <w:rFonts w:ascii="Garamond" w:hAnsi="Garamond" w:cs="Garamond" w:eastAsia="Songti SC"/>
          <w:b/>
          <w:i w:val="0"/>
          <w:color w:val="000000"/>
          <w:sz w:val="28"/>
          <w:u w:val="single"/>
        </w:rPr>
        <w:t>十四 规范库及来源核验</w:t>
      </w:r>
    </w:p>
    <w:p>
      <w:pPr>
        <w:spacing w:line="348" w:lineRule="auto" w:before="0" w:after="120"/>
        <w:ind w:firstLine="480"/>
        <w:jc w:val="both"/>
      </w:pPr>
      <w:r>
        <w:rPr>
          <w:rFonts w:ascii="Garamond" w:hAnsi="Garamond" w:cs="Garamond" w:eastAsia="Songti SC"/>
          <w:b w:val="0"/>
          <w:i w:val="0"/>
          <w:color w:val="000000"/>
          <w:sz w:val="23"/>
        </w:rPr>
        <w:t>核验日期为2026年9月12日。规范ID与工作簿一致；核验是对所列官方文本及条项的检查，不保证每一地区规则、外国法或所有未来修法均已覆盖。行为时、审理时和专项适用由专家明确，不把网页发布日期自动当作案件适用起点。</w:t>
      </w:r>
    </w:p>
    <w:p>
      <w:pPr>
        <w:spacing w:line="348" w:lineRule="auto" w:before="0" w:after="120"/>
        <w:ind w:firstLine="480"/>
        <w:jc w:val="both"/>
      </w:pPr>
      <w:r>
        <w:rPr>
          <w:rFonts w:ascii="Garamond" w:hAnsi="Garamond" w:cs="Garamond" w:eastAsia="Songti SC"/>
          <w:b/>
          <w:i w:val="0"/>
          <w:color w:val="000000"/>
          <w:sz w:val="23"/>
        </w:rPr>
        <w:t>N01 中华人民共和国刑法（2023年修正整合文本）</w:t>
      </w:r>
    </w:p>
    <w:p>
      <w:pPr>
        <w:spacing w:line="348" w:lineRule="auto" w:before="0" w:after="120"/>
        <w:ind w:firstLine="480"/>
        <w:jc w:val="both"/>
      </w:pPr>
      <w:r>
        <w:rPr>
          <w:rFonts w:ascii="Garamond" w:hAnsi="Garamond" w:cs="Garamond" w:eastAsia="Songti SC"/>
          <w:b w:val="0"/>
          <w:i w:val="0"/>
          <w:color w:val="000000"/>
          <w:sz w:val="23"/>
        </w:rPr>
        <w:t xml:space="preserve">2023-12-29（页面标注成文日期；刑法十二修正）。施行与适用：2024-03-01起适用刑法修正案（十二）；具体行为仍须按行为时法核对。相关条项：6、7、8、9、10、25、26、27、28、29、30、31、63、65、69、266、287-2、312。记录属地、属人、保护性和条约管辖连接点；共同犯罪故意/作用；减轻处罚、累犯、数罪并罚边界；诈骗、帮信、掩隐构成要件及单位责任。 </w:t>
      </w:r>
      <w:hyperlink r:id="rId6">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N02 关于办理非法利用信息网络、帮助信息网络犯罪活动等刑事案件适用法律若干问题的解释（法释〔2019〕15号）</w:t>
      </w:r>
    </w:p>
    <w:p>
      <w:pPr>
        <w:spacing w:line="348" w:lineRule="auto" w:before="0" w:after="120"/>
        <w:ind w:firstLine="480"/>
        <w:jc w:val="both"/>
      </w:pPr>
      <w:r>
        <w:rPr>
          <w:rFonts w:ascii="Garamond" w:hAnsi="Garamond" w:cs="Garamond" w:eastAsia="Songti SC"/>
          <w:b w:val="0"/>
          <w:i w:val="0"/>
          <w:color w:val="000000"/>
          <w:sz w:val="23"/>
        </w:rPr>
        <w:t xml:space="preserve">2019-10-21。施行与适用：2019-11-01。相关条项：11、12、13、14、15、16、17、18、19。第11条线索性明知推定须保留‘有相反证据的除外’；第12条情节严重标准须记录全部前提、数额口径和五倍路径的客观条件限制；第13条上游未到案等不当然阻却帮信罪；第14条单位责任；第15条情节轻微处理。 </w:t>
      </w:r>
      <w:hyperlink r:id="rId9">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N03 关于办理帮助信息网络犯罪活动等刑事案件有关问题的意见（法发〔2025〕12号）</w:t>
      </w:r>
    </w:p>
    <w:p>
      <w:pPr>
        <w:spacing w:line="348" w:lineRule="auto" w:before="0" w:after="120"/>
        <w:ind w:firstLine="480"/>
        <w:jc w:val="both"/>
      </w:pPr>
      <w:r>
        <w:rPr>
          <w:rFonts w:ascii="Garamond" w:hAnsi="Garamond" w:cs="Garamond" w:eastAsia="Songti SC"/>
          <w:b w:val="0"/>
          <w:i w:val="0"/>
          <w:color w:val="000000"/>
          <w:sz w:val="23"/>
        </w:rPr>
        <w:t xml:space="preserve">2025-07-22签发；2025-07-28公开。施行与适用：按文件及相关法源适用；行为时法与版本需个案核对。相关条项：1、2、3、4、5、6、7、8、9、10、11、12、13、14、15、16。综合把握帮信罪主客观方面；区分帮信罪、掩隐罪和关联犯罪共犯；记录两卡事实和上游查证状态；把未成年人、在校学生、末端人员作为需综合评价的政策事实；记录跨境、组织、职业、深度合成等事实而不自动转成比例加重。 </w:t>
      </w:r>
      <w:hyperlink r:id="rId10">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N04 关于办理掩饰、隐瞒犯罪所得、犯罪所得收益刑事案件适用法律若干问题的解释（法释〔2025〕13号）</w:t>
      </w:r>
    </w:p>
    <w:p>
      <w:pPr>
        <w:spacing w:line="348" w:lineRule="auto" w:before="0" w:after="120"/>
        <w:ind w:firstLine="480"/>
        <w:jc w:val="both"/>
      </w:pPr>
      <w:r>
        <w:rPr>
          <w:rFonts w:ascii="Garamond" w:hAnsi="Garamond" w:cs="Garamond" w:eastAsia="Songti SC"/>
          <w:b w:val="0"/>
          <w:i w:val="0"/>
          <w:color w:val="000000"/>
          <w:sz w:val="23"/>
        </w:rPr>
        <w:t xml:space="preserve">2025-08-24公布。施行与适用：2025-08-26；2015年解释及2021年修改决定同时废止。相关条项：1、2、3、4、5、6、7、8、9、10、11、12。第1—3条记录所得/收益对象、掩饰隐瞒方法、明知或应知及综合评价；第5条按上游犯罪类型分别记录数额与附加情形的合取/或关系；第6条按实施行为时数额并记录未经行政处罚的累计；第7—10条记录通谋共犯、竞合及上游犯罪事实存在；第11—12条记录单位责任和版本效力。 </w:t>
      </w:r>
      <w:hyperlink r:id="rId11">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N05 关于办理跨境电信网络诈骗等刑事案件适用法律若干问题的意见</w:t>
      </w:r>
    </w:p>
    <w:p>
      <w:pPr>
        <w:spacing w:line="348" w:lineRule="auto" w:before="0" w:after="120"/>
        <w:ind w:firstLine="480"/>
        <w:jc w:val="both"/>
      </w:pPr>
      <w:r>
        <w:rPr>
          <w:rFonts w:ascii="Garamond" w:hAnsi="Garamond" w:cs="Garamond" w:eastAsia="Songti SC"/>
          <w:b w:val="0"/>
          <w:i w:val="0"/>
          <w:color w:val="000000"/>
          <w:sz w:val="23"/>
        </w:rPr>
        <w:t xml:space="preserve">2024-06-26签发；2024-07-26发布。施行与适用：文件未单列施行条款；结合相关法源及案件时间核定适用。相关条项：1、2、3、4、5、6、7、8、9、10、11、12、13、14、15、16。第7条仅在参加境外诈骗集团/团伙并实施诈骗、个人与集团数额均难查，且一年内出境赴窝点累计30日以上或多次出境时，记录诈骗罪‘其他严重情节’；第8条记录窝点定义、实际加入起算、非法出境替代起算、合理路途扣除及正当辩解；第12条核对胁迫事实，第13条核对主动/劝返投案及如实供述，第15条核对追赃、财产来源性质和处理证据。 </w:t>
      </w:r>
      <w:hyperlink r:id="rId12">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N06 中华人民共和国刑法修正案（九）</w:t>
      </w:r>
    </w:p>
    <w:p>
      <w:pPr>
        <w:spacing w:line="348" w:lineRule="auto" w:before="0" w:after="120"/>
        <w:ind w:firstLine="480"/>
        <w:jc w:val="both"/>
      </w:pPr>
      <w:r>
        <w:rPr>
          <w:rFonts w:ascii="Garamond" w:hAnsi="Garamond" w:cs="Garamond" w:eastAsia="Songti SC"/>
          <w:b w:val="0"/>
          <w:i w:val="0"/>
          <w:color w:val="000000"/>
          <w:sz w:val="23"/>
        </w:rPr>
        <w:t xml:space="preserve">2015-08-29。施行与适用：2015-11-01。相关条项：第二百八十七条之一、第二百八十七条之二。核对帮信罪条文的帮助类型、情节严重、单位责任和与其他犯罪同时构成时依处罚较重规定。 </w:t>
      </w:r>
      <w:hyperlink r:id="rId13">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N07 中华人民共和国刑事诉讼法（2018年修正）</w:t>
      </w:r>
    </w:p>
    <w:p>
      <w:pPr>
        <w:spacing w:line="348" w:lineRule="auto" w:before="0" w:after="120"/>
        <w:ind w:firstLine="480"/>
        <w:jc w:val="both"/>
      </w:pPr>
      <w:r>
        <w:rPr>
          <w:rFonts w:ascii="Garamond" w:hAnsi="Garamond" w:cs="Garamond" w:eastAsia="Songti SC"/>
          <w:b w:val="0"/>
          <w:i w:val="0"/>
          <w:color w:val="000000"/>
          <w:sz w:val="23"/>
        </w:rPr>
        <w:t xml:space="preserve">2018-10-26（第三次修正）。施行与适用：2018-10-26起施行。相关条项：51、55、200。第51条：公诉案件中被告人有罪的举证责任由人民检察院承担，自诉案件由自诉人承担；第55条：重证据、证据确实充分和排除合理怀疑；第200条：事实清楚证据充分作有罪判决，证据不足不能认定有罪作无罪判决。 </w:t>
      </w:r>
      <w:hyperlink r:id="rId14">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N08 关于办理诈骗刑事案件具体应用法律若干问题的解释（法释〔2011〕7号）</w:t>
      </w:r>
    </w:p>
    <w:p>
      <w:pPr>
        <w:spacing w:line="348" w:lineRule="auto" w:before="0" w:after="120"/>
        <w:ind w:firstLine="480"/>
        <w:jc w:val="both"/>
      </w:pPr>
      <w:r>
        <w:rPr>
          <w:rFonts w:ascii="Garamond" w:hAnsi="Garamond" w:cs="Garamond" w:eastAsia="Songti SC"/>
          <w:b w:val="0"/>
          <w:i w:val="0"/>
          <w:color w:val="000000"/>
          <w:sz w:val="23"/>
        </w:rPr>
        <w:t xml:space="preserve">2011-03-01公告；2011-04-08网页发布。施行与适用：2011-04-08。相关条项：1、2、6、7、8、9、10、11。第1条规定三档全国幅度（3000—10000、30000—100000、500000以上），并允许省级高法、高检在幅度内确定本地区具体标准；第7条规定明知他人实施诈骗并提供卡、通信、网络技术支持、费用结算等帮助的，以共同犯罪论处；第6条区分既遂未遂。 </w:t>
      </w:r>
      <w:hyperlink r:id="rId15">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N09 关于办理电信网络诈骗等刑事案件适用法律若干问题的意见（法发〔2016〕32号）</w:t>
      </w:r>
    </w:p>
    <w:p>
      <w:pPr>
        <w:spacing w:line="348" w:lineRule="auto" w:before="0" w:after="120"/>
        <w:ind w:firstLine="480"/>
        <w:jc w:val="both"/>
      </w:pPr>
      <w:r>
        <w:rPr>
          <w:rFonts w:ascii="Garamond" w:hAnsi="Garamond" w:cs="Garamond" w:eastAsia="Songti SC"/>
          <w:b w:val="0"/>
          <w:i w:val="0"/>
          <w:color w:val="000000"/>
          <w:sz w:val="23"/>
        </w:rPr>
        <w:t xml:space="preserve">2016-12-19签发；2016-12-20网页发布。施行与适用：文件未单列施行条款；结合后续意见及案件时间核定适用。相关条项：二（一）—（八）、三（一）—（五）、四、五（一）—（八）、六（一）—（三）、七（一）—（三）。二（一）电信网络诈骗专项数额标准为3000元、3万元、50万元；二（三）接近标准结合附加情节；二（四）数额难查的特定数量及未遂规则。四记录共同犯罪及参与期间；五国内办案管辖；六境内外证据；七涉案财物。 </w:t>
      </w:r>
      <w:hyperlink r:id="rId16">
        <w:r>
          <w:rPr>
            <w:rStyle w:val="Hyperlink"/>
            <w:color w:val="0563C1"/>
            <w:u w:val="single"/>
            <w:rFonts w:ascii="Garamond" w:hAnsi="Garamond" w:eastAsia="Songti SC"/>
          </w:rPr>
          <w:t>官方文本</w:t>
        </w:r>
      </w:hyperlink>
    </w:p>
    <w:p>
      <w:pPr>
        <w:spacing w:line="348" w:lineRule="auto" w:before="0" w:after="120"/>
        <w:ind w:firstLine="480"/>
        <w:jc w:val="both"/>
      </w:pPr>
      <w:r>
        <w:rPr>
          <w:rFonts w:ascii="Garamond" w:hAnsi="Garamond" w:cs="Garamond" w:eastAsia="Songti SC"/>
          <w:b/>
          <w:i w:val="0"/>
          <w:color w:val="000000"/>
          <w:sz w:val="23"/>
        </w:rPr>
        <w:t>N10 关于办理电信网络诈骗等刑事案件适用法律若干问题的意见（二）（法发〔2021〕22号）</w:t>
      </w:r>
    </w:p>
    <w:p>
      <w:pPr>
        <w:spacing w:line="348" w:lineRule="auto" w:before="0" w:after="120"/>
        <w:ind w:firstLine="480"/>
        <w:jc w:val="both"/>
      </w:pPr>
      <w:r>
        <w:rPr>
          <w:rFonts w:ascii="Garamond" w:hAnsi="Garamond" w:cs="Garamond" w:eastAsia="Songti SC"/>
          <w:b w:val="0"/>
          <w:i w:val="0"/>
          <w:color w:val="000000"/>
          <w:sz w:val="23"/>
        </w:rPr>
        <w:t xml:space="preserve">2021-06-17签发；2021-06-22网页发布。施行与适用：文件未单列施行条款；结合2024和2025后续规则及案件时间核定适用。相关条项：1、2、3、4、5、6、7、8、9、10、11、12、13、14、15、16、17。第1条记录电诈犯罪地扩展连接点；第3条记录境外集团/团伙、针对境内居民、金额难查、30日/多次出境及正当活动除外；第7—11条记录两卡帮助、明知、情节严重和掩隐行为；第12条记录上游可确认但行为人未到案时的先行追究；第17条记录追赃返还。 </w:t>
      </w:r>
      <w:hyperlink r:id="rId17">
        <w:r>
          <w:rPr>
            <w:rStyle w:val="Hyperlink"/>
            <w:color w:val="0563C1"/>
            <w:u w:val="single"/>
            <w:rFonts w:ascii="Garamond" w:hAnsi="Garamond" w:eastAsia="Songti SC"/>
          </w:rPr>
          <w:t>官方文本</w:t>
        </w:r>
      </w:hyperlink>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Garamon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aramond" w:cs="Garamond" w:eastAsia="Garamond" w:hAnsi="Garamond"/>
        <w:i w:val="0"/>
        <w:iCs w:val="0"/>
        <w:smallCaps w:val="0"/>
        <w:strike w:val="0"/>
        <w:color w:val="000000"/>
        <w:u w:val="none"/>
        <w:shd w:fill="auto" w:val="clear"/>
        <w:vertAlign w:val="baseline"/>
      </w:rPr>
    </w:pPr>
    <w:r>
      <w:rPr>
        <w:rFonts w:ascii="Garamond" w:cs="Garamond" w:eastAsia="Garamond" w:hAnsi="Garamond"/>
        <w:i w:val="0"/>
        <w:iCs w:val="0"/>
        <w:smallCaps w:val="0"/>
        <w:strike w:val="0"/>
        <w:color w:val="000000"/>
        <w:u w:val="none"/>
        <w:shd w:fill="auto" w:val="clear"/>
        <w:vertAlign w:val="baseline"/>
      </w:rPr>
      <w:fldChar w:fldCharType="begin"/>
      <w:instrText xml:space="preserve">PAGE</w:instrText>
      <w:fldChar w:fldCharType="separate"/>
      <w:fldChar w:fldCharType="end"/>
    </w:r>
    <w:r>
      <w:rPr>
        <w:rtl w:val="0"/>
      </w:rPr>
    </w:r>
  </w:p>
  <w:p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i w:val="0"/>
        <w:iCs w:val="0"/>
        <w:smallCaps w:val="0"/>
        <w:strike w:val="0"/>
        <w:color w:val="000000"/>
        <w:u w:val="none"/>
        <w:shd w:fill="auto" w:val="clear"/>
        <w:vertAlign w:val="baseline"/>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20">
    <w:pPr>
      <w:jc w:val="center"/>
      <w:rPr>
        <w:rFonts w:ascii="Arial" w:cs="Arial" w:eastAsia="Arial" w:hAnsi="Arial"/>
        <w:color w:val="b7b7b7"/>
        <w:sz w:val="18"/>
        <w:szCs w:val="18"/>
      </w:rPr>
    </w:pPr>
    <w:r>
      <w:rPr>
        <w:rFonts w:ascii="Arial" w:cs="Arial" w:eastAsia="Arial" w:hAnsi="Arial"/>
        <w:color w:val="b7b7b7"/>
        <w:sz w:val="18"/>
        <w:szCs w:val="18"/>
        <w:rtl w:val="0"/>
      </w:rPr>
    </w:r>
    <w:r>
      <w:rPr>
        <w:rFonts w:ascii="Garamond" w:hAnsi="Garamond" w:cs="Garamond" w:eastAsia="Songti SC"/>
        <w:b w:val="0"/>
        <w:i w:val="0"/>
        <w:color w:val="B7B7B7"/>
        <w:sz w:val="18"/>
      </w:rPr>
      <w:t>研究材料 仅限授权标注团队使用</w:t>
    </w:r>
  </w:p>
  <w:p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6" Type="http://schemas.openxmlformats.org/officeDocument/2006/relationships/hyperlink" Target="https://fgk.chinatax.gov.cn/zcfgk/c100009/c5212248/content.html" TargetMode="External"/><Relationship Id="rId9" Type="http://schemas.openxmlformats.org/officeDocument/2006/relationships/hyperlink" Target="https://www.cac.gov.cn/2019-10/25/c_1573534999086260.htm" TargetMode="External"/><Relationship Id="rId10" Type="http://schemas.openxmlformats.org/officeDocument/2006/relationships/hyperlink" Target="https://www.court.gov.cn/zixun/xiangqing/472121.html" TargetMode="External"/><Relationship Id="rId11" Type="http://schemas.openxmlformats.org/officeDocument/2006/relationships/hyperlink" Target="https://www.court.gov.cn/zixun/xiangqing/474141.html" TargetMode="External"/><Relationship Id="rId12" Type="http://schemas.openxmlformats.org/officeDocument/2006/relationships/hyperlink" Target="https://www.court.gov.cn/zixun/xiangqing/439341.html" TargetMode="External"/><Relationship Id="rId13" Type="http://schemas.openxmlformats.org/officeDocument/2006/relationships/hyperlink" Target="https://www.npc.gov.cn/npc/c2/c12435/c12488/201905/t20190521_222115.html" TargetMode="External"/><Relationship Id="rId14" Type="http://schemas.openxmlformats.org/officeDocument/2006/relationships/hyperlink" Target="https://www.samr.gov.cn/zw/zfxxgk/fdzdgknr/bgt/art/2025/art_48b3b0c3f954448e996602a71fc6f878.html" TargetMode="External"/><Relationship Id="rId15" Type="http://schemas.openxmlformats.org/officeDocument/2006/relationships/hyperlink" Target="https://www.court.gov.cn/zixun/xiangqing/2472.html" TargetMode="External"/><Relationship Id="rId16" Type="http://schemas.openxmlformats.org/officeDocument/2006/relationships/hyperlink" Target="https://www.court.gov.cn/fabu/xiangqing/33361.html" TargetMode="External"/><Relationship Id="rId17" Type="http://schemas.openxmlformats.org/officeDocument/2006/relationships/hyperlink" Target="https://www.court.gov.cn/zixun/xiangqing/31016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aramond-regular.ttf"/><Relationship Id="rId4" Type="http://schemas.openxmlformats.org/officeDocument/2006/relationships/font" Target="fonts/Garamond-bold.ttf"/><Relationship Id="rId5" Type="http://schemas.openxmlformats.org/officeDocument/2006/relationships/font" Target="fonts/Garamond-italic.ttf"/><Relationship Id="rId6"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