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C2138"/>
          <w:sz w:val="56"/>
        </w:rPr>
        <w:t>网域衡鉴</w:t>
      </w:r>
    </w:p>
    <w:p>
      <w:pPr>
        <w:jc w:val="center"/>
      </w:pPr>
      <w:r>
        <w:rPr>
          <w:rFonts w:ascii="Aptos" w:hAnsi="Aptos" w:eastAsia="Aptos"/>
          <w:b/>
          <w:color w:val="1EA7E1"/>
          <w:sz w:val="44"/>
        </w:rPr>
        <w:t>LexCyber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17212B"/>
          <w:sz w:val="46"/>
        </w:rPr>
        <w:t>校赛版本系统说明书（完整稿）</w:t>
      </w:r>
    </w:p>
    <w:p>
      <w:pPr>
        <w:pStyle w:val="LCSubtitle"/>
        <w:jc w:val="center"/>
      </w:pPr>
      <w:r>
        <w:t>Finance Compliance Pack 最小适配方案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819"/>
      </w:tblGrid>
      <w:tr>
        <w:tc>
          <w:tcPr>
            <w:tcW w:type="dxa" w:w="2381"/>
            <w:shd w:fill="EAF5FB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0"/>
              </w:rPr>
              <w:t>文档类型</w:t>
            </w:r>
          </w:p>
        </w:tc>
        <w:tc>
          <w:tcPr>
            <w:tcW w:type="dxa" w:w="4819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r>
              <w:rPr>
                <w:rFonts w:ascii="Noto Sans CJK SC" w:hAnsi="Noto Sans CJK SC" w:eastAsia="Noto Sans CJK SC"/>
                <w:color w:val="17212B"/>
                <w:sz w:val="20"/>
              </w:rPr>
              <w:t>系统说明书 / 设计与验收基线</w:t>
            </w:r>
          </w:p>
        </w:tc>
      </w:tr>
      <w:tr>
        <w:tc>
          <w:tcPr>
            <w:tcW w:type="dxa" w:w="2381"/>
            <w:shd w:fill="EAF5FB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0"/>
              </w:rPr>
              <w:t>版本</w:t>
            </w:r>
          </w:p>
        </w:tc>
        <w:tc>
          <w:tcPr>
            <w:tcW w:type="dxa" w:w="4819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r>
              <w:rPr>
                <w:rFonts w:ascii="Noto Sans CJK SC" w:hAnsi="Noto Sans CJK SC" w:eastAsia="Noto Sans CJK SC"/>
                <w:color w:val="17212B"/>
                <w:sz w:val="20"/>
              </w:rPr>
              <w:t>V1.0</w:t>
            </w:r>
          </w:p>
        </w:tc>
      </w:tr>
      <w:tr>
        <w:tc>
          <w:tcPr>
            <w:tcW w:type="dxa" w:w="2381"/>
            <w:shd w:fill="EAF5FB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0"/>
              </w:rPr>
              <w:t>适用阶段</w:t>
            </w:r>
          </w:p>
        </w:tc>
        <w:tc>
          <w:tcPr>
            <w:tcW w:type="dxa" w:w="4819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r>
              <w:rPr>
                <w:rFonts w:ascii="Noto Sans CJK SC" w:hAnsi="Noto Sans CJK SC" w:eastAsia="Noto Sans CJK SC"/>
                <w:color w:val="17212B"/>
                <w:sz w:val="20"/>
              </w:rPr>
              <w:t>第二届全国人工智能应用创新大赛 · 通用赛道 · 校赛版本</w:t>
            </w:r>
          </w:p>
        </w:tc>
      </w:tr>
      <w:tr>
        <w:tc>
          <w:tcPr>
            <w:tcW w:type="dxa" w:w="2381"/>
            <w:shd w:fill="EAF5FB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0"/>
              </w:rPr>
              <w:t>编制日期</w:t>
            </w:r>
          </w:p>
        </w:tc>
        <w:tc>
          <w:tcPr>
            <w:tcW w:type="dxa" w:w="4819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</w:tcPr>
          <w:p>
            <w:r>
              <w:rPr>
                <w:rFonts w:ascii="Noto Sans CJK SC" w:hAnsi="Noto Sans CJK SC" w:eastAsia="Noto Sans CJK SC"/>
                <w:color w:val="17212B"/>
                <w:sz w:val="20"/>
              </w:rPr>
              <w:t>2026-10-06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5C6773"/>
          <w:sz w:val="21"/>
        </w:rPr>
        <w:t>定位：保留 LexCyber 完整平台能力，以 Finance Compliance Pack 完成金融合规场景适配</w:t>
      </w:r>
    </w:p>
    <w:p>
      <w:r>
        <w:br w:type="page"/>
      </w:r>
    </w:p>
    <w:p>
      <w:pPr>
        <w:pStyle w:val="Heading1"/>
      </w:pPr>
      <w:r>
        <w:t>资料基线与说明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赛事基线：《全国人工智能应用创新大赛参赛流程说明》，重点采用通用赛道六大命题领域、作品提交要求、PPT/视频/智能体链接及匿名评审要求。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系统基线：LexCyber 私有仓库 main 分支当前实现状态（截至 2026-09-26 主线文档），包括 README.md、AGENTS.md、docs/architecture-roadmap.md、contracts/public-api-v2.yaml 等现役资料。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本文将“当前已实现能力”和“校赛最小适配新增能力”分开描述；未实现内容均以“比赛版新增/计划”标识，不将规划内容表述为已完成事实。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比赛适配目标：冻结 LexCyber Core，不新增数据库表、不新增规则 family、不新增 API schema，通过 Finance Compliance Pack + Demo Profile 完成金融赛题适配。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5FB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2"/>
              </w:rPr>
              <w:t>校赛版一句话定义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网域衡鉴 LexCyber 是面向高风险业务的可信可审计 AI Agent 平台；校赛版本以“金融合规与风险辅助研判”为行业验证场景，在不改变平台核心生命周期的前提下新增监管依据、合规规则、审查模板和演示数据。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  赛事定位与作品命题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2  产品定位与品牌边界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3  现有系统基线与可复用能力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4  校赛版本最小适配原则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5  校赛版本总体架构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6  Finance Compliance Pack 设计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7  数据与事实模型复用方案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8  监管依据与规则体系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9  合规研判执行链路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10  金融审查报告与模板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11  校赛演示案例设计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12  前端场景化适配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13  AI Agent 能力边界与人工复核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14  安全、隐私与匿名评审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15  部署与运行方案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16  测试与验收标准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17  文件级最小改造清单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18  校赛演示流程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19  比赛材料与截图准备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20  版本冻结与后续演进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附录A  术语映射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附录B  截图素材清单</w:t>
      </w:r>
    </w:p>
    <w:p>
      <w:pPr>
        <w:spacing w:after="40"/>
      </w:pPr>
      <w:r>
        <w:rPr>
          <w:rFonts w:ascii="Noto Sans CJK SC" w:hAnsi="Noto Sans CJK SC" w:eastAsia="Noto Sans CJK SC"/>
          <w:color w:val="17212B"/>
          <w:sz w:val="21"/>
        </w:rPr>
        <w:t>附录C  最终 Done Checklist</w:t>
      </w:r>
    </w:p>
    <w:p>
      <w:r>
        <w:br w:type="page"/>
      </w:r>
    </w:p>
    <w:p>
      <w:pPr>
        <w:pStyle w:val="Heading1"/>
      </w:pPr>
      <w:r>
        <w:t>1 赛事定位与作品命题</w:t>
      </w:r>
    </w:p>
    <w:p>
      <w:pPr>
        <w:spacing w:after="140"/>
      </w:pPr>
      <w:r>
        <w:rPr>
          <w:rFonts w:ascii="Noto Sans CJK SC" w:hAnsi="Noto Sans CJK SC" w:eastAsia="Noto Sans CJK SC"/>
          <w:color w:val="5C6773"/>
          <w:sz w:val="21"/>
        </w:rPr>
        <w:t>校赛版本以“通用赛道—金融”作为命题领域，但不将 LexCyber 改造成金融专用产品，而是以金融合规作为平台的行业验证场景。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24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校赛版确定内容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参赛赛道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通用赛道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命题领域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金融（金融科技与风险管理 / 合规科技）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作品品牌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网域衡鉴 LexCyber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推荐作品名称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网域衡鉴 LexCyber——面向高风险业务的可信可审计 AI Agent 平台：金融合规与风险辅助研判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作品核心价值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让 AI 不只给出答案，还能给出可核验的事实、规则依据、执行过程、版本关系与人工责任链。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校赛演示主线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企业客户准入合规审查 + 异常交易风险辅助研判 + 事实变化触发 stale 重审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5FB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2"/>
              </w:rPr>
              <w:t>命题策略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比赛选择“金融”，但平台一级品牌、技术架构、Legal Pack 和通用执行能力全部保留。Finance Compliance Pack 只是新的行业能力包，这样既满足命题领域，又最大化利用已完成系统。</w:t>
            </w:r>
          </w:p>
        </w:tc>
      </w:tr>
    </w:tbl>
    <w:p/>
    <w:p>
      <w:pPr>
        <w:pStyle w:val="Heading1"/>
      </w:pPr>
      <w:r>
        <w:t>2 产品定位与品牌边界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一级品牌保持“网域衡鉴 LexCyber”，不改名为某某金融助手。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产品定义：可信、可审计、可解释、可人工复核的高风险业务 AI Agent 平台。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比赛场景定义：金融合规与风险辅助研判。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平台核心保持通用；法律能力包继续保留；金融合规能力包作为新增 Domain Pack。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比赛展示中强调“辅助研判、不替代人工最终决策”，避免将系统描述为自动给出欺诈、违法或终局责任认定。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F5F8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color w:val="17212B"/>
                <w:sz w:val="17"/>
              </w:rPr>
              <w:t>网域衡鉴 LexCyber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>├─ Platform Core（通用可信执行内核）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>├─ Legal Pack（现有，完整保留）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>└─ Finance Compliance Pack（校赛新增）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├─ Finance Sources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├─ Finance Rules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├─ Finance Templates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└─ Finance Demo Dataset</w:t>
            </w:r>
          </w:p>
        </w:tc>
      </w:tr>
    </w:tbl>
    <w:p/>
    <w:p>
      <w:pPr>
        <w:pStyle w:val="Heading1"/>
      </w:pPr>
      <w:r>
        <w:t>3 现有系统基线与可复用能力</w:t>
      </w:r>
    </w:p>
    <w:p>
      <w:pPr>
        <w:spacing w:after="140"/>
      </w:pPr>
      <w:r>
        <w:rPr>
          <w:rFonts w:ascii="Noto Sans CJK SC" w:hAnsi="Noto Sans CJK SC" w:eastAsia="Noto Sans CJK SC"/>
          <w:color w:val="5C6773"/>
          <w:sz w:val="21"/>
        </w:rPr>
        <w:t>以下均属于当前 LexCyber v1.3 主线已具备或已验证的系统能力，是本次校赛适配的主要资产。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3628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当前基线</w:t>
            </w:r>
          </w:p>
        </w:tc>
        <w:tc>
          <w:tcPr>
            <w:tcW w:type="dxa" w:w="3855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校赛复用方式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公开 API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Java 21 / Spring，/v1 兼容层 + /v2 生命周期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全部保留，不新增 /v3</w:t>
            </w:r>
          </w:p>
        </w:tc>
      </w:tr>
      <w:tr>
        <w:trPr>
          <w:cantSplit/>
        </w:trPr>
        <w:tc>
          <w:tcPr>
            <w:tcW w:type="dxa" w:w="175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执行引擎</w:t>
            </w:r>
          </w:p>
        </w:tc>
        <w:tc>
          <w:tcPr>
            <w:tcW w:type="dxa" w:w="36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Python Engine + Dramatiq / Redis</w:t>
            </w:r>
          </w:p>
        </w:tc>
        <w:tc>
          <w:tcPr>
            <w:tcW w:type="dxa" w:w="385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继续承载 document.parse、compliance.analyze、draft.render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事实体系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Facts 工作副本、FactsVersion、FactsHead、CAS confirm、diff/clone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直接保存金融审查事实，不新增金融表</w:t>
            </w:r>
          </w:p>
        </w:tc>
      </w:tr>
      <w:tr>
        <w:trPr>
          <w:cantSplit/>
        </w:trPr>
        <w:tc>
          <w:tcPr>
            <w:tcW w:type="dxa" w:w="175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规则体系</w:t>
            </w:r>
          </w:p>
        </w:tc>
        <w:tc>
          <w:tcPr>
            <w:tcW w:type="dxa" w:w="36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legal_source、rule_package、template_package、signoff_record</w:t>
            </w:r>
          </w:p>
        </w:tc>
        <w:tc>
          <w:tcPr>
            <w:tcW w:type="dxa" w:w="385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直接承载监管依据、金融合规规则和审查模板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模块执行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case.compliance.v2 / case.conviction.v2 / sentencing.v2 / draft.v2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比赛主链只使用 case.compliance.v2 + draft.v2</w:t>
            </w:r>
          </w:p>
        </w:tc>
      </w:tr>
      <w:tr>
        <w:trPr>
          <w:cantSplit/>
        </w:trPr>
        <w:tc>
          <w:tcPr>
            <w:tcW w:type="dxa" w:w="175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结果发布</w:t>
            </w:r>
          </w:p>
        </w:tc>
        <w:tc>
          <w:tcPr>
            <w:tcW w:type="dxa" w:w="36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ArtifactStream / ArtifactVersion + 幂等 publication</w:t>
            </w:r>
          </w:p>
        </w:tc>
        <w:tc>
          <w:tcPr>
            <w:tcW w:type="dxa" w:w="385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金融研判结果作为 Artifact 版本发布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人工复核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ReviewRecord + 版本绑定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高风险结论必须人工复核</w:t>
            </w:r>
          </w:p>
        </w:tc>
      </w:tr>
      <w:tr>
        <w:trPr>
          <w:cantSplit/>
        </w:trPr>
        <w:tc>
          <w:tcPr>
            <w:tcW w:type="dxa" w:w="175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失效传播</w:t>
            </w:r>
          </w:p>
        </w:tc>
        <w:tc>
          <w:tcPr>
            <w:tcW w:type="dxa" w:w="36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Facts 变化导致旧 Artifact stale，旧结果不可继续作为有效批准</w:t>
            </w:r>
          </w:p>
        </w:tc>
        <w:tc>
          <w:tcPr>
            <w:tcW w:type="dxa" w:w="385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作为比赛差异化亮点演示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归档审计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CaseArchive + manifestHash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形成可追溯的审查归档</w:t>
            </w:r>
          </w:p>
        </w:tc>
      </w:tr>
      <w:tr>
        <w:trPr>
          <w:cantSplit/>
        </w:trPr>
        <w:tc>
          <w:tcPr>
            <w:tcW w:type="dxa" w:w="175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存储与部署</w:t>
            </w:r>
          </w:p>
        </w:tc>
        <w:tc>
          <w:tcPr>
            <w:tcW w:type="dxa" w:w="36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PostgreSQL + Redis + MinIO + Nginx + Compose</w:t>
            </w:r>
          </w:p>
        </w:tc>
        <w:tc>
          <w:tcPr>
            <w:tcW w:type="dxa" w:w="385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比赛环境继续使用原栈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5FB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2"/>
              </w:rPr>
              <w:t>现有系统最大的比赛优势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LexCyber 已经不是“上传文件—大模型问答”的单链路 Demo，而是具有“事实确认—规则执行—结果版本—人工复核—失效传播—归档审计”的完整高风险业务生命周期。比赛适配应放大这一点，而不是重新造聊天机器人。</w:t>
            </w:r>
          </w:p>
        </w:tc>
      </w:tr>
    </w:tbl>
    <w:p/>
    <w:p>
      <w:pPr>
        <w:pStyle w:val="Heading1"/>
      </w:pPr>
      <w:r>
        <w:t>4 校赛版本最小适配原则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1. 冻结 LexCyber Core：数据库、生命周期、核心 API、Engine、Review、Archive 不因比赛场景修改。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2. 不新增 finance rule family；所有金融风险与合规判断复用 family=compliance。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3. 不新增 finance.analyze / case.finance.v1；继续使用 compliance.analyze / case.compliance.v2。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4. 金融业务信息尽量放入 FactsVersion.items 与现有 entities，不新建金融专用数据表。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5. 金融规则、监管依据、模板全部以 corpus / registry 数据形式增加。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6. 前端只做 Scenario Profile、文案替换和导航显隐，不删除 Legal Pack 页面与代码。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7. 比赛核心演示不依赖外部大模型 API 的实时可用性；LLM 作为增强能力而非唯一判定链。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8. 优先保证稳定部署、可重复 Demo 和匿名评审，而不是增加低价值大功能。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9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明确冻结</w:t>
            </w:r>
          </w:p>
        </w:tc>
        <w:tc>
          <w:tcPr>
            <w:tcW w:type="dxa" w:w="459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明确新增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PostgreSQL schema / Flyway / /v1 / /v2 / Engine worker / Artifact / Review / Archive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 sources / finance rules / finance templates</w:t>
            </w:r>
          </w:p>
        </w:tc>
      </w:tr>
      <w:tr>
        <w:trPr>
          <w:cantSplit/>
        </w:trPr>
        <w:tc>
          <w:tcPr>
            <w:tcW w:type="dxa" w:w="459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Legal Pack / 原三案 / 原品牌</w:t>
            </w:r>
          </w:p>
        </w:tc>
        <w:tc>
          <w:tcPr>
            <w:tcW w:type="dxa" w:w="459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F1、F2 金融演示数据包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现有规则 evaluator / document_render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轻量 Scenario 配置与比赛首页入口</w:t>
            </w:r>
          </w:p>
        </w:tc>
      </w:tr>
      <w:tr>
        <w:trPr>
          <w:cantSplit/>
        </w:trPr>
        <w:tc>
          <w:tcPr>
            <w:tcW w:type="dxa" w:w="459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现有 CI / Compose</w:t>
            </w:r>
          </w:p>
        </w:tc>
        <w:tc>
          <w:tcPr>
            <w:tcW w:type="dxa" w:w="459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金融规则与模板单测、Demo E2E 校验</w:t>
            </w:r>
          </w:p>
        </w:tc>
      </w:tr>
    </w:tbl>
    <w:p/>
    <w:p>
      <w:pPr>
        <w:pStyle w:val="Heading1"/>
      </w:pPr>
      <w:r>
        <w:t>5 校赛版本总体架构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F5F8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color w:val="17212B"/>
                <w:sz w:val="17"/>
              </w:rPr>
              <w:t>Browser / Judge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│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▼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>网域衡鉴 LexCyber Web（Finance Profile）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│  仅访问公开 Java API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▼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>Java Public API  ───────────────► PostgreSQL / app schema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│                              │ Facts / Artifact / Review / Archive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│ internal dispatch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▼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>Python Engine ────────────────► PostgreSQL / engine schema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│                         Legal Source / Rule / Template Registry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├─ document.parse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├─ compliance.analyze  ◄── Finance Compliance Rules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└─ draft.render        ◄── Finance Review Templates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│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├─ Redis / Dramatiq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└─ MinIO（业务材料）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浏览器仍只访问 Java 公共 API，不直连 Engine / MinIO。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Finance Pack 不改变服务边界，只改变 Registry 中加载的数据和比赛页面展示语义。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所有分析输入都基于已确认 FactsVersion，不允许直接用未经确认的候选事实替代。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所有规则输出形成新的 ArtifactVersion，并进入人工复核。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val="2381" w:hRule="atLeast"/>
        </w:trPr>
        <w:tc>
          <w:tcPr>
            <w:tcW w:type="dxa" w:w="9972"/>
            <w:shd w:fill="F4F8FB"/>
            <w:tcBorders>
              <w:top w:val="dashed" w:sz="10" w:color="1EA7E1"/>
              <w:left w:val="dashed" w:sz="10" w:color="1EA7E1"/>
              <w:bottom w:val="dashed" w:sz="10" w:color="1EA7E1"/>
              <w:right w:val="dashed" w:sz="10" w:color="1EA7E1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C2138"/>
                <w:sz w:val="24"/>
              </w:rPr>
              <w:t>【截图待补 S-01】</w:t>
              <w:br/>
              <w:t>LexCyber 比赛版首页</w:t>
              <w:br/>
            </w:r>
            <w:r>
              <w:rPr>
                <w:rFonts w:ascii="Noto Sans CJK SC" w:hAnsi="Noto Sans CJK SC" w:eastAsia="Noto Sans CJK SC"/>
                <w:color w:val="5C6773"/>
                <w:sz w:val="19"/>
              </w:rPr>
              <w:t>展示“网域衡鉴 LexCyber”完整标识、平台定位、金融合规示范入口以及两个预置演示事项。</w:t>
            </w:r>
            <w:r>
              <w:rPr>
                <w:rFonts w:ascii="Noto Sans CJK SC" w:hAnsi="Noto Sans CJK SC" w:eastAsia="Noto Sans CJK SC"/>
                <w:color w:val="2FB7A3"/>
                <w:sz w:val="17"/>
              </w:rPr>
              <w:br/>
              <w:t>采集要求：浏览器全屏 1440×900；隐藏书签栏、账号实名信息、学校信息。</w:t>
            </w:r>
          </w:p>
        </w:tc>
      </w:tr>
    </w:tbl>
    <w:p>
      <w:pPr>
        <w:pStyle w:val="LCCaption"/>
        <w:jc w:val="center"/>
      </w:pPr>
      <w:r>
        <w:t>图 S-01  LexCyber 比赛版首页（待系统完成后替换）</w:t>
      </w:r>
    </w:p>
    <w:p/>
    <w:p>
      <w:pPr>
        <w:pStyle w:val="Heading1"/>
      </w:pPr>
      <w:r>
        <w:t>6 Finance Compliance Pack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948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建议路径</w:t>
            </w:r>
          </w:p>
        </w:tc>
        <w:tc>
          <w:tcPr>
            <w:tcW w:type="dxa" w:w="3175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41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修改量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 Sources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engine/rules/corpus/finance/finance_sources.json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登记比赛使用的监管/制度依据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新增数据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 Rules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engine/rules/corpus/finance/finance_rules.json</w:t>
            </w:r>
          </w:p>
        </w:tc>
        <w:tc>
          <w:tcPr>
            <w:tcW w:type="dxa" w:w="317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6–10 条可解释合规规则，全部 family=compliance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新增数据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 Templates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engine/rules/corpus/finance/finance_templates.json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金融合规审查报告模板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新增数据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 Demo Dataset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demo_cases/finance_compliance_demo/</w:t>
            </w:r>
          </w:p>
        </w:tc>
        <w:tc>
          <w:tcPr>
            <w:tcW w:type="dxa" w:w="317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F1/F2 事项、材料、预置事实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新增数据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Scenario Profile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web/src/config/scenario.ts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比赛文案、导航显隐、首页入口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少量前端代码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Importer 泛化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scripts/import_three_case_demo.py 增加 dataset 参数</w:t>
            </w:r>
          </w:p>
        </w:tc>
        <w:tc>
          <w:tcPr>
            <w:tcW w:type="dxa" w:w="317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复用现有导入、幂等、checkpoint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小改脚本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5FB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2"/>
              </w:rPr>
              <w:t>设计约束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Finance Pack 是“内容包”，不是新微服务。只要现有 compliance family 能表达规则，任何金融规则都不应推动数据库或 API 扩展。</w:t>
            </w:r>
          </w:p>
        </w:tc>
      </w:tr>
    </w:tbl>
    <w:p/>
    <w:p>
      <w:pPr>
        <w:pStyle w:val="Heading1"/>
      </w:pPr>
      <w:r>
        <w:t>7 数据与事实模型复用方案</w:t>
      </w:r>
    </w:p>
    <w:p>
      <w:pPr>
        <w:spacing w:after="140"/>
      </w:pPr>
      <w:r>
        <w:rPr>
          <w:rFonts w:ascii="Noto Sans CJK SC" w:hAnsi="Noto Sans CJK SC" w:eastAsia="Noto Sans CJK SC"/>
          <w:color w:val="5C6773"/>
          <w:sz w:val="21"/>
        </w:rPr>
        <w:t>比赛数据全部采用合成或脱敏信息。金融事实直接写入现有 FactsVersion.items；actors/events/evidence/jurisdictionConnections 等实体继续复用。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现有结构</w:t>
            </w:r>
          </w:p>
        </w:tc>
        <w:tc>
          <w:tcPr>
            <w:tcW w:type="dxa" w:w="340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金融场景含义</w:t>
            </w:r>
          </w:p>
        </w:tc>
        <w:tc>
          <w:tcPr>
            <w:tcW w:type="dxa" w:w="3855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facts.items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结构化审查事实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beneficial_owner_verified=true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actors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企业、客户、实控人、交易对手</w:t>
            </w:r>
          </w:p>
        </w:tc>
        <w:tc>
          <w:tcPr>
            <w:tcW w:type="dxa" w:w="385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role=beneficial_owner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events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开户、交易、补件、复核等事件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event=enhanced_review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evidence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营业执照、合同、资金用途说明、流水摘要</w:t>
            </w:r>
          </w:p>
        </w:tc>
        <w:tc>
          <w:tcPr>
            <w:tcW w:type="dxa" w:w="385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type=policy_document / transaction_summary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amounts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必要时使用既有金额实体；比赛前不扩展封闭集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尽量将金融聚合指标先作为 facts 存储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jurisdictionConnections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地区、跨境、经营地等连接信息</w:t>
            </w:r>
          </w:p>
        </w:tc>
        <w:tc>
          <w:tcPr>
            <w:tcW w:type="dxa" w:w="385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region=CN-HK / cross_border=true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推荐事实键</w:t>
            </w:r>
          </w:p>
        </w:tc>
        <w:tc>
          <w:tcPr>
            <w:tcW w:type="dxa" w:w="141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3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customer_type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string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客户类型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beneficial_owner_verified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boolean</w:t>
            </w:r>
          </w:p>
        </w:tc>
        <w:tc>
          <w:tcPr>
            <w:tcW w:type="dxa" w:w="493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实控人核验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business_purpose_verified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boolean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业务用途核验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source_of_funds_verified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boolean</w:t>
            </w:r>
          </w:p>
        </w:tc>
        <w:tc>
          <w:tcPr>
            <w:tcW w:type="dxa" w:w="493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资金来源核验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supporting_documents_complete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boolean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材料完整性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account_age_days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number</w:t>
            </w:r>
          </w:p>
        </w:tc>
        <w:tc>
          <w:tcPr>
            <w:tcW w:type="dxa" w:w="493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账户存续时长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transaction_frequency_24h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number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短期交易频次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transaction_total_30d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number</w:t>
            </w:r>
          </w:p>
        </w:tc>
        <w:tc>
          <w:tcPr>
            <w:tcW w:type="dxa" w:w="493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30 日交易聚合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cross_border_transaction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boolean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跨境因素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high_risk_region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boolean/string</w:t>
            </w:r>
          </w:p>
        </w:tc>
        <w:tc>
          <w:tcPr>
            <w:tcW w:type="dxa" w:w="493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地区风险因素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manual_exception_present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boolean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人工例外标记</w:t>
            </w:r>
          </w:p>
        </w:tc>
      </w:tr>
    </w:tbl>
    <w:p/>
    <w:p>
      <w:pPr>
        <w:pStyle w:val="Heading1"/>
      </w:pPr>
      <w:r>
        <w:t>8 监管依据与规则体系</w:t>
      </w:r>
    </w:p>
    <w:p>
      <w:pPr>
        <w:spacing w:after="140"/>
      </w:pPr>
      <w:r>
        <w:rPr>
          <w:rFonts w:ascii="Noto Sans CJK SC" w:hAnsi="Noto Sans CJK SC" w:eastAsia="Noto Sans CJK SC"/>
          <w:color w:val="5C6773"/>
          <w:sz w:val="21"/>
        </w:rPr>
        <w:t>比赛版优先准备少量、高解释度、可完整演示的规则，不追求覆盖金融行业的全部真实监管要求。若使用真实法规内容，最终提交前应再次核验来源、版本和适用边界。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1701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685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条件示例</w:t>
            </w:r>
          </w:p>
        </w:tc>
        <w:tc>
          <w:tcPr>
            <w:tcW w:type="dxa" w:w="1984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结果示例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FIN-KYB-001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企业准入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beneficial_owner_verified=false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enhanced_review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FIN-KYB-002</w:t>
            </w:r>
          </w:p>
        </w:tc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企业准入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business_purpose_verified=false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additional_material_required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FIN-KYB-003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企业准入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source_of_funds_verified=false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enhanced_review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FIN-KYB-004</w:t>
            </w:r>
          </w:p>
        </w:tc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企业准入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supporting_documents_complete=false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blocked / material_missing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FIN-TXN-001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交易筛查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transaction_frequency_24h &gt;= 阈值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transaction_pattern_review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FIN-TXN-002</w:t>
            </w:r>
          </w:p>
        </w:tc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交易筛查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account_age_days 低 + transaction_total_30d 高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enhanced_review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FIN-TXN-003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交易筛查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cross_border=true + high_risk_region=true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manual_review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FIN-TXN-004</w:t>
            </w:r>
          </w:p>
        </w:tc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交易筛查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多个风险条件组合命中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high_priority_review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所有规则 family=compliance，复用现有 engine.rule_package。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每条规则保留 rule_id、rule_version、source_ids、content_hash 和 trace。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比赛展示必须显示“命中 / 未命中 + 条件 trace + 规则依据”，突出可解释性。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Demo 规则的会签可采用比赛演示专用审批身份，但必须标识为演示审批，不冒充正式金融机构法务/合规批准。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val="2381" w:hRule="atLeast"/>
        </w:trPr>
        <w:tc>
          <w:tcPr>
            <w:tcW w:type="dxa" w:w="9972"/>
            <w:shd w:fill="F4F8FB"/>
            <w:tcBorders>
              <w:top w:val="dashed" w:sz="10" w:color="1EA7E1"/>
              <w:left w:val="dashed" w:sz="10" w:color="1EA7E1"/>
              <w:bottom w:val="dashed" w:sz="10" w:color="1EA7E1"/>
              <w:right w:val="dashed" w:sz="10" w:color="1EA7E1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C2138"/>
                <w:sz w:val="24"/>
              </w:rPr>
              <w:t>【截图待补 S-02】</w:t>
              <w:br/>
              <w:t>规则依据 / 规则结果界面</w:t>
              <w:br/>
            </w:r>
            <w:r>
              <w:rPr>
                <w:rFonts w:ascii="Noto Sans CJK SC" w:hAnsi="Noto Sans CJK SC" w:eastAsia="Noto Sans CJK SC"/>
                <w:color w:val="5C6773"/>
                <w:sz w:val="19"/>
              </w:rPr>
              <w:t>展示至少 4 条金融合规规则、版本号、命中状态、逐条件 trace 和规则依据。</w:t>
            </w:r>
            <w:r>
              <w:rPr>
                <w:rFonts w:ascii="Noto Sans CJK SC" w:hAnsi="Noto Sans CJK SC" w:eastAsia="Noto Sans CJK SC"/>
                <w:color w:val="2FB7A3"/>
                <w:sz w:val="17"/>
              </w:rPr>
              <w:br/>
              <w:t>采集要求：优先截取 RuleResultsPanel；保证文字清晰、规则 ID 可见。</w:t>
            </w:r>
          </w:p>
        </w:tc>
      </w:tr>
    </w:tbl>
    <w:p>
      <w:pPr>
        <w:pStyle w:val="LCCaption"/>
        <w:jc w:val="center"/>
      </w:pPr>
      <w:r>
        <w:t>图 S-02  规则依据 / 规则结果界面（待系统完成后替换）</w:t>
      </w:r>
    </w:p>
    <w:p/>
    <w:p>
      <w:pPr>
        <w:pStyle w:val="Heading1"/>
      </w:pPr>
      <w:r>
        <w:t>9 合规研判执行链路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2F5F8"/>
            <w:tcBorders>
              <w:top w:val="single" w:sz="4" w:color="D8E0E8"/>
              <w:left w:val="single" w:sz="4" w:color="D8E0E8"/>
              <w:bottom w:val="single" w:sz="4" w:color="D8E0E8"/>
              <w:right w:val="single" w:sz="4" w:color="D8E0E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 w:eastAsia="DejaVu Sans Mono"/>
                <w:color w:val="17212B"/>
                <w:sz w:val="17"/>
              </w:rPr>
              <w:t>业务材料 → document.parse → 候选事实/证据定位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人工事实核验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FactsVersion + CAS Confirm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compliance.analyze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Approved Finance Rules 执行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case.compliance.v2 Artifact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├─ rules[]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├─ trace[]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├─ dependency_snapshot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└─ human_review_required=true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 Human Review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17212B"/>
                <w:sz w:val="17"/>
              </w:rPr>
              <w:t xml:space="preserve">             draft.render / Archive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不新增 finance.analyze；比赛任务仍通过现有 compliance.analyze 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输入必须是不可变 factsSnapshot，确保分析结果可复现。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输出包含规则版本、内容哈希、依据来源和事实版本依赖。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任何结论性输出都保持 human_review_required=true。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val="2381" w:hRule="atLeast"/>
        </w:trPr>
        <w:tc>
          <w:tcPr>
            <w:tcW w:type="dxa" w:w="9972"/>
            <w:shd w:fill="F4F8FB"/>
            <w:tcBorders>
              <w:top w:val="dashed" w:sz="10" w:color="1EA7E1"/>
              <w:left w:val="dashed" w:sz="10" w:color="1EA7E1"/>
              <w:bottom w:val="dashed" w:sz="10" w:color="1EA7E1"/>
              <w:right w:val="dashed" w:sz="10" w:color="1EA7E1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C2138"/>
                <w:sz w:val="24"/>
              </w:rPr>
              <w:t>【截图待补 S-03】</w:t>
              <w:br/>
              <w:t>事实核验与版本确认</w:t>
              <w:br/>
            </w:r>
            <w:r>
              <w:rPr>
                <w:rFonts w:ascii="Noto Sans CJK SC" w:hAnsi="Noto Sans CJK SC" w:eastAsia="Noto Sans CJK SC"/>
                <w:color w:val="5C6773"/>
                <w:sz w:val="19"/>
              </w:rPr>
              <w:t>展示 F1 事项的关键 Facts、verificationStatus、确认动作以及 FactsVersion。</w:t>
            </w:r>
            <w:r>
              <w:rPr>
                <w:rFonts w:ascii="Noto Sans CJK SC" w:hAnsi="Noto Sans CJK SC" w:eastAsia="Noto Sans CJK SC"/>
                <w:color w:val="2FB7A3"/>
                <w:sz w:val="17"/>
              </w:rPr>
              <w:br/>
              <w:t>采集要求：截取包含“资金来源核验/材料完整性”等金融字段的页面。</w:t>
            </w:r>
          </w:p>
        </w:tc>
      </w:tr>
    </w:tbl>
    <w:p>
      <w:pPr>
        <w:pStyle w:val="LCCaption"/>
        <w:jc w:val="center"/>
      </w:pPr>
      <w:r>
        <w:t>图 S-03  事实核验与版本确认（待系统完成后替换）</w:t>
      </w:r>
    </w:p>
    <w:p/>
    <w:p>
      <w:pPr>
        <w:pStyle w:val="Heading1"/>
      </w:pPr>
      <w:r>
        <w:t>10 金融审查报告与模板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模板字段</w:t>
            </w:r>
          </w:p>
        </w:tc>
        <w:tc>
          <w:tcPr>
            <w:tcW w:type="dxa" w:w="691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template_id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finance-compliance-review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doc_type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finance-compliance-review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输出 schema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draft.v2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建议章节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审查事项、已确认事实、规则执行结果、风险关注事项、缺失材料、规则依据、人工复核意见、说明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生成原则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只从确认事实和已发布上游 Artifact 读取；占位符缺失时 fail-closed，不生成伪完整正文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免责声明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仅作为风险与合规辅助研判材料，不替代具有权限的人工最终判断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val="2381" w:hRule="atLeast"/>
        </w:trPr>
        <w:tc>
          <w:tcPr>
            <w:tcW w:type="dxa" w:w="9972"/>
            <w:shd w:fill="F4F8FB"/>
            <w:tcBorders>
              <w:top w:val="dashed" w:sz="10" w:color="1EA7E1"/>
              <w:left w:val="dashed" w:sz="10" w:color="1EA7E1"/>
              <w:bottom w:val="dashed" w:sz="10" w:color="1EA7E1"/>
              <w:right w:val="dashed" w:sz="10" w:color="1EA7E1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C2138"/>
                <w:sz w:val="24"/>
              </w:rPr>
              <w:t>【截图待补 S-04】</w:t>
              <w:br/>
              <w:t>金融合规审查报告</w:t>
              <w:br/>
            </w:r>
            <w:r>
              <w:rPr>
                <w:rFonts w:ascii="Noto Sans CJK SC" w:hAnsi="Noto Sans CJK SC" w:eastAsia="Noto Sans CJK SC"/>
                <w:color w:val="5C6773"/>
                <w:sz w:val="19"/>
              </w:rPr>
              <w:t>展示 draft.v2 生成的审查报告，页面中能看到事实摘要、风险项、规则依据和“待人工复核”标识。</w:t>
            </w:r>
            <w:r>
              <w:rPr>
                <w:rFonts w:ascii="Noto Sans CJK SC" w:hAnsi="Noto Sans CJK SC" w:eastAsia="Noto Sans CJK SC"/>
                <w:color w:val="2FB7A3"/>
                <w:sz w:val="17"/>
              </w:rPr>
              <w:br/>
              <w:t>采集要求：不要出现学校/成员信息；案例名称使用“企业客户 A / 审查事项 F1”。</w:t>
            </w:r>
          </w:p>
        </w:tc>
      </w:tr>
    </w:tbl>
    <w:p>
      <w:pPr>
        <w:pStyle w:val="LCCaption"/>
        <w:jc w:val="center"/>
      </w:pPr>
      <w:r>
        <w:t>图 S-04  金融合规审查报告（待系统完成后替换）</w:t>
      </w:r>
    </w:p>
    <w:p/>
    <w:p>
      <w:pPr>
        <w:pStyle w:val="Heading1"/>
      </w:pPr>
      <w:r>
        <w:t>11 校赛演示案例设计</w:t>
      </w:r>
    </w:p>
    <w:p>
      <w:pPr>
        <w:pStyle w:val="Heading2"/>
      </w:pPr>
      <w:r>
        <w:t>11.1 F1 企业客户业务准入合规审查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00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场景目标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演示材料—事实—规则—复核—报告—归档完整链路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关键事实</w:t>
            </w:r>
          </w:p>
        </w:tc>
        <w:tc>
          <w:tcPr>
            <w:tcW w:type="dxa" w:w="720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实控人核验、业务用途、资金来源、材料完整性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预期命中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资金来源待验证、材料不完整、进入增强人工审查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主要展示</w:t>
            </w:r>
          </w:p>
        </w:tc>
        <w:tc>
          <w:tcPr>
            <w:tcW w:type="dxa" w:w="720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文档解析、FactsVersion、Rule Trace、Review、draft.v2</w:t>
            </w:r>
          </w:p>
        </w:tc>
      </w:tr>
    </w:tbl>
    <w:p/>
    <w:p>
      <w:pPr>
        <w:pStyle w:val="Heading2"/>
      </w:pPr>
      <w:r>
        <w:t>11.2 F2 异常交易风险辅助研判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00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场景目标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展示多条件组合规则和高优先级人工复核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关键事实</w:t>
            </w:r>
          </w:p>
        </w:tc>
        <w:tc>
          <w:tcPr>
            <w:tcW w:type="dxa" w:w="720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新账户、短期高频、30 日交易聚合、跨境、高风险地区、资金来源未确认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预期命中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短期高频交易、新账户高额交易、跨境风险因素、多风险组合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表述边界</w:t>
            </w:r>
          </w:p>
        </w:tc>
        <w:tc>
          <w:tcPr>
            <w:tcW w:type="dxa" w:w="720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系统输出“风险关注 / 建议增强审查”，不自动认定欺诈或违法</w:t>
            </w:r>
          </w:p>
        </w:tc>
      </w:tr>
    </w:tbl>
    <w:p/>
    <w:p>
      <w:pPr>
        <w:pStyle w:val="Heading2"/>
      </w:pPr>
      <w:r>
        <w:t>11.3 Stale 重审演示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1. 在 F1 或 F2 完成人工复核后，修改一个关键事实并创建新的 FactsVersion。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2. 确认新事实版本，系统将依赖旧 FactsVersion 的 Artifact 标记为 stale。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3. 尝试继续使用旧批准结果，应被依赖失效机制阻止或明确标记为不可作为当前有效结论。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4. 重新执行 compliance.analyze，形成新的 ArtifactVersion，并重新人工复核。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5FB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2"/>
              </w:rPr>
              <w:t>为什么 stale 是重点演示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它能够非常直观地说明：LexCyber 不把 AI 输出当成一次性文本，而是把“事实版本—规则版本—结果版本—审批状态”组成可追溯依赖链。这是与普通 RAG/聊天 Agent 的核心差异。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val="2381" w:hRule="atLeast"/>
        </w:trPr>
        <w:tc>
          <w:tcPr>
            <w:tcW w:type="dxa" w:w="9972"/>
            <w:shd w:fill="F4F8FB"/>
            <w:tcBorders>
              <w:top w:val="dashed" w:sz="10" w:color="1EA7E1"/>
              <w:left w:val="dashed" w:sz="10" w:color="1EA7E1"/>
              <w:bottom w:val="dashed" w:sz="10" w:color="1EA7E1"/>
              <w:right w:val="dashed" w:sz="10" w:color="1EA7E1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C2138"/>
                <w:sz w:val="24"/>
              </w:rPr>
              <w:t>【截图待补 S-05】</w:t>
              <w:br/>
              <w:t>Stale 失效传播</w:t>
              <w:br/>
            </w:r>
            <w:r>
              <w:rPr>
                <w:rFonts w:ascii="Noto Sans CJK SC" w:hAnsi="Noto Sans CJK SC" w:eastAsia="Noto Sans CJK SC"/>
                <w:color w:val="5C6773"/>
                <w:sz w:val="19"/>
              </w:rPr>
              <w:t>同屏或前后两张图展示旧 Artifact 已 stale、新 FactsVersion、重新执行入口。</w:t>
            </w:r>
            <w:r>
              <w:rPr>
                <w:rFonts w:ascii="Noto Sans CJK SC" w:hAnsi="Noto Sans CJK SC" w:eastAsia="Noto Sans CJK SC"/>
                <w:color w:val="2FB7A3"/>
                <w:sz w:val="17"/>
              </w:rPr>
              <w:br/>
              <w:t>采集要求：最好使用同一事项，避免评委需要重新理解业务上下文。</w:t>
            </w:r>
          </w:p>
        </w:tc>
      </w:tr>
    </w:tbl>
    <w:p>
      <w:pPr>
        <w:pStyle w:val="LCCaption"/>
        <w:jc w:val="center"/>
      </w:pPr>
      <w:r>
        <w:t>图 S-05  Stale 失效传播（待系统完成后替换）</w:t>
      </w:r>
    </w:p>
    <w:p/>
    <w:p>
      <w:pPr>
        <w:pStyle w:val="Heading1"/>
      </w:pPr>
      <w:r>
        <w:t>12 前端场景化适配</w:t>
      </w:r>
    </w:p>
    <w:p>
      <w:pPr>
        <w:spacing w:after="140"/>
      </w:pPr>
      <w:r>
        <w:rPr>
          <w:rFonts w:ascii="Noto Sans CJK SC" w:hAnsi="Noto Sans CJK SC" w:eastAsia="Noto Sans CJK SC"/>
          <w:color w:val="5C6773"/>
          <w:sz w:val="21"/>
        </w:rPr>
        <w:t>前端仅新增轻量 Scenario Profile；后端命名与路由保持不变。Legal Pack 页面只在比赛 Profile 中隐藏，不删除。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内部概念</w:t>
            </w:r>
          </w:p>
        </w:tc>
        <w:tc>
          <w:tcPr>
            <w:tcW w:type="dxa" w:w="6350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比赛 UI 显示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case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审查事项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documents</w:t>
            </w:r>
          </w:p>
        </w:tc>
        <w:tc>
          <w:tcPr>
            <w:tcW w:type="dxa" w:w="635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业务材料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facts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事实核验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legal source</w:t>
            </w:r>
          </w:p>
        </w:tc>
        <w:tc>
          <w:tcPr>
            <w:tcW w:type="dxa" w:w="635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监管依据 / 规则依据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compliance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合规研判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review</w:t>
            </w:r>
          </w:p>
        </w:tc>
        <w:tc>
          <w:tcPr>
            <w:tcW w:type="dxa" w:w="635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人工复核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draft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审查报告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artifact</w:t>
            </w:r>
          </w:p>
        </w:tc>
        <w:tc>
          <w:tcPr>
            <w:tcW w:type="dxa" w:w="635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分析结果版本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archive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审计归档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stale</w:t>
            </w:r>
          </w:p>
        </w:tc>
        <w:tc>
          <w:tcPr>
            <w:tcW w:type="dxa" w:w="635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依据已变化 / 需重新研判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9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比赛 Profile 显示</w:t>
            </w:r>
          </w:p>
        </w:tc>
        <w:tc>
          <w:tcPr>
            <w:tcW w:type="dxa" w:w="459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比赛 Profile 隐藏但保留代码</w:t>
            </w:r>
          </w:p>
        </w:tc>
      </w:tr>
      <w:tr>
        <w:trPr>
          <w:cantSplit/>
        </w:trPr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工作台、审查事项、业务材料、事实核验、合规研判、人工复核、审查报告、审计归档</w:t>
            </w:r>
          </w:p>
        </w:tc>
        <w:tc>
          <w:tcPr>
            <w:tcW w:type="dxa" w:w="459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定罪研判、量刑分析、法律专用文书、原三案快捷入口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val="2381" w:hRule="atLeast"/>
        </w:trPr>
        <w:tc>
          <w:tcPr>
            <w:tcW w:type="dxa" w:w="9972"/>
            <w:shd w:fill="F4F8FB"/>
            <w:tcBorders>
              <w:top w:val="dashed" w:sz="10" w:color="1EA7E1"/>
              <w:left w:val="dashed" w:sz="10" w:color="1EA7E1"/>
              <w:bottom w:val="dashed" w:sz="10" w:color="1EA7E1"/>
              <w:right w:val="dashed" w:sz="10" w:color="1EA7E1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C2138"/>
                <w:sz w:val="24"/>
              </w:rPr>
              <w:t>【截图待补 S-06】</w:t>
              <w:br/>
              <w:t>比赛版审查事项工作台</w:t>
              <w:br/>
            </w:r>
            <w:r>
              <w:rPr>
                <w:rFonts w:ascii="Noto Sans CJK SC" w:hAnsi="Noto Sans CJK SC" w:eastAsia="Noto Sans CJK SC"/>
                <w:color w:val="5C6773"/>
                <w:sz w:val="19"/>
              </w:rPr>
              <w:t>展示两个预置事项 F1/F2、状态、最近研判结果和下一步动作。</w:t>
            </w:r>
            <w:r>
              <w:rPr>
                <w:rFonts w:ascii="Noto Sans CJK SC" w:hAnsi="Noto Sans CJK SC" w:eastAsia="Noto Sans CJK SC"/>
                <w:color w:val="2FB7A3"/>
                <w:sz w:val="17"/>
              </w:rPr>
              <w:br/>
              <w:t>采集要求：页面主品牌必须仍为“网域衡鉴 LexCyber”。</w:t>
            </w:r>
          </w:p>
        </w:tc>
      </w:tr>
    </w:tbl>
    <w:p>
      <w:pPr>
        <w:pStyle w:val="LCCaption"/>
        <w:jc w:val="center"/>
      </w:pPr>
      <w:r>
        <w:t>图 S-06  比赛版审查事项工作台（待系统完成后替换）</w:t>
      </w:r>
    </w:p>
    <w:p/>
    <w:p>
      <w:pPr>
        <w:pStyle w:val="Heading1"/>
      </w:pPr>
      <w:r>
        <w:t>13 AI Agent 能力边界与人工复核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76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154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是否允许自动形成最终结论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AI / Document Agent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非结构化材料理解、解析、摘要、候选事实辅助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Deterministic Rule Engine</w:t>
            </w:r>
          </w:p>
        </w:tc>
        <w:tc>
          <w:tcPr>
            <w:tcW w:type="dxa" w:w="476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执行已批准规则，形成可复现结果与条件 trace</w:t>
            </w:r>
          </w:p>
        </w:tc>
        <w:tc>
          <w:tcPr>
            <w:tcW w:type="dxa" w:w="215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Artifact / Version Layer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冻结结果、依赖和版本关系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Human Review</w:t>
            </w:r>
          </w:p>
        </w:tc>
        <w:tc>
          <w:tcPr>
            <w:tcW w:type="dxa" w:w="476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确认事实、复核风险结果、决定批准/退回</w:t>
            </w:r>
          </w:p>
        </w:tc>
        <w:tc>
          <w:tcPr>
            <w:tcW w:type="dxa" w:w="215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是，由有权限的人工承担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Archive / Audit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记录当前有效版本及审查过程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不适用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5FB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2"/>
              </w:rPr>
              <w:t>比赛推荐表述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系统不把大模型回答直接作为高风险业务结论。AI 负责理解和辅助，规则引擎负责可复现判断，人工负责最终复核；每一步都可追溯到事实、规则、版本和责任主体。</w:t>
            </w:r>
          </w:p>
        </w:tc>
      </w:tr>
    </w:tbl>
    <w:p/>
    <w:p>
      <w:pPr>
        <w:pStyle w:val="Heading1"/>
      </w:pPr>
      <w:r>
        <w:t>14 安全、隐私与匿名评审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比赛 Demo 仅使用合成或脱敏数据，不放真实客户、账号、身份证、银行卡、真实企业内部资料。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Secret 只进入环境变量，不进入仓库、PPT、截图或演示页面。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评委账号使用专用演示账号，不要求评委自行注册。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系统截图、PPT、视频、智能体页面中不得出现学校名称、参赛队员、指导教师或其他可识别参赛身份信息。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截图前关闭浏览器书签栏、GitHub 账号头像、开发者邮箱、真实终端用户名、IDE 路径等身份线索。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后台保留审计日志，但对比赛评委只开放必要页面和演示数据。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3E6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B98722"/>
                <w:sz w:val="22"/>
              </w:rPr>
              <w:t>匿名检查优先级：P0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赛事说明将匿名评审列为强制要求。最终提交前应对 PPT、视频字幕、旁白、智能体 UI、截图、示例数据逐项全文检查。</w:t>
            </w:r>
          </w:p>
        </w:tc>
      </w:tr>
    </w:tbl>
    <w:p/>
    <w:p>
      <w:pPr>
        <w:pStyle w:val="Heading1"/>
      </w:pPr>
      <w:r>
        <w:t>15 部署与运行方案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91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校赛版要求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部署方式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沿用当前 Docker Compose 栈，部署到稳定公网服务器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访问入口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HTTPS 公网地址，评审期持续可访问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评委账号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预创建 reviewer 账号及密码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演示数据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部署后预置 F1/F2，减少评委首次进入的等待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外部模型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可选增强；核心 compliance / review / archive 必须在外部模型不可用时仍可演示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重置能力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准备管理员重置脚本，便于恢复演示环境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健康检查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/healthz + ready check + 首页人工确认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数据备份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评审期固定 Demo 数据快照，可快速恢复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trHeight w:val="2381" w:hRule="atLeast"/>
        </w:trPr>
        <w:tc>
          <w:tcPr>
            <w:tcW w:type="dxa" w:w="9972"/>
            <w:shd w:fill="F4F8FB"/>
            <w:tcBorders>
              <w:top w:val="dashed" w:sz="10" w:color="1EA7E1"/>
              <w:left w:val="dashed" w:sz="10" w:color="1EA7E1"/>
              <w:bottom w:val="dashed" w:sz="10" w:color="1EA7E1"/>
              <w:right w:val="dashed" w:sz="10" w:color="1EA7E1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C2138"/>
                <w:sz w:val="24"/>
              </w:rPr>
              <w:t>【截图待补 S-07】</w:t>
              <w:br/>
              <w:t>公网比赛环境首页</w:t>
              <w:br/>
            </w:r>
            <w:r>
              <w:rPr>
                <w:rFonts w:ascii="Noto Sans CJK SC" w:hAnsi="Noto Sans CJK SC" w:eastAsia="Noto Sans CJK SC"/>
                <w:color w:val="5C6773"/>
                <w:sz w:val="19"/>
              </w:rPr>
              <w:t>浏览器地址栏可见正式 HTTPS 域名，首页展示金融合规 Demo 入口。</w:t>
            </w:r>
            <w:r>
              <w:rPr>
                <w:rFonts w:ascii="Noto Sans CJK SC" w:hAnsi="Noto Sans CJK SC" w:eastAsia="Noto Sans CJK SC"/>
                <w:color w:val="2FB7A3"/>
                <w:sz w:val="17"/>
              </w:rPr>
              <w:br/>
              <w:t>采集要求：不要在截图中出现服务器 IP、管理端口、云账号信息。</w:t>
            </w:r>
          </w:p>
        </w:tc>
      </w:tr>
    </w:tbl>
    <w:p>
      <w:pPr>
        <w:pStyle w:val="LCCaption"/>
        <w:jc w:val="center"/>
      </w:pPr>
      <w:r>
        <w:t>图 S-07  公网比赛环境首页（待系统完成后替换）</w:t>
      </w:r>
    </w:p>
    <w:p/>
    <w:p>
      <w:pPr>
        <w:pStyle w:val="Heading1"/>
      </w:pPr>
      <w:r>
        <w:t>16 测试与验收标准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633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最低验收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 Rules 单测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命中 / 未命中 / 多规则 / 缺字段 / 类型错误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Finance Template 单测</w:t>
            </w:r>
          </w:p>
        </w:tc>
        <w:tc>
          <w:tcPr>
            <w:tcW w:type="dxa" w:w="6633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完整事实 rendered；缺关键字段 blocked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Dataset 校验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F1/F2 数据、source_ref、rule id、模板字段可解析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E2E F1</w:t>
            </w:r>
          </w:p>
        </w:tc>
        <w:tc>
          <w:tcPr>
            <w:tcW w:type="dxa" w:w="6633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材料→Facts→compliance→Review→draft→Archive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E2E F2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多风险规则命中 + 人工复核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Stale</w:t>
            </w:r>
          </w:p>
        </w:tc>
        <w:tc>
          <w:tcPr>
            <w:tcW w:type="dxa" w:w="6633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新 FactsVersion 使旧结果失效并重新执行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回归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Python pytest/ruff、Java mvn test、Web typecheck/vitest/build、OpenAPI validation、Compose smoke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部署验收</w:t>
            </w:r>
          </w:p>
        </w:tc>
        <w:tc>
          <w:tcPr>
            <w:tcW w:type="dxa" w:w="6633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公网、账号、F1/F2、无外部 LLM 条件下核心链路可用</w:t>
            </w:r>
          </w:p>
        </w:tc>
      </w:tr>
    </w:tbl>
    <w:p/>
    <w:p>
      <w:pPr>
        <w:pStyle w:val="Heading1"/>
      </w:pPr>
      <w:r>
        <w:t>17 文件级最小改造清单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25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 / 动作</w:t>
            </w:r>
          </w:p>
        </w:tc>
        <w:tc>
          <w:tcPr>
            <w:tcW w:type="dxa" w:w="3685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engine/rules/corpus/finance/finance_sources.json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比赛监管/制度依据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engine/rules/corpus/finance/finance_rules.json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6–10 条 compliance 规则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engine/rules/corpus/finance/finance_templates.json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金融合规审查报告模板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engine/rules/corpus/finance/README.md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Pack 说明、数据边界、Demo 审批声明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demo_cases/finance_compliance_demo/index.json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数据集索引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demo_cases/finance_compliance_demo/case-f1.json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企业准入案例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demo_cases/finance_compliance_demo/case-f2.json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异常交易案例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demo_cases/finance_compliance_demo/README.md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案例说明与匿名数据声明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tests/unit/test_finance_rules.py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规则测试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tests/unit/test_finance_templates.py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模板测试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新增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web/src/config/scenario.ts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Finance Profile 文案与显隐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小改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scripts/import_three_case_demo.py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增加 dataset-dir / dataset id，复用原导入逻辑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小改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web 导航/首页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Finance Profile、演示入口、法律页隐藏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小改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README.md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增加 Finance Compliance Pack 与比赛 Demo 说明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可选新增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scripts/reset_competition_demo.py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7"/>
              </w:rPr>
              <w:t>评审环境一键恢复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CEEEE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B54747"/>
                <w:sz w:val="22"/>
              </w:rPr>
              <w:t>明确不做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不新增数据库表、不新增 rule family、不新增 case.finance schema、不重构 Engine、不重做前端、不删除 Legal Pack、不建设实时反欺诈流式平台、不为了比赛增加向量数据库。</w:t>
            </w:r>
          </w:p>
        </w:tc>
      </w:tr>
    </w:tbl>
    <w:p/>
    <w:p>
      <w:pPr>
        <w:pStyle w:val="Heading1"/>
      </w:pPr>
      <w:r>
        <w:t>18 校赛演示流程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1. 评委登录比赛专用账号，进入“金融合规示范场景”。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2. 打开 F1 企业客户业务准入审查，查看已上传业务材料。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3. 查看/确认关键事实，生成并确认 FactsVersion。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4. 启动合规研判，展示逐规则命中、trace、监管依据和版本信息。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5. 进入人工复核页面，批准或退回当前 Artifact。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6. 生成金融合规审查报告 draft.v2，并展示“仅供辅助研判、待人工复核”标识。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7. 完成案件级 Archive，展示可追溯归档。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8. 快速切换 F2，展示多规则风险组合命中。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9. 修改 F1/F2 一个关键事实，确认新 FactsVersion，展示旧 Artifact stale。</w:t>
      </w:r>
    </w:p>
    <w:p>
      <w:pPr>
        <w:spacing w:after="60"/>
        <w:ind w:left="198" w:hanging="198"/>
      </w:pPr>
      <w:r>
        <w:rPr>
          <w:rFonts w:ascii="Noto Sans CJK SC" w:hAnsi="Noto Sans CJK SC" w:eastAsia="Noto Sans CJK SC"/>
          <w:color w:val="17212B"/>
          <w:sz w:val="20"/>
        </w:rPr>
        <w:t>10. 重新执行并生成新版本结果，完成“事实变化—旧结论失效—重新研判”的闭环。</w:t>
      </w:r>
    </w:p>
    <w:p>
      <w:pPr>
        <w:pStyle w:val="Heading1"/>
      </w:pPr>
      <w:r>
        <w:t>19 比赛材料与截图准备</w:t>
      </w:r>
    </w:p>
    <w:p>
      <w:pPr>
        <w:spacing w:after="140"/>
      </w:pPr>
      <w:r>
        <w:rPr>
          <w:rFonts w:ascii="Noto Sans CJK SC" w:hAnsi="Noto Sans CJK SC" w:eastAsia="Noto Sans CJK SC"/>
          <w:color w:val="5C6773"/>
          <w:sz w:val="21"/>
        </w:rPr>
        <w:t>赛事提交建议包括不超过 20 页 PPT、6 分钟以内视频和可访问的智能体链接。系统研发阶段应同步准备可用于 PPT 与视频的固定截图素材。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截图</w:t>
            </w:r>
          </w:p>
        </w:tc>
        <w:tc>
          <w:tcPr>
            <w:tcW w:type="dxa" w:w="4649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S-01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比赛版首页 / 金融合规示范入口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封面后产品展示、应用结果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S-02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规则结果 + trace + 依据</w:t>
            </w:r>
          </w:p>
        </w:tc>
        <w:tc>
          <w:tcPr>
            <w:tcW w:type="dxa" w:w="464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技术创新 / 可解释性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S-03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Facts 核验 / FactsVersion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数据处理 / 人机协同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S-04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合规审查报告</w:t>
            </w:r>
          </w:p>
        </w:tc>
        <w:tc>
          <w:tcPr>
            <w:tcW w:type="dxa" w:w="464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结果呈现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S-05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Stale 失效传播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核心创新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S-06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F1/F2 工作台</w:t>
            </w:r>
          </w:p>
        </w:tc>
        <w:tc>
          <w:tcPr>
            <w:tcW w:type="dxa" w:w="464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应用场景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S-07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公网部署首页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可用性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S-08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人工复核详情</w:t>
            </w:r>
          </w:p>
        </w:tc>
        <w:tc>
          <w:tcPr>
            <w:tcW w:type="dxa" w:w="464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Human-in-the-loop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S-09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Archive / Audit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审计追溯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S-10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系统架构图</w:t>
            </w:r>
          </w:p>
        </w:tc>
        <w:tc>
          <w:tcPr>
            <w:tcW w:type="dxa" w:w="464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方案总览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截图统一使用 16:9 可裁切区域；推荐浏览器 1440×900 或 1920×1080。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统一演示数据名称：企业客户 A、交易事项 B，不出现真实组织或人员。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所有截图使用相同主题、相同账号和相同 Demo 版本，避免 PPT 视觉跳变。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7212B"/>
          <w:sz w:val="20"/>
        </w:rPr>
        <w:t>截图最好在最终公网比赛环境获取，以避免本地端口、调试标记和开发信息进入材料。</w:t>
      </w:r>
    </w:p>
    <w:p>
      <w:pPr>
        <w:pStyle w:val="Heading1"/>
      </w:pPr>
      <w:r>
        <w:t>20 版本冻结与后续演进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91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校赛冻结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题目、Finance Profile、F1/F2、核心演示链路、品牌与技术架构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区域赛可增强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更多金融规则、更强材料理解、更丰富监管依据、交互体验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全国赛可增强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多行业 Domain Pack、监管知识检索、图关系分析、多租户能力、真实数据适配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比赛后产品化</w:t>
            </w:r>
          </w:p>
        </w:tc>
        <w:tc>
          <w:tcPr>
            <w:tcW w:type="dxa" w:w="69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再讨论金融专用 schema、真实机构接口、规则运营后台、在线监测等，不在校赛抢做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5FB"/>
            <w:tcMar>
              <w:top w:w="170" w:type="dxa"/>
              <w:start w:w="200" w:type="dxa"/>
              <w:bottom w:w="170" w:type="dxa"/>
              <w:end w:w="200" w:type="dxa"/>
            </w:tcMar>
            <w:tcBorders>
              <w:top w:val="single" w:sz="6" w:color="1EA7E1"/>
              <w:left w:val="single" w:sz="10" w:color="1EA7E1"/>
              <w:bottom w:val="single" w:sz="6" w:color="1EA7E1"/>
              <w:right w:val="single" w:sz="6" w:color="1EA7E1"/>
            </w:tcBorders>
          </w:tcPr>
          <w:p>
            <w:r>
              <w:rPr>
                <w:rFonts w:ascii="Noto Sans CJK SC" w:hAnsi="Noto Sans CJK SC" w:eastAsia="Noto Sans CJK SC"/>
                <w:b/>
                <w:color w:val="0C2138"/>
                <w:sz w:val="22"/>
              </w:rPr>
              <w:t>冻结原则</w:t>
              <w:br/>
            </w:r>
            <w:r>
              <w:rPr>
                <w:rFonts w:ascii="Noto Sans CJK SC" w:hAnsi="Noto Sans CJK SC" w:eastAsia="Noto Sans CJK SC"/>
                <w:color w:val="17212B"/>
                <w:sz w:val="20"/>
              </w:rPr>
              <w:t>校赛版本一旦完成，后续优先修稳定性和展示质量，不再进行核心架构重构。比赛作品晋级后可以更新内容，但主题与题目应保持一致，因此顶层叙事现在就应固定。</w:t>
            </w:r>
          </w:p>
        </w:tc>
      </w:tr>
    </w:tbl>
    <w:p/>
    <w:p>
      <w:pPr>
        <w:pStyle w:val="Heading1"/>
      </w:pPr>
      <w:r>
        <w:t>附录A 术语映射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LexCyber 内部术语</w:t>
            </w:r>
          </w:p>
        </w:tc>
        <w:tc>
          <w:tcPr>
            <w:tcW w:type="dxa" w:w="3969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比赛展示术语</w:t>
            </w:r>
          </w:p>
        </w:tc>
        <w:tc>
          <w:tcPr>
            <w:tcW w:type="dxa" w:w="2381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是否改后端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case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审查事项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facts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事实核验 / 已确认事实</w:t>
            </w:r>
          </w:p>
        </w:tc>
        <w:tc>
          <w:tcPr>
            <w:tcW w:type="dxa" w:w="238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legal_source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监管依据 / 规则依据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compliance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合规研判</w:t>
            </w:r>
          </w:p>
        </w:tc>
        <w:tc>
          <w:tcPr>
            <w:tcW w:type="dxa" w:w="238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review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人工复核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artifact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分析结果版本</w:t>
            </w:r>
          </w:p>
        </w:tc>
        <w:tc>
          <w:tcPr>
            <w:tcW w:type="dxa" w:w="238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draft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审查报告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archive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审计归档</w:t>
            </w:r>
          </w:p>
        </w:tc>
        <w:tc>
          <w:tcPr>
            <w:tcW w:type="dxa" w:w="238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stale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依据已变化 / 需重新研判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附录B 截图素材清单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551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素材</w:t>
            </w:r>
          </w:p>
        </w:tc>
        <w:tc>
          <w:tcPr>
            <w:tcW w:type="dxa" w:w="1417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082"/>
            <w:shd w:fill="0C213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S-01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首页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必须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网域衡鉴 LexCyber 品牌 + Finance Demo 入口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S-02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规则 trace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必须</w:t>
            </w:r>
          </w:p>
        </w:tc>
        <w:tc>
          <w:tcPr>
            <w:tcW w:type="dxa" w:w="408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规则 ID/版本/命中/依据清晰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S-03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FactsVersion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必须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关键金融事实 + 确认状态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S-04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审查报告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必须</w:t>
            </w:r>
          </w:p>
        </w:tc>
        <w:tc>
          <w:tcPr>
            <w:tcW w:type="dxa" w:w="408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draft.v2 + 待复核说明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Stale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必须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旧结果 stale + 新版本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S-06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工作台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建议</w:t>
            </w:r>
          </w:p>
        </w:tc>
        <w:tc>
          <w:tcPr>
            <w:tcW w:type="dxa" w:w="408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F1/F2 状态卡片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S-07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公网首页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建议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HTTPS 正式地址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S-08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Review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必须</w:t>
            </w:r>
          </w:p>
        </w:tc>
        <w:tc>
          <w:tcPr>
            <w:tcW w:type="dxa" w:w="408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人工批准/退回界面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S-09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Archive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建议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归档版本和 manifest</w:t>
            </w:r>
          </w:p>
        </w:tc>
      </w:tr>
      <w:tr>
        <w:trPr>
          <w:cantSplit/>
        </w:trP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S-10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架构图</w:t>
            </w:r>
          </w:p>
        </w:tc>
        <w:tc>
          <w:tcPr>
            <w:tcW w:type="dxa" w:w="141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必须</w:t>
            </w:r>
          </w:p>
        </w:tc>
        <w:tc>
          <w:tcPr>
            <w:tcW w:type="dxa" w:w="408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7212B"/>
                <w:sz w:val="18"/>
              </w:rPr>
              <w:t>可由 PPT 重新绘制，不一定截图</w:t>
            </w:r>
          </w:p>
        </w:tc>
      </w:tr>
    </w:tbl>
    <w:p/>
    <w:p>
      <w:pPr>
        <w:pStyle w:val="Heading1"/>
      </w:pPr>
      <w:r>
        <w:t>附录C 最终 Done Checklist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LexCyber 品牌与 Legal Pack 完整保留；核心 schema/API 无比赛特供破坏性修改。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Finance sources ≥ 3；compliance rules ≥ 6；finance template ≥ 1。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F1/F2 可独立完成从 Facts 到 Review/Report/Archive 的演示。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Stale 演示可稳定重复。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外部 LLM 不可用时核心演示仍可进行。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公网环境、评委账号、Demo 数据、健康检查全部就绪。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PPT/视频/UI 全部完成匿名检查。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关键截图 S-01～S-10 已采集并归档。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全量回归通过；Demo 重置流程可执行。</w:t>
      </w:r>
    </w:p>
    <w:p>
      <w:pPr>
        <w:spacing w:after="60"/>
      </w:pPr>
      <w:r>
        <w:rPr>
          <w:rFonts w:ascii="Noto Sans CJK SC" w:hAnsi="Noto Sans CJK SC" w:eastAsia="Noto Sans CJK SC"/>
          <w:color w:val="17212B"/>
          <w:sz w:val="20"/>
        </w:rPr>
        <w:t>☐  提交前再次对照官网最新报名须知和系统提示。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C67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C67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D8E0E8"/>
      </w:pBdr>
    </w:pPr>
    <w:r>
      <w:rPr>
        <w:rFonts w:ascii="Noto Sans CJK SC" w:hAnsi="Noto Sans CJK SC" w:eastAsia="Noto Sans CJK SC"/>
        <w:color w:val="5C6773"/>
        <w:sz w:val="17"/>
      </w:rPr>
      <w:t>网域衡鉴 LexCyber  |  校赛版本系统说明书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C21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79C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B7A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C21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CSubtitle">
    <w:name w:val="LC Subtitle"/>
    <w:pPr>
      <w:spacing w:after="160"/>
    </w:pPr>
    <w:rPr>
      <w:rFonts w:ascii="Noto Sans CJK SC" w:hAnsi="Noto Sans CJK SC" w:eastAsia="Noto Sans CJK SC"/>
      <w:color w:val="5C6773"/>
      <w:sz w:val="28"/>
    </w:rPr>
  </w:style>
  <w:style w:type="paragraph" w:customStyle="1" w:styleId="LCCaption">
    <w:name w:val="LC Caption"/>
    <w:pPr>
      <w:spacing w:after="80"/>
    </w:pPr>
    <w:rPr>
      <w:rFonts w:ascii="Noto Sans CJK SC" w:hAnsi="Noto Sans CJK SC" w:eastAsia="Noto Sans CJK SC"/>
      <w:color w:val="5C6773"/>
      <w:sz w:val="18"/>
    </w:rPr>
  </w:style>
  <w:style w:type="paragraph" w:customStyle="1" w:styleId="LCCallout">
    <w:name w:val="LC Callout"/>
    <w:pPr>
      <w:spacing w:after="100"/>
    </w:pPr>
    <w:rPr>
      <w:rFonts w:ascii="Noto Sans CJK SC" w:hAnsi="Noto Sans CJK SC" w:eastAsia="Noto Sans CJK SC"/>
      <w:b/>
      <w:color w:val="0C213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