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N"/>
        <w:jc w:val="center"/>
      </w:pPr>
      <w:r>
        <w:t>网域衡鉴 LexCyber</w:t>
      </w:r>
    </w:p>
    <w:p>
      <w:pPr>
        <w:pStyle w:val="SubtitleCN"/>
        <w:jc w:val="center"/>
      </w:pPr>
      <w:r>
        <w:t>校赛选题内容说明方案（完整稿）</w:t>
      </w:r>
    </w:p>
    <w:p>
      <w:pPr>
        <w:jc w:val="center"/>
      </w:pPr>
      <w:r>
        <w:rPr>
          <w:b/>
          <w:color w:val="0078A0"/>
          <w:sz w:val="28"/>
        </w:rPr>
        <w:t>通用赛道 · 金融方向</w:t>
      </w:r>
    </w:p>
    <w:p/>
    <w:tbl>
      <w:tblPr>
        <w:tblW w:type="auto" w:w="0"/>
        <w:jc w:val="center"/>
        <w:tblLook w:firstColumn="1" w:firstRow="1" w:lastColumn="0" w:lastRow="0" w:noHBand="0" w:noVBand="1" w:val="04A0"/>
      </w:tblPr>
      <w:tblGrid>
        <w:gridCol w:w="9972"/>
      </w:tblGrid>
      <w:tr>
        <w:trPr>
          <w:cantSplit/>
        </w:trPr>
        <w:tc>
          <w:tcPr>
            <w:tcW w:type="dxa" w:w="9972"/>
            <w:shd w:fill="E8F5F7"/>
          </w:tcPr>
          <w:p>
            <w:pPr>
              <w:keepLines/>
            </w:pPr>
            <w:r>
              <w:rPr>
                <w:b/>
                <w:color w:val="0D4A6E"/>
                <w:sz w:val="22"/>
              </w:rPr>
              <w:t>当前选题</w:t>
            </w:r>
          </w:p>
          <w:p>
            <w:pPr>
              <w:keepLines/>
              <w:spacing w:before="40" w:after="40"/>
            </w:pPr>
            <w:r>
              <w:rPr>
                <w:sz w:val="20"/>
              </w:rPr>
              <w:t>网域衡鉴 LexCyber——面向高风险业务的可信可审计 AI Agent 平台</w:t>
              <w:br/>
              <w:t>——金融合规与风险辅助研判应用</w:t>
            </w:r>
          </w:p>
        </w:tc>
      </w:tr>
    </w:tbl>
    <w:p/>
    <w:p/>
    <w:p>
      <w:pPr>
        <w:jc w:val="center"/>
      </w:pPr>
      <w:r>
        <w:rPr>
          <w:color w:val="505A64"/>
          <w:sz w:val="20"/>
        </w:rPr>
        <w:t>文档用途：报名选题说明 / 校赛作品内容说明 / PPT与视频口径统一 / 答辩口径准备</w:t>
      </w:r>
    </w:p>
    <w:p>
      <w:pPr>
        <w:jc w:val="center"/>
      </w:pPr>
      <w:r>
        <w:rPr>
          <w:color w:val="646E78"/>
          <w:sz w:val="19"/>
        </w:rPr>
        <w:t>版本：校赛规划版 · 2026-10</w:t>
      </w:r>
    </w:p>
    <w:p>
      <w:r>
        <w:br w:type="page"/>
      </w:r>
    </w:p>
    <w:p>
      <w:pPr>
        <w:pStyle w:val="H1CN"/>
      </w:pPr>
      <w:r>
        <w:t>0. 文档定位与使用方式</w:t>
      </w:r>
    </w:p>
    <w:p>
      <w:r>
        <w:t>本方案不是新的系统架构说明书，而是针对当前已确定的比赛选题，给出一套统一、可直接复用的“内容表达框架”。其目标是让报名表、PPT、视频、系统首页、评委体验、答辩陈述中的项目定位、问题定义、技术叙事、应用价值和风险边界保持一致。</w:t>
      </w:r>
    </w:p>
    <w:p>
      <w:pPr>
        <w:ind w:left="283" w:hanging="142"/>
      </w:pPr>
      <w:r>
        <w:rPr>
          <w:rFonts w:ascii="Noto Sans CJK SC" w:hAnsi="Noto Sans CJK SC" w:eastAsia="Noto Sans CJK SC"/>
        </w:rPr>
        <w:t>• 系统主体始终是“网域衡鉴 LexCyber”，不将产品改名为单一金融助手。</w:t>
      </w:r>
    </w:p>
    <w:p>
      <w:pPr>
        <w:ind w:left="283" w:hanging="142"/>
      </w:pPr>
      <w:r>
        <w:rPr>
          <w:rFonts w:ascii="Noto Sans CJK SC" w:hAnsi="Noto Sans CJK SC" w:eastAsia="Noto Sans CJK SC"/>
        </w:rPr>
        <w:t>• 比赛赛道选择为通用赛道金融方向，金融合规与风险辅助研判作为本次行业应用示范。</w:t>
      </w:r>
    </w:p>
    <w:p>
      <w:pPr>
        <w:ind w:left="283" w:hanging="142"/>
      </w:pPr>
      <w:r>
        <w:rPr>
          <w:rFonts w:ascii="Noto Sans CJK SC" w:hAnsi="Noto Sans CJK SC" w:eastAsia="Noto Sans CJK SC"/>
        </w:rPr>
        <w:t>• 技术叙事以现有系统能力为基础：事实版本、规则注册、可解释执行、人工复核、失效传播、审计归档。</w:t>
      </w:r>
    </w:p>
    <w:p>
      <w:pPr>
        <w:ind w:left="283" w:hanging="142"/>
      </w:pPr>
      <w:r>
        <w:rPr>
          <w:rFonts w:ascii="Noto Sans CJK SC" w:hAnsi="Noto Sans CJK SC" w:eastAsia="Noto Sans CJK SC"/>
        </w:rPr>
        <w:t>• 比赛适配只增加 Finance Compliance Pack、金融演示数据和轻量 UI Profile，不改变平台核心。</w:t>
      </w:r>
    </w:p>
    <w:p>
      <w:pPr>
        <w:ind w:left="283" w:hanging="142"/>
      </w:pPr>
      <w:r>
        <w:rPr>
          <w:rFonts w:ascii="Noto Sans CJK SC" w:hAnsi="Noto Sans CJK SC" w:eastAsia="Noto Sans CJK SC"/>
        </w:rPr>
        <w:t>• 所有高风险输出统一定位为辅助研判，不替代最终人工决策。</w:t>
      </w:r>
    </w:p>
    <w:tbl>
      <w:tblPr>
        <w:tblW w:type="auto" w:w="0"/>
        <w:jc w:val="center"/>
        <w:tblLook w:firstColumn="1" w:firstRow="1" w:lastColumn="0" w:lastRow="0" w:noHBand="0" w:noVBand="1" w:val="04A0"/>
      </w:tblPr>
      <w:tblGrid>
        <w:gridCol w:w="9972"/>
      </w:tblGrid>
      <w:tr>
        <w:trPr>
          <w:cantSplit/>
        </w:trPr>
        <w:tc>
          <w:tcPr>
            <w:tcW w:type="dxa" w:w="9972"/>
            <w:shd w:fill="EAF4FB"/>
          </w:tcPr>
          <w:p>
            <w:pPr>
              <w:keepLines/>
            </w:pPr>
            <w:r>
              <w:rPr>
                <w:b/>
                <w:color w:val="0D4A6E"/>
                <w:sz w:val="22"/>
              </w:rPr>
              <w:t>一句话原则</w:t>
            </w:r>
          </w:p>
          <w:p>
            <w:pPr>
              <w:keepLines/>
              <w:spacing w:before="40" w:after="40"/>
            </w:pPr>
            <w:r>
              <w:rPr>
                <w:sz w:val="20"/>
              </w:rPr>
              <w:t>不是“把 LexCyber 改成金融系统”，而是“用 LexCyber 证明同一套可信 Agent 平台可以在金融合规这一高风险场景中落地”。</w:t>
            </w:r>
          </w:p>
        </w:tc>
      </w:tr>
    </w:tbl>
    <w:p/>
    <w:p>
      <w:pPr>
        <w:pStyle w:val="H1CN"/>
      </w:pPr>
      <w:r>
        <w:t>1. 当前选题标准化定义</w:t>
      </w:r>
    </w:p>
    <w:tbl>
      <w:tblPr>
        <w:tblStyle w:val="TableGrid"/>
        <w:tblW w:type="auto" w:w="0"/>
        <w:jc w:val="center"/>
        <w:tblLook w:firstColumn="1" w:firstRow="1" w:lastColumn="0" w:lastRow="0" w:noHBand="0" w:noVBand="1" w:val="04A0"/>
      </w:tblPr>
      <w:tblGrid>
        <w:gridCol w:w="4986"/>
        <w:gridCol w:w="4986"/>
      </w:tblGrid>
      <w:tr>
        <w:trPr>
          <w:cantSplit/>
        </w:trPr>
        <w:tc>
          <w:tcPr>
            <w:tcW w:type="dxa" w:w="2268"/>
            <w:vAlign w:val="center"/>
            <w:shd w:fill="163A5F"/>
          </w:tcPr>
          <w:p>
            <w:pPr>
              <w:keepNext/>
              <w:jc w:val="center"/>
            </w:pPr>
            <w:r/>
            <w:r>
              <w:rPr>
                <w:rFonts w:ascii="Noto Sans CJK SC" w:hAnsi="Noto Sans CJK SC" w:eastAsia="Noto Sans CJK SC"/>
                <w:b/>
                <w:color w:val="FFFFFF"/>
                <w:sz w:val="18"/>
              </w:rPr>
              <w:t>项目</w:t>
            </w:r>
          </w:p>
        </w:tc>
        <w:tc>
          <w:tcPr>
            <w:tcW w:type="dxa" w:w="6236"/>
            <w:vAlign w:val="center"/>
            <w:shd w:fill="163A5F"/>
          </w:tcPr>
          <w:p>
            <w:pPr>
              <w:keepNext/>
              <w:jc w:val="center"/>
            </w:pPr>
            <w:r/>
            <w:r>
              <w:rPr>
                <w:rFonts w:ascii="Noto Sans CJK SC" w:hAnsi="Noto Sans CJK SC" w:eastAsia="Noto Sans CJK SC"/>
                <w:b/>
                <w:color w:val="FFFFFF"/>
                <w:sz w:val="18"/>
              </w:rPr>
              <w:t>建议口径</w:t>
            </w:r>
          </w:p>
        </w:tc>
      </w:tr>
      <w:tr>
        <w:trPr>
          <w:cantSplit/>
        </w:trPr>
        <w:tc>
          <w:tcPr>
            <w:tcW w:type="dxa" w:w="2268"/>
            <w:vAlign w:val="center"/>
            <w:shd w:fill="F6F9FC"/>
          </w:tcPr>
          <w:p>
            <w:r/>
            <w:r>
              <w:rPr>
                <w:rFonts w:ascii="Noto Sans CJK SC" w:hAnsi="Noto Sans CJK SC" w:eastAsia="Noto Sans CJK SC"/>
                <w:b w:val="0"/>
                <w:sz w:val="18"/>
              </w:rPr>
              <w:t>参赛赛道</w:t>
            </w:r>
          </w:p>
        </w:tc>
        <w:tc>
          <w:tcPr>
            <w:tcW w:type="dxa" w:w="6236"/>
            <w:vAlign w:val="center"/>
            <w:shd w:fill="F6F9FC"/>
          </w:tcPr>
          <w:p>
            <w:r/>
            <w:r>
              <w:rPr>
                <w:rFonts w:ascii="Noto Sans CJK SC" w:hAnsi="Noto Sans CJK SC" w:eastAsia="Noto Sans CJK SC"/>
                <w:b w:val="0"/>
                <w:sz w:val="18"/>
              </w:rPr>
              <w:t>通用赛道</w:t>
            </w:r>
          </w:p>
        </w:tc>
      </w:tr>
      <w:tr>
        <w:trPr>
          <w:cantSplit/>
        </w:trPr>
        <w:tc>
          <w:tcPr>
            <w:tcW w:type="dxa" w:w="2268"/>
            <w:vAlign w:val="center"/>
          </w:tcPr>
          <w:p>
            <w:r/>
            <w:r>
              <w:rPr>
                <w:rFonts w:ascii="Noto Sans CJK SC" w:hAnsi="Noto Sans CJK SC" w:eastAsia="Noto Sans CJK SC"/>
                <w:b w:val="0"/>
                <w:sz w:val="18"/>
              </w:rPr>
              <w:t>命题领域</w:t>
            </w:r>
          </w:p>
        </w:tc>
        <w:tc>
          <w:tcPr>
            <w:tcW w:type="dxa" w:w="6236"/>
            <w:vAlign w:val="center"/>
          </w:tcPr>
          <w:p>
            <w:r/>
            <w:r>
              <w:rPr>
                <w:rFonts w:ascii="Noto Sans CJK SC" w:hAnsi="Noto Sans CJK SC" w:eastAsia="Noto Sans CJK SC"/>
                <w:b w:val="0"/>
                <w:sz w:val="18"/>
              </w:rPr>
              <w:t>金融</w:t>
            </w:r>
          </w:p>
        </w:tc>
      </w:tr>
      <w:tr>
        <w:trPr>
          <w:cantSplit/>
        </w:trPr>
        <w:tc>
          <w:tcPr>
            <w:tcW w:type="dxa" w:w="2268"/>
            <w:vAlign w:val="center"/>
            <w:shd w:fill="F6F9FC"/>
          </w:tcPr>
          <w:p>
            <w:r/>
            <w:r>
              <w:rPr>
                <w:rFonts w:ascii="Noto Sans CJK SC" w:hAnsi="Noto Sans CJK SC" w:eastAsia="Noto Sans CJK SC"/>
                <w:b w:val="0"/>
                <w:sz w:val="18"/>
              </w:rPr>
              <w:t>产品品牌</w:t>
            </w:r>
          </w:p>
        </w:tc>
        <w:tc>
          <w:tcPr>
            <w:tcW w:type="dxa" w:w="6236"/>
            <w:vAlign w:val="center"/>
            <w:shd w:fill="F6F9FC"/>
          </w:tcPr>
          <w:p>
            <w:r/>
            <w:r>
              <w:rPr>
                <w:rFonts w:ascii="Noto Sans CJK SC" w:hAnsi="Noto Sans CJK SC" w:eastAsia="Noto Sans CJK SC"/>
                <w:b w:val="0"/>
                <w:sz w:val="18"/>
              </w:rPr>
              <w:t>网域衡鉴 LexCyber</w:t>
            </w:r>
          </w:p>
        </w:tc>
      </w:tr>
      <w:tr>
        <w:trPr>
          <w:cantSplit/>
        </w:trPr>
        <w:tc>
          <w:tcPr>
            <w:tcW w:type="dxa" w:w="2268"/>
            <w:vAlign w:val="center"/>
          </w:tcPr>
          <w:p>
            <w:r/>
            <w:r>
              <w:rPr>
                <w:rFonts w:ascii="Noto Sans CJK SC" w:hAnsi="Noto Sans CJK SC" w:eastAsia="Noto Sans CJK SC"/>
                <w:b w:val="0"/>
                <w:sz w:val="18"/>
              </w:rPr>
              <w:t>作品定位</w:t>
            </w:r>
          </w:p>
        </w:tc>
        <w:tc>
          <w:tcPr>
            <w:tcW w:type="dxa" w:w="6236"/>
            <w:vAlign w:val="center"/>
          </w:tcPr>
          <w:p>
            <w:r/>
            <w:r>
              <w:rPr>
                <w:rFonts w:ascii="Noto Sans CJK SC" w:hAnsi="Noto Sans CJK SC" w:eastAsia="Noto Sans CJK SC"/>
                <w:b w:val="0"/>
                <w:sz w:val="18"/>
              </w:rPr>
              <w:t>面向高风险业务的可信可审计 AI Agent 平台</w:t>
            </w:r>
          </w:p>
        </w:tc>
      </w:tr>
      <w:tr>
        <w:trPr>
          <w:cantSplit/>
        </w:trPr>
        <w:tc>
          <w:tcPr>
            <w:tcW w:type="dxa" w:w="2268"/>
            <w:vAlign w:val="center"/>
            <w:shd w:fill="F6F9FC"/>
          </w:tcPr>
          <w:p>
            <w:r/>
            <w:r>
              <w:rPr>
                <w:rFonts w:ascii="Noto Sans CJK SC" w:hAnsi="Noto Sans CJK SC" w:eastAsia="Noto Sans CJK SC"/>
                <w:b w:val="0"/>
                <w:sz w:val="18"/>
              </w:rPr>
              <w:t>校赛应用场景</w:t>
            </w:r>
          </w:p>
        </w:tc>
        <w:tc>
          <w:tcPr>
            <w:tcW w:type="dxa" w:w="6236"/>
            <w:vAlign w:val="center"/>
            <w:shd w:fill="F6F9FC"/>
          </w:tcPr>
          <w:p>
            <w:r/>
            <w:r>
              <w:rPr>
                <w:rFonts w:ascii="Noto Sans CJK SC" w:hAnsi="Noto Sans CJK SC" w:eastAsia="Noto Sans CJK SC"/>
                <w:b w:val="0"/>
                <w:sz w:val="18"/>
              </w:rPr>
              <w:t>金融合规与风险辅助研判</w:t>
            </w:r>
          </w:p>
        </w:tc>
      </w:tr>
      <w:tr>
        <w:trPr>
          <w:cantSplit/>
        </w:trPr>
        <w:tc>
          <w:tcPr>
            <w:tcW w:type="dxa" w:w="2268"/>
            <w:vAlign w:val="center"/>
          </w:tcPr>
          <w:p>
            <w:r/>
            <w:r>
              <w:rPr>
                <w:rFonts w:ascii="Noto Sans CJK SC" w:hAnsi="Noto Sans CJK SC" w:eastAsia="Noto Sans CJK SC"/>
                <w:b w:val="0"/>
                <w:sz w:val="18"/>
              </w:rPr>
              <w:t>核心用户</w:t>
            </w:r>
          </w:p>
        </w:tc>
        <w:tc>
          <w:tcPr>
            <w:tcW w:type="dxa" w:w="6236"/>
            <w:vAlign w:val="center"/>
          </w:tcPr>
          <w:p>
            <w:r/>
            <w:r>
              <w:rPr>
                <w:rFonts w:ascii="Noto Sans CJK SC" w:hAnsi="Noto Sans CJK SC" w:eastAsia="Noto Sans CJK SC"/>
                <w:b w:val="0"/>
                <w:sz w:val="18"/>
              </w:rPr>
              <w:t>金融机构合规人员、风险审查人员、业务审核人员、复核人员</w:t>
            </w:r>
          </w:p>
        </w:tc>
      </w:tr>
      <w:tr>
        <w:trPr>
          <w:cantSplit/>
        </w:trPr>
        <w:tc>
          <w:tcPr>
            <w:tcW w:type="dxa" w:w="2268"/>
            <w:vAlign w:val="center"/>
            <w:shd w:fill="F6F9FC"/>
          </w:tcPr>
          <w:p>
            <w:r/>
            <w:r>
              <w:rPr>
                <w:rFonts w:ascii="Noto Sans CJK SC" w:hAnsi="Noto Sans CJK SC" w:eastAsia="Noto Sans CJK SC"/>
                <w:b w:val="0"/>
                <w:sz w:val="18"/>
              </w:rPr>
              <w:t>核心目标</w:t>
            </w:r>
          </w:p>
        </w:tc>
        <w:tc>
          <w:tcPr>
            <w:tcW w:type="dxa" w:w="6236"/>
            <w:vAlign w:val="center"/>
            <w:shd w:fill="F6F9FC"/>
          </w:tcPr>
          <w:p>
            <w:r/>
            <w:r>
              <w:rPr>
                <w:rFonts w:ascii="Noto Sans CJK SC" w:hAnsi="Noto Sans CJK SC" w:eastAsia="Noto Sans CJK SC"/>
                <w:b w:val="0"/>
                <w:sz w:val="18"/>
              </w:rPr>
              <w:t>让 AI 输出从“可生成”升级为“可核验、可解释、可复核、可追溯”</w:t>
            </w:r>
          </w:p>
        </w:tc>
      </w:tr>
      <w:tr>
        <w:trPr>
          <w:cantSplit/>
        </w:trPr>
        <w:tc>
          <w:tcPr>
            <w:tcW w:type="dxa" w:w="2268"/>
            <w:vAlign w:val="center"/>
          </w:tcPr>
          <w:p>
            <w:r/>
            <w:r>
              <w:rPr>
                <w:rFonts w:ascii="Noto Sans CJK SC" w:hAnsi="Noto Sans CJK SC" w:eastAsia="Noto Sans CJK SC"/>
                <w:b w:val="0"/>
                <w:sz w:val="18"/>
              </w:rPr>
              <w:t>核心边界</w:t>
            </w:r>
          </w:p>
        </w:tc>
        <w:tc>
          <w:tcPr>
            <w:tcW w:type="dxa" w:w="6236"/>
            <w:vAlign w:val="center"/>
          </w:tcPr>
          <w:p>
            <w:r/>
            <w:r>
              <w:rPr>
                <w:rFonts w:ascii="Noto Sans CJK SC" w:hAnsi="Noto Sans CJK SC" w:eastAsia="Noto Sans CJK SC"/>
                <w:b w:val="0"/>
                <w:sz w:val="18"/>
              </w:rPr>
              <w:t>系统提供风险与合规辅助，不自动替代人工审批或最终责任判断</w:t>
            </w:r>
          </w:p>
        </w:tc>
      </w:tr>
    </w:tbl>
    <w:p/>
    <w:p>
      <w:pPr>
        <w:pStyle w:val="H2CN"/>
      </w:pPr>
      <w:r>
        <w:t>推荐正式作品名称</w:t>
      </w:r>
    </w:p>
    <w:tbl>
      <w:tblPr>
        <w:tblW w:type="auto" w:w="0"/>
        <w:jc w:val="center"/>
        <w:tblLook w:firstColumn="1" w:firstRow="1" w:lastColumn="0" w:lastRow="0" w:noHBand="0" w:noVBand="1" w:val="04A0"/>
      </w:tblPr>
      <w:tblGrid>
        <w:gridCol w:w="9972"/>
      </w:tblGrid>
      <w:tr>
        <w:trPr>
          <w:cantSplit/>
        </w:trPr>
        <w:tc>
          <w:tcPr>
            <w:tcW w:type="dxa" w:w="9972"/>
            <w:shd w:fill="F0F6FB"/>
          </w:tcPr>
          <w:p>
            <w:pPr>
              <w:keepLines/>
            </w:pPr>
            <w:r>
              <w:rPr>
                <w:b/>
                <w:color w:val="0D4A6E"/>
                <w:sz w:val="22"/>
              </w:rPr>
              <w:t>主标题</w:t>
            </w:r>
          </w:p>
          <w:p>
            <w:pPr>
              <w:keepLines/>
              <w:spacing w:before="40" w:after="40"/>
            </w:pPr>
            <w:r>
              <w:rPr>
                <w:sz w:val="20"/>
              </w:rPr>
              <w:t>网域衡鉴 LexCyber——面向高风险业务的可信可审计 AI Agent 平台</w:t>
            </w:r>
          </w:p>
        </w:tc>
      </w:tr>
    </w:tbl>
    <w:p/>
    <w:tbl>
      <w:tblPr>
        <w:tblW w:type="auto" w:w="0"/>
        <w:jc w:val="center"/>
        <w:tblLook w:firstColumn="1" w:firstRow="1" w:lastColumn="0" w:lastRow="0" w:noHBand="0" w:noVBand="1" w:val="04A0"/>
      </w:tblPr>
      <w:tblGrid>
        <w:gridCol w:w="9972"/>
      </w:tblGrid>
      <w:tr>
        <w:trPr>
          <w:cantSplit/>
        </w:trPr>
        <w:tc>
          <w:tcPr>
            <w:tcW w:type="dxa" w:w="9972"/>
            <w:shd w:fill="F7FAFC"/>
          </w:tcPr>
          <w:p>
            <w:pPr>
              <w:keepLines/>
            </w:pPr>
            <w:r>
              <w:rPr>
                <w:b/>
                <w:color w:val="0D4A6E"/>
                <w:sz w:val="22"/>
              </w:rPr>
              <w:t>副标题</w:t>
            </w:r>
          </w:p>
          <w:p>
            <w:pPr>
              <w:keepLines/>
              <w:spacing w:before="40" w:after="40"/>
            </w:pPr>
            <w:r>
              <w:rPr>
                <w:sz w:val="20"/>
              </w:rPr>
              <w:t>金融合规与风险辅助研判应用</w:t>
            </w:r>
          </w:p>
        </w:tc>
      </w:tr>
    </w:tbl>
    <w:p/>
    <w:p>
      <w:pPr>
        <w:pStyle w:val="H2CN"/>
      </w:pPr>
      <w:r>
        <w:t>可用于海报或封面的短标题</w:t>
      </w:r>
    </w:p>
    <w:p>
      <w:pPr>
        <w:ind w:left="283" w:hanging="142"/>
      </w:pPr>
      <w:r>
        <w:rPr>
          <w:rFonts w:ascii="Noto Sans CJK SC" w:hAnsi="Noto Sans CJK SC" w:eastAsia="Noto Sans CJK SC"/>
        </w:rPr>
        <w:t>• 网域衡鉴 LexCyber：可审计金融合规智能体平台</w:t>
      </w:r>
    </w:p>
    <w:p>
      <w:pPr>
        <w:ind w:left="283" w:hanging="142"/>
      </w:pPr>
      <w:r>
        <w:rPr>
          <w:rFonts w:ascii="Noto Sans CJK SC" w:hAnsi="Noto Sans CJK SC" w:eastAsia="Noto Sans CJK SC"/>
        </w:rPr>
        <w:t>• 网域衡鉴 LexCyber：可信 AI Agent 的金融合规应用</w:t>
      </w:r>
    </w:p>
    <w:p>
      <w:pPr>
        <w:ind w:left="283" w:hanging="142"/>
      </w:pPr>
      <w:r>
        <w:rPr>
          <w:rFonts w:ascii="Noto Sans CJK SC" w:hAnsi="Noto Sans CJK SC" w:eastAsia="Noto Sans CJK SC"/>
        </w:rPr>
        <w:t>• 网域衡鉴 LexCyber：让高风险 AI 决策可核验、可复核、可追溯</w:t>
      </w:r>
    </w:p>
    <w:p>
      <w:pPr>
        <w:pStyle w:val="H1CN"/>
      </w:pPr>
      <w:r>
        <w:t>2. 与比赛方向的匹配说明</w:t>
      </w:r>
    </w:p>
    <w:p>
      <w:r>
        <w:t>本届比赛通用赛道采用自主命题方式，围绕教育、医疗、制造、消费、金融、出海六大领域展开。金融方向面向金融科技与风险管理场景。LexCyber 当前最强的能力集中在规则化判断、依据管理、事实确认、人工复核和审计留痕，与金融合规、风险审查这一类高风险业务的需求高度匹配。</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163A5F"/>
          </w:tcPr>
          <w:p>
            <w:pPr>
              <w:keepNext/>
              <w:jc w:val="center"/>
            </w:pPr>
            <w:r/>
            <w:r>
              <w:rPr>
                <w:rFonts w:ascii="Noto Sans CJK SC" w:hAnsi="Noto Sans CJK SC" w:eastAsia="Noto Sans CJK SC"/>
                <w:b/>
                <w:color w:val="FFFFFF"/>
                <w:sz w:val="18"/>
              </w:rPr>
              <w:t>比赛关注点</w:t>
            </w:r>
          </w:p>
        </w:tc>
        <w:tc>
          <w:tcPr>
            <w:tcW w:type="dxa" w:w="4986"/>
            <w:vAlign w:val="center"/>
            <w:shd w:fill="163A5F"/>
          </w:tcPr>
          <w:p>
            <w:pPr>
              <w:keepNext/>
              <w:jc w:val="center"/>
            </w:pPr>
            <w:r/>
            <w:r>
              <w:rPr>
                <w:rFonts w:ascii="Noto Sans CJK SC" w:hAnsi="Noto Sans CJK SC" w:eastAsia="Noto Sans CJK SC"/>
                <w:b/>
                <w:color w:val="FFFFFF"/>
                <w:sz w:val="18"/>
              </w:rPr>
              <w:t>LexCyber 对应内容</w:t>
            </w:r>
          </w:p>
        </w:tc>
      </w:tr>
      <w:tr>
        <w:trPr>
          <w:cantSplit/>
        </w:trPr>
        <w:tc>
          <w:tcPr>
            <w:tcW w:type="dxa" w:w="4986"/>
            <w:vAlign w:val="center"/>
            <w:shd w:fill="F6F9FC"/>
          </w:tcPr>
          <w:p>
            <w:r/>
            <w:r>
              <w:rPr>
                <w:rFonts w:ascii="Noto Sans CJK SC" w:hAnsi="Noto Sans CJK SC" w:eastAsia="Noto Sans CJK SC"/>
                <w:b w:val="0"/>
                <w:sz w:val="18"/>
              </w:rPr>
              <w:t>AI Agent</w:t>
            </w:r>
          </w:p>
        </w:tc>
        <w:tc>
          <w:tcPr>
            <w:tcW w:type="dxa" w:w="4986"/>
            <w:vAlign w:val="center"/>
            <w:shd w:fill="F6F9FC"/>
          </w:tcPr>
          <w:p>
            <w:r/>
            <w:r>
              <w:rPr>
                <w:rFonts w:ascii="Noto Sans CJK SC" w:hAnsi="Noto Sans CJK SC" w:eastAsia="Noto Sans CJK SC"/>
                <w:b w:val="0"/>
                <w:sz w:val="18"/>
              </w:rPr>
              <w:t>系统包含材料理解、任务执行、规则分析、结果生成和复核流程，可作为完整 Agent 工作流展示。</w:t>
            </w:r>
          </w:p>
        </w:tc>
      </w:tr>
      <w:tr>
        <w:trPr>
          <w:cantSplit/>
        </w:trPr>
        <w:tc>
          <w:tcPr>
            <w:tcW w:type="dxa" w:w="4986"/>
            <w:vAlign w:val="center"/>
          </w:tcPr>
          <w:p>
            <w:r/>
            <w:r>
              <w:rPr>
                <w:rFonts w:ascii="Noto Sans CJK SC" w:hAnsi="Noto Sans CJK SC" w:eastAsia="Noto Sans CJK SC"/>
                <w:b w:val="0"/>
                <w:sz w:val="18"/>
              </w:rPr>
              <w:t>大模型应用</w:t>
            </w:r>
          </w:p>
        </w:tc>
        <w:tc>
          <w:tcPr>
            <w:tcW w:type="dxa" w:w="4986"/>
            <w:vAlign w:val="center"/>
          </w:tcPr>
          <w:p>
            <w:r/>
            <w:r>
              <w:rPr>
                <w:rFonts w:ascii="Noto Sans CJK SC" w:hAnsi="Noto Sans CJK SC" w:eastAsia="Noto Sans CJK SC"/>
                <w:b w:val="0"/>
                <w:sz w:val="18"/>
              </w:rPr>
              <w:t>大模型用于非结构化材料理解、候选事实提取、解释与交互；高风险判断由规则与人工复核兜底。</w:t>
            </w:r>
          </w:p>
        </w:tc>
      </w:tr>
      <w:tr>
        <w:trPr>
          <w:cantSplit/>
        </w:trPr>
        <w:tc>
          <w:tcPr>
            <w:tcW w:type="dxa" w:w="4986"/>
            <w:vAlign w:val="center"/>
            <w:shd w:fill="F6F9FC"/>
          </w:tcPr>
          <w:p>
            <w:r/>
            <w:r>
              <w:rPr>
                <w:rFonts w:ascii="Noto Sans CJK SC" w:hAnsi="Noto Sans CJK SC" w:eastAsia="Noto Sans CJK SC"/>
                <w:b w:val="0"/>
                <w:sz w:val="18"/>
              </w:rPr>
              <w:t>真实业务场景</w:t>
            </w:r>
          </w:p>
        </w:tc>
        <w:tc>
          <w:tcPr>
            <w:tcW w:type="dxa" w:w="4986"/>
            <w:vAlign w:val="center"/>
            <w:shd w:fill="F6F9FC"/>
          </w:tcPr>
          <w:p>
            <w:r/>
            <w:r>
              <w:rPr>
                <w:rFonts w:ascii="Noto Sans CJK SC" w:hAnsi="Noto Sans CJK SC" w:eastAsia="Noto Sans CJK SC"/>
                <w:b w:val="0"/>
                <w:sz w:val="18"/>
              </w:rPr>
              <w:t>选择企业准入合规审查、异常交易风险辅助研判作为可演示业务。</w:t>
            </w:r>
          </w:p>
        </w:tc>
      </w:tr>
      <w:tr>
        <w:trPr>
          <w:cantSplit/>
        </w:trPr>
        <w:tc>
          <w:tcPr>
            <w:tcW w:type="dxa" w:w="4986"/>
            <w:vAlign w:val="center"/>
          </w:tcPr>
          <w:p>
            <w:r/>
            <w:r>
              <w:rPr>
                <w:rFonts w:ascii="Noto Sans CJK SC" w:hAnsi="Noto Sans CJK SC" w:eastAsia="Noto Sans CJK SC"/>
                <w:b w:val="0"/>
                <w:sz w:val="18"/>
              </w:rPr>
              <w:t>金融科技/风险管理</w:t>
            </w:r>
          </w:p>
        </w:tc>
        <w:tc>
          <w:tcPr>
            <w:tcW w:type="dxa" w:w="4986"/>
            <w:vAlign w:val="center"/>
          </w:tcPr>
          <w:p>
            <w:r/>
            <w:r>
              <w:rPr>
                <w:rFonts w:ascii="Noto Sans CJK SC" w:hAnsi="Noto Sans CJK SC" w:eastAsia="Noto Sans CJK SC"/>
                <w:b w:val="0"/>
                <w:sz w:val="18"/>
              </w:rPr>
              <w:t>通过监管依据、规则包、风险命中、人工复核、审计归档形成完整闭环。</w:t>
            </w:r>
          </w:p>
        </w:tc>
      </w:tr>
      <w:tr>
        <w:trPr>
          <w:cantSplit/>
        </w:trPr>
        <w:tc>
          <w:tcPr>
            <w:tcW w:type="dxa" w:w="4986"/>
            <w:vAlign w:val="center"/>
            <w:shd w:fill="F6F9FC"/>
          </w:tcPr>
          <w:p>
            <w:r/>
            <w:r>
              <w:rPr>
                <w:rFonts w:ascii="Noto Sans CJK SC" w:hAnsi="Noto Sans CJK SC" w:eastAsia="Noto Sans CJK SC"/>
                <w:b w:val="0"/>
                <w:sz w:val="18"/>
              </w:rPr>
              <w:t>可落地性</w:t>
            </w:r>
          </w:p>
        </w:tc>
        <w:tc>
          <w:tcPr>
            <w:tcW w:type="dxa" w:w="4986"/>
            <w:vAlign w:val="center"/>
            <w:shd w:fill="F6F9FC"/>
          </w:tcPr>
          <w:p>
            <w:r/>
            <w:r>
              <w:rPr>
                <w:rFonts w:ascii="Noto Sans CJK SC" w:hAnsi="Noto Sans CJK SC" w:eastAsia="Noto Sans CJK SC"/>
                <w:b w:val="0"/>
                <w:sz w:val="18"/>
              </w:rPr>
              <w:t>基于当前已实现系统进行行业能力包适配，不依赖重构新系统。</w:t>
            </w:r>
          </w:p>
        </w:tc>
      </w:tr>
    </w:tbl>
    <w:p/>
    <w:p>
      <w:pPr>
        <w:pStyle w:val="H1CN"/>
      </w:pPr>
      <w:r>
        <w:t>3. 选题背景与问题定义</w:t>
      </w:r>
    </w:p>
    <w:p>
      <w:pPr>
        <w:pStyle w:val="H2CN"/>
      </w:pPr>
      <w:r>
        <w:t>3.1 选题背景</w:t>
      </w:r>
    </w:p>
    <w:p>
      <w:r>
        <w:t>金融合规与风险审查属于典型的高风险知识密集型业务。业务人员需要同时处理多份材料、结构化事实、规则条款、历史版本和人工复核记录。如果仅使用传统大模型问答方式，虽然能够提高材料阅读效率，但仍难以回答“依据是什么、用了哪一版规则、事实是否确认、谁复核过、事实变化后旧结论还能否继续使用”等关键问题。</w:t>
      </w:r>
    </w:p>
    <w:p>
      <w:pPr>
        <w:pStyle w:val="H2CN"/>
      </w:pPr>
      <w:r>
        <w:t>3.2 需要解决的核心问题</w:t>
      </w:r>
    </w:p>
    <w:p>
      <w:pPr>
        <w:ind w:left="255" w:hanging="198"/>
      </w:pPr>
      <w:r>
        <w:rPr>
          <w:b/>
        </w:rPr>
        <w:t xml:space="preserve">1. </w:t>
      </w:r>
      <w:r>
        <w:t>材料多、信息散：业务资料来自多份 PDF/DOCX，关键事实分散且难以统一核验。</w:t>
      </w:r>
    </w:p>
    <w:p>
      <w:pPr>
        <w:ind w:left="255" w:hanging="198"/>
      </w:pPr>
      <w:r>
        <w:rPr>
          <w:b/>
        </w:rPr>
        <w:t xml:space="preserve">2. </w:t>
      </w:r>
      <w:r>
        <w:t>规则复杂且会变化：监管规则、机构制度和风险规则存在版本、生效时间和适用范围。</w:t>
      </w:r>
    </w:p>
    <w:p>
      <w:pPr>
        <w:ind w:left="255" w:hanging="198"/>
      </w:pPr>
      <w:r>
        <w:rPr>
          <w:b/>
        </w:rPr>
        <w:t xml:space="preserve">3. </w:t>
      </w:r>
      <w:r>
        <w:t>AI 输出难追溯：传统生成式回答难以逐项解释命中条件、引用依据和输入快照。</w:t>
      </w:r>
    </w:p>
    <w:p>
      <w:pPr>
        <w:ind w:left="255" w:hanging="198"/>
      </w:pPr>
      <w:r>
        <w:rPr>
          <w:b/>
        </w:rPr>
        <w:t xml:space="preserve">4. </w:t>
      </w:r>
      <w:r>
        <w:t>人工复核链路割裂：AI 分析、人工确认、审批意见和最终归档往往分散在不同工具。</w:t>
      </w:r>
    </w:p>
    <w:p>
      <w:pPr>
        <w:ind w:left="255" w:hanging="198"/>
      </w:pPr>
      <w:r>
        <w:rPr>
          <w:b/>
        </w:rPr>
        <w:t xml:space="preserve">5. </w:t>
      </w:r>
      <w:r>
        <w:t>事实或规则变化后旧结论容易被误用：缺少自动失效和重新研判机制。</w:t>
      </w:r>
    </w:p>
    <w:tbl>
      <w:tblPr>
        <w:tblW w:type="auto" w:w="0"/>
        <w:jc w:val="center"/>
        <w:tblLook w:firstColumn="1" w:firstRow="1" w:lastColumn="0" w:lastRow="0" w:noHBand="0" w:noVBand="1" w:val="04A0"/>
      </w:tblPr>
      <w:tblGrid>
        <w:gridCol w:w="9972"/>
      </w:tblGrid>
      <w:tr>
        <w:trPr>
          <w:cantSplit/>
        </w:trPr>
        <w:tc>
          <w:tcPr>
            <w:tcW w:type="dxa" w:w="9972"/>
            <w:shd w:fill="EAF4FB"/>
          </w:tcPr>
          <w:p>
            <w:pPr>
              <w:keepLines/>
            </w:pPr>
            <w:r>
              <w:rPr>
                <w:b/>
                <w:color w:val="0D4A6E"/>
                <w:sz w:val="22"/>
              </w:rPr>
              <w:t>问题抽象</w:t>
            </w:r>
          </w:p>
          <w:p>
            <w:pPr>
              <w:keepLines/>
              <w:spacing w:before="40" w:after="40"/>
            </w:pPr>
            <w:r>
              <w:rPr>
                <w:sz w:val="20"/>
              </w:rPr>
              <w:t>本选题不把重点放在“AI 是否能给出一个答案”，而是放在“高风险业务中，这个答案能否被核验、解释、复核和追责”。</w:t>
            </w:r>
          </w:p>
        </w:tc>
      </w:tr>
    </w:tbl>
    <w:p/>
    <w:p>
      <w:pPr>
        <w:pStyle w:val="H1CN"/>
      </w:pPr>
      <w:r>
        <w:t>4. 解决方案总述</w:t>
      </w:r>
    </w:p>
    <w:p>
      <w:r>
        <w:t>网域衡鉴 LexCyber 提供一套可信可审计的 AI Agent 执行平台。系统将材料、事实、规则、执行结果、人工复核和归档统一纳入版本化生命周期。在本次金融方向中，通过 Finance Compliance Pack 增加金融监管依据、合规规则和审查报告模板，使现有平台直接支持金融合规与风险辅助研判。</w:t>
      </w:r>
    </w:p>
    <w:p>
      <w:pPr>
        <w:pStyle w:val="H2CN"/>
      </w:pPr>
      <w:r>
        <w:t>核心业务链路</w:t>
      </w:r>
    </w:p>
    <w:p>
      <w:pPr>
        <w:ind w:left="255" w:hanging="198"/>
      </w:pPr>
      <w:r>
        <w:rPr>
          <w:b/>
        </w:rPr>
        <w:t xml:space="preserve">1. </w:t>
      </w:r>
      <w:r>
        <w:t>业务材料上传</w:t>
      </w:r>
    </w:p>
    <w:p>
      <w:pPr>
        <w:ind w:left="255" w:hanging="198"/>
      </w:pPr>
      <w:r>
        <w:rPr>
          <w:b/>
        </w:rPr>
        <w:t xml:space="preserve">2. </w:t>
      </w:r>
      <w:r>
        <w:t>文档解析与证据定位</w:t>
      </w:r>
    </w:p>
    <w:p>
      <w:pPr>
        <w:ind w:left="255" w:hanging="198"/>
      </w:pPr>
      <w:r>
        <w:rPr>
          <w:b/>
        </w:rPr>
        <w:t xml:space="preserve">3. </w:t>
      </w:r>
      <w:r>
        <w:t>候选事实形成</w:t>
      </w:r>
    </w:p>
    <w:p>
      <w:pPr>
        <w:ind w:left="255" w:hanging="198"/>
      </w:pPr>
      <w:r>
        <w:rPr>
          <w:b/>
        </w:rPr>
        <w:t xml:space="preserve">4. </w:t>
      </w:r>
      <w:r>
        <w:t>人工核验并确认 FactsVersion</w:t>
      </w:r>
    </w:p>
    <w:p>
      <w:pPr>
        <w:ind w:left="255" w:hanging="198"/>
      </w:pPr>
      <w:r>
        <w:rPr>
          <w:b/>
        </w:rPr>
        <w:t xml:space="preserve">5. </w:t>
      </w:r>
      <w:r>
        <w:t>调用已批准的金融合规规则包</w:t>
      </w:r>
    </w:p>
    <w:p>
      <w:pPr>
        <w:ind w:left="255" w:hanging="198"/>
      </w:pPr>
      <w:r>
        <w:rPr>
          <w:b/>
        </w:rPr>
        <w:t xml:space="preserve">6. </w:t>
      </w:r>
      <w:r>
        <w:t>生成逐规则命中与条件 Trace</w:t>
      </w:r>
    </w:p>
    <w:p>
      <w:pPr>
        <w:ind w:left="255" w:hanging="198"/>
      </w:pPr>
      <w:r>
        <w:rPr>
          <w:b/>
        </w:rPr>
        <w:t xml:space="preserve">7. </w:t>
      </w:r>
      <w:r>
        <w:t>形成可审计 ArtifactVersion</w:t>
      </w:r>
    </w:p>
    <w:p>
      <w:pPr>
        <w:ind w:left="255" w:hanging="198"/>
      </w:pPr>
      <w:r>
        <w:rPr>
          <w:b/>
        </w:rPr>
        <w:t xml:space="preserve">8. </w:t>
      </w:r>
      <w:r>
        <w:t>进入 Human Review</w:t>
      </w:r>
    </w:p>
    <w:p>
      <w:pPr>
        <w:ind w:left="255" w:hanging="198"/>
      </w:pPr>
      <w:r>
        <w:rPr>
          <w:b/>
        </w:rPr>
        <w:t xml:space="preserve">9. </w:t>
      </w:r>
      <w:r>
        <w:t>生成合规审查报告</w:t>
      </w:r>
    </w:p>
    <w:p>
      <w:pPr>
        <w:ind w:left="255" w:hanging="198"/>
      </w:pPr>
      <w:r>
        <w:rPr>
          <w:b/>
        </w:rPr>
        <w:t xml:space="preserve">10. </w:t>
      </w:r>
      <w:r>
        <w:t>案件级审计归档</w:t>
      </w:r>
    </w:p>
    <w:p>
      <w:pPr>
        <w:pStyle w:val="H1CN"/>
      </w:pPr>
      <w:r>
        <w:t>5. 为什么必须保留“网域衡鉴 LexCyber”完整平台定位</w:t>
      </w:r>
    </w:p>
    <w:p>
      <w:r>
        <w:t>如果将项目直接改造成“金融助手”，会弱化当前已经形成的系统工程价值。LexCyber 的核心竞争力不在于某一个垂直问答页面，而在于同一套可审计生命周期能够承载不同高风险领域。金融只是本次校赛用于证明平台能力的行业应用。</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层级</w:t>
            </w:r>
          </w:p>
        </w:tc>
        <w:tc>
          <w:tcPr>
            <w:tcW w:type="dxa" w:w="3324"/>
            <w:vAlign w:val="center"/>
            <w:shd w:fill="163A5F"/>
          </w:tcPr>
          <w:p>
            <w:pPr>
              <w:keepNext/>
              <w:jc w:val="center"/>
            </w:pPr>
            <w:r/>
            <w:r>
              <w:rPr>
                <w:rFonts w:ascii="Noto Sans CJK SC" w:hAnsi="Noto Sans CJK SC" w:eastAsia="Noto Sans CJK SC"/>
                <w:b/>
                <w:color w:val="FFFFFF"/>
                <w:sz w:val="18"/>
              </w:rPr>
              <w:t>组成</w:t>
            </w:r>
          </w:p>
        </w:tc>
        <w:tc>
          <w:tcPr>
            <w:tcW w:type="dxa" w:w="3324"/>
            <w:vAlign w:val="center"/>
            <w:shd w:fill="163A5F"/>
          </w:tcPr>
          <w:p>
            <w:pPr>
              <w:keepNext/>
              <w:jc w:val="center"/>
            </w:pPr>
            <w:r/>
            <w:r>
              <w:rPr>
                <w:rFonts w:ascii="Noto Sans CJK SC" w:hAnsi="Noto Sans CJK SC" w:eastAsia="Noto Sans CJK SC"/>
                <w:b/>
                <w:color w:val="FFFFFF"/>
                <w:sz w:val="18"/>
              </w:rPr>
              <w:t>内容</w:t>
            </w:r>
          </w:p>
        </w:tc>
      </w:tr>
      <w:tr>
        <w:trPr>
          <w:cantSplit/>
        </w:trPr>
        <w:tc>
          <w:tcPr>
            <w:tcW w:type="dxa" w:w="3324"/>
            <w:vAlign w:val="center"/>
            <w:shd w:fill="F6F9FC"/>
          </w:tcPr>
          <w:p>
            <w:r/>
            <w:r>
              <w:rPr>
                <w:rFonts w:ascii="Noto Sans CJK SC" w:hAnsi="Noto Sans CJK SC" w:eastAsia="Noto Sans CJK SC"/>
                <w:b w:val="0"/>
                <w:sz w:val="18"/>
              </w:rPr>
              <w:t>平台层</w:t>
            </w:r>
          </w:p>
        </w:tc>
        <w:tc>
          <w:tcPr>
            <w:tcW w:type="dxa" w:w="3324"/>
            <w:vAlign w:val="center"/>
            <w:shd w:fill="F6F9FC"/>
          </w:tcPr>
          <w:p>
            <w:r/>
            <w:r>
              <w:rPr>
                <w:rFonts w:ascii="Noto Sans CJK SC" w:hAnsi="Noto Sans CJK SC" w:eastAsia="Noto Sans CJK SC"/>
                <w:b w:val="0"/>
                <w:sz w:val="18"/>
              </w:rPr>
              <w:t>网域衡鉴 LexCyber</w:t>
            </w:r>
          </w:p>
        </w:tc>
        <w:tc>
          <w:tcPr>
            <w:tcW w:type="dxa" w:w="3324"/>
            <w:vAlign w:val="center"/>
            <w:shd w:fill="F6F9FC"/>
          </w:tcPr>
          <w:p>
            <w:r/>
            <w:r>
              <w:rPr>
                <w:rFonts w:ascii="Noto Sans CJK SC" w:hAnsi="Noto Sans CJK SC" w:eastAsia="Noto Sans CJK SC"/>
                <w:b w:val="0"/>
                <w:sz w:val="18"/>
              </w:rPr>
              <w:t>事实版本、任务执行、规则注册、工件版本、人工复核、失效传播、审计归档</w:t>
            </w:r>
          </w:p>
        </w:tc>
      </w:tr>
      <w:tr>
        <w:trPr>
          <w:cantSplit/>
        </w:trPr>
        <w:tc>
          <w:tcPr>
            <w:tcW w:type="dxa" w:w="3324"/>
            <w:vAlign w:val="center"/>
          </w:tcPr>
          <w:p>
            <w:r/>
            <w:r>
              <w:rPr>
                <w:rFonts w:ascii="Noto Sans CJK SC" w:hAnsi="Noto Sans CJK SC" w:eastAsia="Noto Sans CJK SC"/>
                <w:b w:val="0"/>
                <w:sz w:val="18"/>
              </w:rPr>
              <w:t>既有领域包</w:t>
            </w:r>
          </w:p>
        </w:tc>
        <w:tc>
          <w:tcPr>
            <w:tcW w:type="dxa" w:w="3324"/>
            <w:vAlign w:val="center"/>
          </w:tcPr>
          <w:p>
            <w:r/>
            <w:r>
              <w:rPr>
                <w:rFonts w:ascii="Noto Sans CJK SC" w:hAnsi="Noto Sans CJK SC" w:eastAsia="Noto Sans CJK SC"/>
                <w:b w:val="0"/>
                <w:sz w:val="18"/>
              </w:rPr>
              <w:t>Legal Pack</w:t>
            </w:r>
          </w:p>
        </w:tc>
        <w:tc>
          <w:tcPr>
            <w:tcW w:type="dxa" w:w="3324"/>
            <w:vAlign w:val="center"/>
          </w:tcPr>
          <w:p>
            <w:r/>
            <w:r>
              <w:rPr>
                <w:rFonts w:ascii="Noto Sans CJK SC" w:hAnsi="Noto Sans CJK SC" w:eastAsia="Noto Sans CJK SC"/>
                <w:b w:val="0"/>
                <w:sz w:val="18"/>
              </w:rPr>
              <w:t>保留现有法律规则、法源、三案与文书能力</w:t>
            </w:r>
          </w:p>
        </w:tc>
      </w:tr>
      <w:tr>
        <w:trPr>
          <w:cantSplit/>
        </w:trPr>
        <w:tc>
          <w:tcPr>
            <w:tcW w:type="dxa" w:w="3324"/>
            <w:vAlign w:val="center"/>
            <w:shd w:fill="F6F9FC"/>
          </w:tcPr>
          <w:p>
            <w:r/>
            <w:r>
              <w:rPr>
                <w:rFonts w:ascii="Noto Sans CJK SC" w:hAnsi="Noto Sans CJK SC" w:eastAsia="Noto Sans CJK SC"/>
                <w:b w:val="0"/>
                <w:sz w:val="18"/>
              </w:rPr>
              <w:t>比赛新增领域包</w:t>
            </w:r>
          </w:p>
        </w:tc>
        <w:tc>
          <w:tcPr>
            <w:tcW w:type="dxa" w:w="3324"/>
            <w:vAlign w:val="center"/>
            <w:shd w:fill="F6F9FC"/>
          </w:tcPr>
          <w:p>
            <w:r/>
            <w:r>
              <w:rPr>
                <w:rFonts w:ascii="Noto Sans CJK SC" w:hAnsi="Noto Sans CJK SC" w:eastAsia="Noto Sans CJK SC"/>
                <w:b w:val="0"/>
                <w:sz w:val="18"/>
              </w:rPr>
              <w:t>Finance Compliance Pack</w:t>
            </w:r>
          </w:p>
        </w:tc>
        <w:tc>
          <w:tcPr>
            <w:tcW w:type="dxa" w:w="3324"/>
            <w:vAlign w:val="center"/>
            <w:shd w:fill="F6F9FC"/>
          </w:tcPr>
          <w:p>
            <w:r/>
            <w:r>
              <w:rPr>
                <w:rFonts w:ascii="Noto Sans CJK SC" w:hAnsi="Noto Sans CJK SC" w:eastAsia="Noto Sans CJK SC"/>
                <w:b w:val="0"/>
                <w:sz w:val="18"/>
              </w:rPr>
              <w:t>增加金融监管依据、合规规则、模板和 Demo 数据</w:t>
            </w:r>
          </w:p>
        </w:tc>
      </w:tr>
    </w:tbl>
    <w:p/>
    <w:p>
      <w:pPr>
        <w:pStyle w:val="H1CN"/>
      </w:pPr>
      <w:r>
        <w:t>6. 校赛金融应用场景设计</w:t>
      </w:r>
    </w:p>
    <w:p>
      <w:pPr>
        <w:pStyle w:val="H2CN"/>
      </w:pPr>
      <w:r>
        <w:t>6.1 场景 F1：企业客户业务准入合规审查</w:t>
      </w:r>
    </w:p>
    <w:p>
      <w:r>
        <w:t>面向企业客户准入、业务合作或账户开立前的材料审查场景。系统接收企业基本材料、实际控制人信息、业务用途说明、资金来源说明和其他支持材料，形成结构化事实并调用金融合规规则。</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163A5F"/>
          </w:tcPr>
          <w:p>
            <w:pPr>
              <w:keepNext/>
              <w:jc w:val="center"/>
            </w:pPr>
            <w:r/>
            <w:r>
              <w:rPr>
                <w:rFonts w:ascii="Noto Sans CJK SC" w:hAnsi="Noto Sans CJK SC" w:eastAsia="Noto Sans CJK SC"/>
                <w:b/>
                <w:color w:val="FFFFFF"/>
                <w:sz w:val="18"/>
              </w:rPr>
              <w:t>环节</w:t>
            </w:r>
          </w:p>
        </w:tc>
        <w:tc>
          <w:tcPr>
            <w:tcW w:type="dxa" w:w="4986"/>
            <w:vAlign w:val="center"/>
            <w:shd w:fill="163A5F"/>
          </w:tcPr>
          <w:p>
            <w:pPr>
              <w:keepNext/>
              <w:jc w:val="center"/>
            </w:pPr>
            <w:r/>
            <w:r>
              <w:rPr>
                <w:rFonts w:ascii="Noto Sans CJK SC" w:hAnsi="Noto Sans CJK SC" w:eastAsia="Noto Sans CJK SC"/>
                <w:b/>
                <w:color w:val="FFFFFF"/>
                <w:sz w:val="18"/>
              </w:rPr>
              <w:t>内容</w:t>
            </w:r>
          </w:p>
        </w:tc>
      </w:tr>
      <w:tr>
        <w:trPr>
          <w:cantSplit/>
        </w:trPr>
        <w:tc>
          <w:tcPr>
            <w:tcW w:type="dxa" w:w="4986"/>
            <w:vAlign w:val="center"/>
            <w:shd w:fill="F6F9FC"/>
          </w:tcPr>
          <w:p>
            <w:r/>
            <w:r>
              <w:rPr>
                <w:rFonts w:ascii="Noto Sans CJK SC" w:hAnsi="Noto Sans CJK SC" w:eastAsia="Noto Sans CJK SC"/>
                <w:b w:val="0"/>
                <w:sz w:val="18"/>
              </w:rPr>
              <w:t>输入</w:t>
            </w:r>
          </w:p>
        </w:tc>
        <w:tc>
          <w:tcPr>
            <w:tcW w:type="dxa" w:w="4986"/>
            <w:vAlign w:val="center"/>
            <w:shd w:fill="F6F9FC"/>
          </w:tcPr>
          <w:p>
            <w:r/>
            <w:r>
              <w:rPr>
                <w:rFonts w:ascii="Noto Sans CJK SC" w:hAnsi="Noto Sans CJK SC" w:eastAsia="Noto Sans CJK SC"/>
                <w:b w:val="0"/>
                <w:sz w:val="18"/>
              </w:rPr>
              <w:t>企业材料、实控人信息、业务用途、资金来源、支持文件</w:t>
            </w:r>
          </w:p>
        </w:tc>
      </w:tr>
      <w:tr>
        <w:trPr>
          <w:cantSplit/>
        </w:trPr>
        <w:tc>
          <w:tcPr>
            <w:tcW w:type="dxa" w:w="4986"/>
            <w:vAlign w:val="center"/>
          </w:tcPr>
          <w:p>
            <w:r/>
            <w:r>
              <w:rPr>
                <w:rFonts w:ascii="Noto Sans CJK SC" w:hAnsi="Noto Sans CJK SC" w:eastAsia="Noto Sans CJK SC"/>
                <w:b w:val="0"/>
                <w:sz w:val="18"/>
              </w:rPr>
              <w:t>事实示例</w:t>
            </w:r>
          </w:p>
        </w:tc>
        <w:tc>
          <w:tcPr>
            <w:tcW w:type="dxa" w:w="4986"/>
            <w:vAlign w:val="center"/>
          </w:tcPr>
          <w:p>
            <w:r/>
            <w:r>
              <w:rPr>
                <w:rFonts w:ascii="Noto Sans CJK SC" w:hAnsi="Noto Sans CJK SC" w:eastAsia="Noto Sans CJK SC"/>
                <w:b w:val="0"/>
                <w:sz w:val="18"/>
              </w:rPr>
              <w:t>beneficial_owner_verified / business_purpose_verified / source_of_funds_verified / supporting_documents_complete</w:t>
            </w:r>
          </w:p>
        </w:tc>
      </w:tr>
      <w:tr>
        <w:trPr>
          <w:cantSplit/>
        </w:trPr>
        <w:tc>
          <w:tcPr>
            <w:tcW w:type="dxa" w:w="4986"/>
            <w:vAlign w:val="center"/>
            <w:shd w:fill="F6F9FC"/>
          </w:tcPr>
          <w:p>
            <w:r/>
            <w:r>
              <w:rPr>
                <w:rFonts w:ascii="Noto Sans CJK SC" w:hAnsi="Noto Sans CJK SC" w:eastAsia="Noto Sans CJK SC"/>
                <w:b w:val="0"/>
                <w:sz w:val="18"/>
              </w:rPr>
              <w:t>分析</w:t>
            </w:r>
          </w:p>
        </w:tc>
        <w:tc>
          <w:tcPr>
            <w:tcW w:type="dxa" w:w="4986"/>
            <w:vAlign w:val="center"/>
            <w:shd w:fill="F6F9FC"/>
          </w:tcPr>
          <w:p>
            <w:r/>
            <w:r>
              <w:rPr>
                <w:rFonts w:ascii="Noto Sans CJK SC" w:hAnsi="Noto Sans CJK SC" w:eastAsia="Noto Sans CJK SC"/>
                <w:b w:val="0"/>
                <w:sz w:val="18"/>
              </w:rPr>
              <w:t>规则逐项匹配、缺失信息阻断、风险项识别</w:t>
            </w:r>
          </w:p>
        </w:tc>
      </w:tr>
      <w:tr>
        <w:trPr>
          <w:cantSplit/>
        </w:trPr>
        <w:tc>
          <w:tcPr>
            <w:tcW w:type="dxa" w:w="4986"/>
            <w:vAlign w:val="center"/>
          </w:tcPr>
          <w:p>
            <w:r/>
            <w:r>
              <w:rPr>
                <w:rFonts w:ascii="Noto Sans CJK SC" w:hAnsi="Noto Sans CJK SC" w:eastAsia="Noto Sans CJK SC"/>
                <w:b w:val="0"/>
                <w:sz w:val="18"/>
              </w:rPr>
              <w:t>输出</w:t>
            </w:r>
          </w:p>
        </w:tc>
        <w:tc>
          <w:tcPr>
            <w:tcW w:type="dxa" w:w="4986"/>
            <w:vAlign w:val="center"/>
          </w:tcPr>
          <w:p>
            <w:r/>
            <w:r>
              <w:rPr>
                <w:rFonts w:ascii="Noto Sans CJK SC" w:hAnsi="Noto Sans CJK SC" w:eastAsia="Noto Sans CJK SC"/>
                <w:b w:val="0"/>
                <w:sz w:val="18"/>
              </w:rPr>
              <w:t>需补材料项、增强审查建议、规则依据、人工复核任务</w:t>
            </w:r>
          </w:p>
        </w:tc>
      </w:tr>
      <w:tr>
        <w:trPr>
          <w:cantSplit/>
        </w:trPr>
        <w:tc>
          <w:tcPr>
            <w:tcW w:type="dxa" w:w="4986"/>
            <w:vAlign w:val="center"/>
            <w:shd w:fill="F6F9FC"/>
          </w:tcPr>
          <w:p>
            <w:r/>
            <w:r>
              <w:rPr>
                <w:rFonts w:ascii="Noto Sans CJK SC" w:hAnsi="Noto Sans CJK SC" w:eastAsia="Noto Sans CJK SC"/>
                <w:b w:val="0"/>
                <w:sz w:val="18"/>
              </w:rPr>
              <w:t>最终产物</w:t>
            </w:r>
          </w:p>
        </w:tc>
        <w:tc>
          <w:tcPr>
            <w:tcW w:type="dxa" w:w="4986"/>
            <w:vAlign w:val="center"/>
            <w:shd w:fill="F6F9FC"/>
          </w:tcPr>
          <w:p>
            <w:r/>
            <w:r>
              <w:rPr>
                <w:rFonts w:ascii="Noto Sans CJK SC" w:hAnsi="Noto Sans CJK SC" w:eastAsia="Noto Sans CJK SC"/>
                <w:b w:val="0"/>
                <w:sz w:val="18"/>
              </w:rPr>
              <w:t>金融合规审查报告 + 审计归档</w:t>
            </w:r>
          </w:p>
        </w:tc>
      </w:tr>
    </w:tbl>
    <w:p/>
    <w:p>
      <w:pPr>
        <w:pStyle w:val="H2CN"/>
      </w:pPr>
      <w:r>
        <w:t>6.2 场景 F2：异常交易风险辅助研判</w:t>
      </w:r>
    </w:p>
    <w:p>
      <w:r>
        <w:t>面向已汇总交易特征的风险筛查场景。比赛版不建设实时反欺诈引擎，而是基于已确认交易事实进行解释性风险规则执行，重点展示多风险指标如何被透明地触发、记录并交由人工复核。</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163A5F"/>
          </w:tcPr>
          <w:p>
            <w:pPr>
              <w:keepNext/>
              <w:jc w:val="center"/>
            </w:pPr>
            <w:r/>
            <w:r>
              <w:rPr>
                <w:rFonts w:ascii="Noto Sans CJK SC" w:hAnsi="Noto Sans CJK SC" w:eastAsia="Noto Sans CJK SC"/>
                <w:b/>
                <w:color w:val="FFFFFF"/>
                <w:sz w:val="18"/>
              </w:rPr>
              <w:t>项目</w:t>
            </w:r>
          </w:p>
        </w:tc>
        <w:tc>
          <w:tcPr>
            <w:tcW w:type="dxa" w:w="4986"/>
            <w:vAlign w:val="center"/>
            <w:shd w:fill="163A5F"/>
          </w:tcPr>
          <w:p>
            <w:pPr>
              <w:keepNext/>
              <w:jc w:val="center"/>
            </w:pPr>
            <w:r/>
            <w:r>
              <w:rPr>
                <w:rFonts w:ascii="Noto Sans CJK SC" w:hAnsi="Noto Sans CJK SC" w:eastAsia="Noto Sans CJK SC"/>
                <w:b/>
                <w:color w:val="FFFFFF"/>
                <w:sz w:val="18"/>
              </w:rPr>
              <w:t>说明</w:t>
            </w:r>
          </w:p>
        </w:tc>
      </w:tr>
      <w:tr>
        <w:trPr>
          <w:cantSplit/>
        </w:trPr>
        <w:tc>
          <w:tcPr>
            <w:tcW w:type="dxa" w:w="4986"/>
            <w:vAlign w:val="center"/>
            <w:shd w:fill="F6F9FC"/>
          </w:tcPr>
          <w:p>
            <w:r/>
            <w:r>
              <w:rPr>
                <w:rFonts w:ascii="Noto Sans CJK SC" w:hAnsi="Noto Sans CJK SC" w:eastAsia="Noto Sans CJK SC"/>
                <w:b w:val="0"/>
                <w:sz w:val="18"/>
              </w:rPr>
              <w:t>事实示例</w:t>
            </w:r>
          </w:p>
        </w:tc>
        <w:tc>
          <w:tcPr>
            <w:tcW w:type="dxa" w:w="4986"/>
            <w:vAlign w:val="center"/>
            <w:shd w:fill="F6F9FC"/>
          </w:tcPr>
          <w:p>
            <w:r/>
            <w:r>
              <w:rPr>
                <w:rFonts w:ascii="Noto Sans CJK SC" w:hAnsi="Noto Sans CJK SC" w:eastAsia="Noto Sans CJK SC"/>
                <w:b w:val="0"/>
                <w:sz w:val="18"/>
              </w:rPr>
              <w:t>account_age_days、transaction_frequency_24h、transaction_total_30d、cross_border_transaction、high_risk_region</w:t>
            </w:r>
          </w:p>
        </w:tc>
      </w:tr>
      <w:tr>
        <w:trPr>
          <w:cantSplit/>
        </w:trPr>
        <w:tc>
          <w:tcPr>
            <w:tcW w:type="dxa" w:w="4986"/>
            <w:vAlign w:val="center"/>
          </w:tcPr>
          <w:p>
            <w:r/>
            <w:r>
              <w:rPr>
                <w:rFonts w:ascii="Noto Sans CJK SC" w:hAnsi="Noto Sans CJK SC" w:eastAsia="Noto Sans CJK SC"/>
                <w:b w:val="0"/>
                <w:sz w:val="18"/>
              </w:rPr>
              <w:t>规则示例</w:t>
            </w:r>
          </w:p>
        </w:tc>
        <w:tc>
          <w:tcPr>
            <w:tcW w:type="dxa" w:w="4986"/>
            <w:vAlign w:val="center"/>
          </w:tcPr>
          <w:p>
            <w:r/>
            <w:r>
              <w:rPr>
                <w:rFonts w:ascii="Noto Sans CJK SC" w:hAnsi="Noto Sans CJK SC" w:eastAsia="Noto Sans CJK SC"/>
                <w:b w:val="0"/>
                <w:sz w:val="18"/>
              </w:rPr>
              <w:t>新账户高频交易、跨境风险因素、资金来源未确认、多风险因素组合</w:t>
            </w:r>
          </w:p>
        </w:tc>
      </w:tr>
      <w:tr>
        <w:trPr>
          <w:cantSplit/>
        </w:trPr>
        <w:tc>
          <w:tcPr>
            <w:tcW w:type="dxa" w:w="4986"/>
            <w:vAlign w:val="center"/>
            <w:shd w:fill="F6F9FC"/>
          </w:tcPr>
          <w:p>
            <w:r/>
            <w:r>
              <w:rPr>
                <w:rFonts w:ascii="Noto Sans CJK SC" w:hAnsi="Noto Sans CJK SC" w:eastAsia="Noto Sans CJK SC"/>
                <w:b w:val="0"/>
                <w:sz w:val="18"/>
              </w:rPr>
              <w:t>输出措辞</w:t>
            </w:r>
          </w:p>
        </w:tc>
        <w:tc>
          <w:tcPr>
            <w:tcW w:type="dxa" w:w="4986"/>
            <w:vAlign w:val="center"/>
            <w:shd w:fill="F6F9FC"/>
          </w:tcPr>
          <w:p>
            <w:r/>
            <w:r>
              <w:rPr>
                <w:rFonts w:ascii="Noto Sans CJK SC" w:hAnsi="Noto Sans CJK SC" w:eastAsia="Noto Sans CJK SC"/>
                <w:b w:val="0"/>
                <w:sz w:val="18"/>
              </w:rPr>
              <w:t>进入增强人工审查 / 建议补充核验 / 风险关注项</w:t>
            </w:r>
          </w:p>
        </w:tc>
      </w:tr>
      <w:tr>
        <w:trPr>
          <w:cantSplit/>
        </w:trPr>
        <w:tc>
          <w:tcPr>
            <w:tcW w:type="dxa" w:w="4986"/>
            <w:vAlign w:val="center"/>
          </w:tcPr>
          <w:p>
            <w:r/>
            <w:r>
              <w:rPr>
                <w:rFonts w:ascii="Noto Sans CJK SC" w:hAnsi="Noto Sans CJK SC" w:eastAsia="Noto Sans CJK SC"/>
                <w:b w:val="0"/>
                <w:sz w:val="18"/>
              </w:rPr>
              <w:t>明确不输出</w:t>
            </w:r>
          </w:p>
        </w:tc>
        <w:tc>
          <w:tcPr>
            <w:tcW w:type="dxa" w:w="4986"/>
            <w:vAlign w:val="center"/>
          </w:tcPr>
          <w:p>
            <w:r/>
            <w:r>
              <w:rPr>
                <w:rFonts w:ascii="Noto Sans CJK SC" w:hAnsi="Noto Sans CJK SC" w:eastAsia="Noto Sans CJK SC"/>
                <w:b w:val="0"/>
                <w:sz w:val="18"/>
              </w:rPr>
              <w:t>不直接下结论为欺诈、不替代机构最终风险决策</w:t>
            </w:r>
          </w:p>
        </w:tc>
      </w:tr>
    </w:tbl>
    <w:p/>
    <w:p>
      <w:pPr>
        <w:pStyle w:val="H2CN"/>
      </w:pPr>
      <w:r>
        <w:t>6.3 场景 F3：事实变化后的自动失效与重新研判</w:t>
      </w:r>
    </w:p>
    <w:p>
      <w:r>
        <w:t>第三个展示点不需要新建第三套业务案例，而是在 F1 或 F2 中修改一个关键事实，生成新的 FactsVersion。系统将基于旧事实的分析结果标记为 stale，并要求重新运行、重新复核，从而证明 LexCyber 对“输入变化后旧结论失效”的控制能力。</w:t>
      </w:r>
    </w:p>
    <w:tbl>
      <w:tblPr>
        <w:tblW w:type="auto" w:w="0"/>
        <w:jc w:val="center"/>
        <w:tblLook w:firstColumn="1" w:firstRow="1" w:lastColumn="0" w:lastRow="0" w:noHBand="0" w:noVBand="1" w:val="04A0"/>
      </w:tblPr>
      <w:tblGrid>
        <w:gridCol w:w="9972"/>
      </w:tblGrid>
      <w:tr>
        <w:trPr>
          <w:cantSplit/>
        </w:trPr>
        <w:tc>
          <w:tcPr>
            <w:tcW w:type="dxa" w:w="9972"/>
            <w:shd w:fill="EAF4FB"/>
          </w:tcPr>
          <w:p>
            <w:pPr>
              <w:keepLines/>
            </w:pPr>
            <w:r>
              <w:rPr>
                <w:b/>
                <w:color w:val="0D4A6E"/>
                <w:sz w:val="22"/>
              </w:rPr>
              <w:t>推荐演示变化</w:t>
            </w:r>
          </w:p>
          <w:p>
            <w:pPr>
              <w:keepLines/>
              <w:spacing w:before="40" w:after="40"/>
            </w:pPr>
            <w:r>
              <w:rPr>
                <w:sz w:val="20"/>
              </w:rPr>
              <w:t>source_of_funds_verified：false → true</w:t>
              <w:br/>
              <w:t>展示旧 Artifact 标记 stale → 重新执行 compliance → 新 Artifact → 重新复核。</w:t>
            </w:r>
          </w:p>
        </w:tc>
      </w:tr>
    </w:tbl>
    <w:p/>
    <w:p>
      <w:pPr>
        <w:pStyle w:val="H1CN"/>
      </w:pPr>
      <w:r>
        <w:t>7. Finance Compliance Pack 内容定义</w:t>
      </w:r>
    </w:p>
    <w:p>
      <w:pPr/>
      <w:r>
        <w:t>比赛版新增内容应尽量数据化、配置化，避免修改平台核心。</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内容包</w:t>
            </w:r>
          </w:p>
        </w:tc>
        <w:tc>
          <w:tcPr>
            <w:tcW w:type="dxa" w:w="3324"/>
            <w:vAlign w:val="center"/>
            <w:shd w:fill="163A5F"/>
          </w:tcPr>
          <w:p>
            <w:pPr>
              <w:keepNext/>
              <w:jc w:val="center"/>
            </w:pPr>
            <w:r/>
            <w:r>
              <w:rPr>
                <w:rFonts w:ascii="Noto Sans CJK SC" w:hAnsi="Noto Sans CJK SC" w:eastAsia="Noto Sans CJK SC"/>
                <w:b/>
                <w:color w:val="FFFFFF"/>
                <w:sz w:val="18"/>
              </w:rPr>
              <w:t>建议规模</w:t>
            </w:r>
          </w:p>
        </w:tc>
        <w:tc>
          <w:tcPr>
            <w:tcW w:type="dxa" w:w="3324"/>
            <w:vAlign w:val="center"/>
            <w:shd w:fill="163A5F"/>
          </w:tcPr>
          <w:p>
            <w:pPr>
              <w:keepNext/>
              <w:jc w:val="center"/>
            </w:pPr>
            <w:r/>
            <w:r>
              <w:rPr>
                <w:rFonts w:ascii="Noto Sans CJK SC" w:hAnsi="Noto Sans CJK SC" w:eastAsia="Noto Sans CJK SC"/>
                <w:b/>
                <w:color w:val="FFFFFF"/>
                <w:sz w:val="18"/>
              </w:rPr>
              <w:t>说明</w:t>
            </w:r>
          </w:p>
        </w:tc>
      </w:tr>
      <w:tr>
        <w:trPr>
          <w:cantSplit/>
        </w:trPr>
        <w:tc>
          <w:tcPr>
            <w:tcW w:type="dxa" w:w="3324"/>
            <w:vAlign w:val="center"/>
            <w:shd w:fill="F6F9FC"/>
          </w:tcPr>
          <w:p>
            <w:r/>
            <w:r>
              <w:rPr>
                <w:rFonts w:ascii="Noto Sans CJK SC" w:hAnsi="Noto Sans CJK SC" w:eastAsia="Noto Sans CJK SC"/>
                <w:b w:val="0"/>
                <w:sz w:val="18"/>
              </w:rPr>
              <w:t>Finance Sources</w:t>
            </w:r>
          </w:p>
        </w:tc>
        <w:tc>
          <w:tcPr>
            <w:tcW w:type="dxa" w:w="3324"/>
            <w:vAlign w:val="center"/>
            <w:shd w:fill="F6F9FC"/>
          </w:tcPr>
          <w:p>
            <w:r/>
            <w:r>
              <w:rPr>
                <w:rFonts w:ascii="Noto Sans CJK SC" w:hAnsi="Noto Sans CJK SC" w:eastAsia="Noto Sans CJK SC"/>
                <w:b w:val="0"/>
                <w:sz w:val="18"/>
              </w:rPr>
              <w:t>3–5 条</w:t>
            </w:r>
          </w:p>
        </w:tc>
        <w:tc>
          <w:tcPr>
            <w:tcW w:type="dxa" w:w="3324"/>
            <w:vAlign w:val="center"/>
            <w:shd w:fill="F6F9FC"/>
          </w:tcPr>
          <w:p>
            <w:r/>
            <w:r>
              <w:rPr>
                <w:rFonts w:ascii="Noto Sans CJK SC" w:hAnsi="Noto Sans CJK SC" w:eastAsia="Noto Sans CJK SC"/>
                <w:b w:val="0"/>
                <w:sz w:val="18"/>
              </w:rPr>
              <w:t>监管规范、机构合规制度、风险管理原则</w:t>
            </w:r>
          </w:p>
        </w:tc>
      </w:tr>
      <w:tr>
        <w:trPr>
          <w:cantSplit/>
        </w:trPr>
        <w:tc>
          <w:tcPr>
            <w:tcW w:type="dxa" w:w="3324"/>
            <w:vAlign w:val="center"/>
          </w:tcPr>
          <w:p>
            <w:r/>
            <w:r>
              <w:rPr>
                <w:rFonts w:ascii="Noto Sans CJK SC" w:hAnsi="Noto Sans CJK SC" w:eastAsia="Noto Sans CJK SC"/>
                <w:b w:val="0"/>
                <w:sz w:val="18"/>
              </w:rPr>
              <w:t>Finance Rules</w:t>
            </w:r>
          </w:p>
        </w:tc>
        <w:tc>
          <w:tcPr>
            <w:tcW w:type="dxa" w:w="3324"/>
            <w:vAlign w:val="center"/>
          </w:tcPr>
          <w:p>
            <w:r/>
            <w:r>
              <w:rPr>
                <w:rFonts w:ascii="Noto Sans CJK SC" w:hAnsi="Noto Sans CJK SC" w:eastAsia="Noto Sans CJK SC"/>
                <w:b w:val="0"/>
                <w:sz w:val="18"/>
              </w:rPr>
              <w:t>6–10 条</w:t>
            </w:r>
          </w:p>
        </w:tc>
        <w:tc>
          <w:tcPr>
            <w:tcW w:type="dxa" w:w="3324"/>
            <w:vAlign w:val="center"/>
          </w:tcPr>
          <w:p>
            <w:r/>
            <w:r>
              <w:rPr>
                <w:rFonts w:ascii="Noto Sans CJK SC" w:hAnsi="Noto Sans CJK SC" w:eastAsia="Noto Sans CJK SC"/>
                <w:b w:val="0"/>
                <w:sz w:val="18"/>
              </w:rPr>
              <w:t>全部复用 family=compliance，不新增 finance family</w:t>
            </w:r>
          </w:p>
        </w:tc>
      </w:tr>
      <w:tr>
        <w:trPr>
          <w:cantSplit/>
        </w:trPr>
        <w:tc>
          <w:tcPr>
            <w:tcW w:type="dxa" w:w="3324"/>
            <w:vAlign w:val="center"/>
            <w:shd w:fill="F6F9FC"/>
          </w:tcPr>
          <w:p>
            <w:r/>
            <w:r>
              <w:rPr>
                <w:rFonts w:ascii="Noto Sans CJK SC" w:hAnsi="Noto Sans CJK SC" w:eastAsia="Noto Sans CJK SC"/>
                <w:b w:val="0"/>
                <w:sz w:val="18"/>
              </w:rPr>
              <w:t>Finance Templates</w:t>
            </w:r>
          </w:p>
        </w:tc>
        <w:tc>
          <w:tcPr>
            <w:tcW w:type="dxa" w:w="3324"/>
            <w:vAlign w:val="center"/>
            <w:shd w:fill="F6F9FC"/>
          </w:tcPr>
          <w:p>
            <w:r/>
            <w:r>
              <w:rPr>
                <w:rFonts w:ascii="Noto Sans CJK SC" w:hAnsi="Noto Sans CJK SC" w:eastAsia="Noto Sans CJK SC"/>
                <w:b w:val="0"/>
                <w:sz w:val="18"/>
              </w:rPr>
              <w:t>1–2 份</w:t>
            </w:r>
          </w:p>
        </w:tc>
        <w:tc>
          <w:tcPr>
            <w:tcW w:type="dxa" w:w="3324"/>
            <w:vAlign w:val="center"/>
            <w:shd w:fill="F6F9FC"/>
          </w:tcPr>
          <w:p>
            <w:r/>
            <w:r>
              <w:rPr>
                <w:rFonts w:ascii="Noto Sans CJK SC" w:hAnsi="Noto Sans CJK SC" w:eastAsia="Noto Sans CJK SC"/>
                <w:b w:val="0"/>
                <w:sz w:val="18"/>
              </w:rPr>
              <w:t>金融合规审查报告、风险复核意见</w:t>
            </w:r>
          </w:p>
        </w:tc>
      </w:tr>
      <w:tr>
        <w:trPr>
          <w:cantSplit/>
        </w:trPr>
        <w:tc>
          <w:tcPr>
            <w:tcW w:type="dxa" w:w="3324"/>
            <w:vAlign w:val="center"/>
          </w:tcPr>
          <w:p>
            <w:r/>
            <w:r>
              <w:rPr>
                <w:rFonts w:ascii="Noto Sans CJK SC" w:hAnsi="Noto Sans CJK SC" w:eastAsia="Noto Sans CJK SC"/>
                <w:b w:val="0"/>
                <w:sz w:val="18"/>
              </w:rPr>
              <w:t>Finance Demo Dataset</w:t>
            </w:r>
          </w:p>
        </w:tc>
        <w:tc>
          <w:tcPr>
            <w:tcW w:type="dxa" w:w="3324"/>
            <w:vAlign w:val="center"/>
          </w:tcPr>
          <w:p>
            <w:r/>
            <w:r>
              <w:rPr>
                <w:rFonts w:ascii="Noto Sans CJK SC" w:hAnsi="Noto Sans CJK SC" w:eastAsia="Noto Sans CJK SC"/>
                <w:b w:val="0"/>
                <w:sz w:val="18"/>
              </w:rPr>
              <w:t>2 套</w:t>
            </w:r>
          </w:p>
        </w:tc>
        <w:tc>
          <w:tcPr>
            <w:tcW w:type="dxa" w:w="3324"/>
            <w:vAlign w:val="center"/>
          </w:tcPr>
          <w:p>
            <w:r/>
            <w:r>
              <w:rPr>
                <w:rFonts w:ascii="Noto Sans CJK SC" w:hAnsi="Noto Sans CJK SC" w:eastAsia="Noto Sans CJK SC"/>
                <w:b w:val="0"/>
                <w:sz w:val="18"/>
              </w:rPr>
              <w:t>F1 企业准入、F2 异常交易</w:t>
            </w:r>
          </w:p>
        </w:tc>
      </w:tr>
      <w:tr>
        <w:trPr>
          <w:cantSplit/>
        </w:trPr>
        <w:tc>
          <w:tcPr>
            <w:tcW w:type="dxa" w:w="3324"/>
            <w:vAlign w:val="center"/>
            <w:shd w:fill="F6F9FC"/>
          </w:tcPr>
          <w:p>
            <w:r/>
            <w:r>
              <w:rPr>
                <w:rFonts w:ascii="Noto Sans CJK SC" w:hAnsi="Noto Sans CJK SC" w:eastAsia="Noto Sans CJK SC"/>
                <w:b w:val="0"/>
                <w:sz w:val="18"/>
              </w:rPr>
              <w:t>Competition Profile</w:t>
            </w:r>
          </w:p>
        </w:tc>
        <w:tc>
          <w:tcPr>
            <w:tcW w:type="dxa" w:w="3324"/>
            <w:vAlign w:val="center"/>
            <w:shd w:fill="F6F9FC"/>
          </w:tcPr>
          <w:p>
            <w:r/>
            <w:r>
              <w:rPr>
                <w:rFonts w:ascii="Noto Sans CJK SC" w:hAnsi="Noto Sans CJK SC" w:eastAsia="Noto Sans CJK SC"/>
                <w:b w:val="0"/>
                <w:sz w:val="18"/>
              </w:rPr>
              <w:t>1 套</w:t>
            </w:r>
          </w:p>
        </w:tc>
        <w:tc>
          <w:tcPr>
            <w:tcW w:type="dxa" w:w="3324"/>
            <w:vAlign w:val="center"/>
            <w:shd w:fill="F6F9FC"/>
          </w:tcPr>
          <w:p>
            <w:r/>
            <w:r>
              <w:rPr>
                <w:rFonts w:ascii="Noto Sans CJK SC" w:hAnsi="Noto Sans CJK SC" w:eastAsia="Noto Sans CJK SC"/>
                <w:b w:val="0"/>
                <w:sz w:val="18"/>
              </w:rPr>
              <w:t>前端显示文案、导航显隐、首页比赛入口</w:t>
            </w:r>
          </w:p>
        </w:tc>
      </w:tr>
    </w:tbl>
    <w:p/>
    <w:p>
      <w:pPr>
        <w:pStyle w:val="H2CN"/>
      </w:pPr>
      <w:r>
        <w:t>7.1 规则内容建议</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规则 ID</w:t>
            </w:r>
          </w:p>
        </w:tc>
        <w:tc>
          <w:tcPr>
            <w:tcW w:type="dxa" w:w="3324"/>
            <w:vAlign w:val="center"/>
            <w:shd w:fill="163A5F"/>
          </w:tcPr>
          <w:p>
            <w:pPr>
              <w:keepNext/>
              <w:jc w:val="center"/>
            </w:pPr>
            <w:r/>
            <w:r>
              <w:rPr>
                <w:rFonts w:ascii="Noto Sans CJK SC" w:hAnsi="Noto Sans CJK SC" w:eastAsia="Noto Sans CJK SC"/>
                <w:b/>
                <w:color w:val="FFFFFF"/>
                <w:sz w:val="18"/>
              </w:rPr>
              <w:t>规则主题</w:t>
            </w:r>
          </w:p>
        </w:tc>
        <w:tc>
          <w:tcPr>
            <w:tcW w:type="dxa" w:w="3324"/>
            <w:vAlign w:val="center"/>
            <w:shd w:fill="163A5F"/>
          </w:tcPr>
          <w:p>
            <w:pPr>
              <w:keepNext/>
              <w:jc w:val="center"/>
            </w:pPr>
            <w:r/>
            <w:r>
              <w:rPr>
                <w:rFonts w:ascii="Noto Sans CJK SC" w:hAnsi="Noto Sans CJK SC" w:eastAsia="Noto Sans CJK SC"/>
                <w:b/>
                <w:color w:val="FFFFFF"/>
                <w:sz w:val="18"/>
              </w:rPr>
              <w:t>建议输出</w:t>
            </w:r>
          </w:p>
        </w:tc>
      </w:tr>
      <w:tr>
        <w:trPr>
          <w:cantSplit/>
        </w:trPr>
        <w:tc>
          <w:tcPr>
            <w:tcW w:type="dxa" w:w="3324"/>
            <w:vAlign w:val="center"/>
            <w:shd w:fill="F6F9FC"/>
          </w:tcPr>
          <w:p>
            <w:r/>
            <w:r>
              <w:rPr>
                <w:rFonts w:ascii="Noto Sans CJK SC" w:hAnsi="Noto Sans CJK SC" w:eastAsia="Noto Sans CJK SC"/>
                <w:b w:val="0"/>
                <w:sz w:val="18"/>
              </w:rPr>
              <w:t>FIN-KYB-001</w:t>
            </w:r>
          </w:p>
        </w:tc>
        <w:tc>
          <w:tcPr>
            <w:tcW w:type="dxa" w:w="3324"/>
            <w:vAlign w:val="center"/>
            <w:shd w:fill="F6F9FC"/>
          </w:tcPr>
          <w:p>
            <w:r/>
            <w:r>
              <w:rPr>
                <w:rFonts w:ascii="Noto Sans CJK SC" w:hAnsi="Noto Sans CJK SC" w:eastAsia="Noto Sans CJK SC"/>
                <w:b w:val="0"/>
                <w:sz w:val="18"/>
              </w:rPr>
              <w:t>实际控制人信息未确认</w:t>
            </w:r>
          </w:p>
        </w:tc>
        <w:tc>
          <w:tcPr>
            <w:tcW w:type="dxa" w:w="3324"/>
            <w:vAlign w:val="center"/>
            <w:shd w:fill="F6F9FC"/>
          </w:tcPr>
          <w:p>
            <w:r/>
            <w:r>
              <w:rPr>
                <w:rFonts w:ascii="Noto Sans CJK SC" w:hAnsi="Noto Sans CJK SC" w:eastAsia="Noto Sans CJK SC"/>
                <w:b w:val="0"/>
                <w:sz w:val="18"/>
              </w:rPr>
              <w:t>增强人工审查</w:t>
            </w:r>
          </w:p>
        </w:tc>
      </w:tr>
      <w:tr>
        <w:trPr>
          <w:cantSplit/>
        </w:trPr>
        <w:tc>
          <w:tcPr>
            <w:tcW w:type="dxa" w:w="3324"/>
            <w:vAlign w:val="center"/>
          </w:tcPr>
          <w:p>
            <w:r/>
            <w:r>
              <w:rPr>
                <w:rFonts w:ascii="Noto Sans CJK SC" w:hAnsi="Noto Sans CJK SC" w:eastAsia="Noto Sans CJK SC"/>
                <w:b w:val="0"/>
                <w:sz w:val="18"/>
              </w:rPr>
              <w:t>FIN-KYB-002</w:t>
            </w:r>
          </w:p>
        </w:tc>
        <w:tc>
          <w:tcPr>
            <w:tcW w:type="dxa" w:w="3324"/>
            <w:vAlign w:val="center"/>
          </w:tcPr>
          <w:p>
            <w:r/>
            <w:r>
              <w:rPr>
                <w:rFonts w:ascii="Noto Sans CJK SC" w:hAnsi="Noto Sans CJK SC" w:eastAsia="Noto Sans CJK SC"/>
                <w:b w:val="0"/>
                <w:sz w:val="18"/>
              </w:rPr>
              <w:t>业务用途未确认</w:t>
            </w:r>
          </w:p>
        </w:tc>
        <w:tc>
          <w:tcPr>
            <w:tcW w:type="dxa" w:w="3324"/>
            <w:vAlign w:val="center"/>
          </w:tcPr>
          <w:p>
            <w:r/>
            <w:r>
              <w:rPr>
                <w:rFonts w:ascii="Noto Sans CJK SC" w:hAnsi="Noto Sans CJK SC" w:eastAsia="Noto Sans CJK SC"/>
                <w:b w:val="0"/>
                <w:sz w:val="18"/>
              </w:rPr>
              <w:t>补充材料</w:t>
            </w:r>
          </w:p>
        </w:tc>
      </w:tr>
      <w:tr>
        <w:trPr>
          <w:cantSplit/>
        </w:trPr>
        <w:tc>
          <w:tcPr>
            <w:tcW w:type="dxa" w:w="3324"/>
            <w:vAlign w:val="center"/>
            <w:shd w:fill="F6F9FC"/>
          </w:tcPr>
          <w:p>
            <w:r/>
            <w:r>
              <w:rPr>
                <w:rFonts w:ascii="Noto Sans CJK SC" w:hAnsi="Noto Sans CJK SC" w:eastAsia="Noto Sans CJK SC"/>
                <w:b w:val="0"/>
                <w:sz w:val="18"/>
              </w:rPr>
              <w:t>FIN-KYB-003</w:t>
            </w:r>
          </w:p>
        </w:tc>
        <w:tc>
          <w:tcPr>
            <w:tcW w:type="dxa" w:w="3324"/>
            <w:vAlign w:val="center"/>
            <w:shd w:fill="F6F9FC"/>
          </w:tcPr>
          <w:p>
            <w:r/>
            <w:r>
              <w:rPr>
                <w:rFonts w:ascii="Noto Sans CJK SC" w:hAnsi="Noto Sans CJK SC" w:eastAsia="Noto Sans CJK SC"/>
                <w:b w:val="0"/>
                <w:sz w:val="18"/>
              </w:rPr>
              <w:t>资金来源未验证</w:t>
            </w:r>
          </w:p>
        </w:tc>
        <w:tc>
          <w:tcPr>
            <w:tcW w:type="dxa" w:w="3324"/>
            <w:vAlign w:val="center"/>
            <w:shd w:fill="F6F9FC"/>
          </w:tcPr>
          <w:p>
            <w:r/>
            <w:r>
              <w:rPr>
                <w:rFonts w:ascii="Noto Sans CJK SC" w:hAnsi="Noto Sans CJK SC" w:eastAsia="Noto Sans CJK SC"/>
                <w:b w:val="0"/>
                <w:sz w:val="18"/>
              </w:rPr>
              <w:t>增强人工审查</w:t>
            </w:r>
          </w:p>
        </w:tc>
      </w:tr>
      <w:tr>
        <w:trPr>
          <w:cantSplit/>
        </w:trPr>
        <w:tc>
          <w:tcPr>
            <w:tcW w:type="dxa" w:w="3324"/>
            <w:vAlign w:val="center"/>
          </w:tcPr>
          <w:p>
            <w:r/>
            <w:r>
              <w:rPr>
                <w:rFonts w:ascii="Noto Sans CJK SC" w:hAnsi="Noto Sans CJK SC" w:eastAsia="Noto Sans CJK SC"/>
                <w:b w:val="0"/>
                <w:sz w:val="18"/>
              </w:rPr>
              <w:t>FIN-KYB-004</w:t>
            </w:r>
          </w:p>
        </w:tc>
        <w:tc>
          <w:tcPr>
            <w:tcW w:type="dxa" w:w="3324"/>
            <w:vAlign w:val="center"/>
          </w:tcPr>
          <w:p>
            <w:r/>
            <w:r>
              <w:rPr>
                <w:rFonts w:ascii="Noto Sans CJK SC" w:hAnsi="Noto Sans CJK SC" w:eastAsia="Noto Sans CJK SC"/>
                <w:b w:val="0"/>
                <w:sz w:val="18"/>
              </w:rPr>
              <w:t>关键材料不完整</w:t>
            </w:r>
          </w:p>
        </w:tc>
        <w:tc>
          <w:tcPr>
            <w:tcW w:type="dxa" w:w="3324"/>
            <w:vAlign w:val="center"/>
          </w:tcPr>
          <w:p>
            <w:r/>
            <w:r>
              <w:rPr>
                <w:rFonts w:ascii="Noto Sans CJK SC" w:hAnsi="Noto Sans CJK SC" w:eastAsia="Noto Sans CJK SC"/>
                <w:b w:val="0"/>
                <w:sz w:val="18"/>
              </w:rPr>
              <w:t>阻断/待补材料</w:t>
            </w:r>
          </w:p>
        </w:tc>
      </w:tr>
      <w:tr>
        <w:trPr>
          <w:cantSplit/>
        </w:trPr>
        <w:tc>
          <w:tcPr>
            <w:tcW w:type="dxa" w:w="3324"/>
            <w:vAlign w:val="center"/>
            <w:shd w:fill="F6F9FC"/>
          </w:tcPr>
          <w:p>
            <w:r/>
            <w:r>
              <w:rPr>
                <w:rFonts w:ascii="Noto Sans CJK SC" w:hAnsi="Noto Sans CJK SC" w:eastAsia="Noto Sans CJK SC"/>
                <w:b w:val="0"/>
                <w:sz w:val="18"/>
              </w:rPr>
              <w:t>FIN-TXN-001</w:t>
            </w:r>
          </w:p>
        </w:tc>
        <w:tc>
          <w:tcPr>
            <w:tcW w:type="dxa" w:w="3324"/>
            <w:vAlign w:val="center"/>
            <w:shd w:fill="F6F9FC"/>
          </w:tcPr>
          <w:p>
            <w:r/>
            <w:r>
              <w:rPr>
                <w:rFonts w:ascii="Noto Sans CJK SC" w:hAnsi="Noto Sans CJK SC" w:eastAsia="Noto Sans CJK SC"/>
                <w:b w:val="0"/>
                <w:sz w:val="18"/>
              </w:rPr>
              <w:t>短期交易频率超过阈值</w:t>
            </w:r>
          </w:p>
        </w:tc>
        <w:tc>
          <w:tcPr>
            <w:tcW w:type="dxa" w:w="3324"/>
            <w:vAlign w:val="center"/>
            <w:shd w:fill="F6F9FC"/>
          </w:tcPr>
          <w:p>
            <w:r/>
            <w:r>
              <w:rPr>
                <w:rFonts w:ascii="Noto Sans CJK SC" w:hAnsi="Noto Sans CJK SC" w:eastAsia="Noto Sans CJK SC"/>
                <w:b w:val="0"/>
                <w:sz w:val="18"/>
              </w:rPr>
              <w:t>交易模式复核</w:t>
            </w:r>
          </w:p>
        </w:tc>
      </w:tr>
      <w:tr>
        <w:trPr>
          <w:cantSplit/>
        </w:trPr>
        <w:tc>
          <w:tcPr>
            <w:tcW w:type="dxa" w:w="3324"/>
            <w:vAlign w:val="center"/>
          </w:tcPr>
          <w:p>
            <w:r/>
            <w:r>
              <w:rPr>
                <w:rFonts w:ascii="Noto Sans CJK SC" w:hAnsi="Noto Sans CJK SC" w:eastAsia="Noto Sans CJK SC"/>
                <w:b w:val="0"/>
                <w:sz w:val="18"/>
              </w:rPr>
              <w:t>FIN-TXN-002</w:t>
            </w:r>
          </w:p>
        </w:tc>
        <w:tc>
          <w:tcPr>
            <w:tcW w:type="dxa" w:w="3324"/>
            <w:vAlign w:val="center"/>
          </w:tcPr>
          <w:p>
            <w:r/>
            <w:r>
              <w:rPr>
                <w:rFonts w:ascii="Noto Sans CJK SC" w:hAnsi="Noto Sans CJK SC" w:eastAsia="Noto Sans CJK SC"/>
                <w:b w:val="0"/>
                <w:sz w:val="18"/>
              </w:rPr>
              <w:t>新账户出现较大额交易</w:t>
            </w:r>
          </w:p>
        </w:tc>
        <w:tc>
          <w:tcPr>
            <w:tcW w:type="dxa" w:w="3324"/>
            <w:vAlign w:val="center"/>
          </w:tcPr>
          <w:p>
            <w:r/>
            <w:r>
              <w:rPr>
                <w:rFonts w:ascii="Noto Sans CJK SC" w:hAnsi="Noto Sans CJK SC" w:eastAsia="Noto Sans CJK SC"/>
                <w:b w:val="0"/>
                <w:sz w:val="18"/>
              </w:rPr>
              <w:t>增强人工审查</w:t>
            </w:r>
          </w:p>
        </w:tc>
      </w:tr>
      <w:tr>
        <w:trPr>
          <w:cantSplit/>
        </w:trPr>
        <w:tc>
          <w:tcPr>
            <w:tcW w:type="dxa" w:w="3324"/>
            <w:vAlign w:val="center"/>
            <w:shd w:fill="F6F9FC"/>
          </w:tcPr>
          <w:p>
            <w:r/>
            <w:r>
              <w:rPr>
                <w:rFonts w:ascii="Noto Sans CJK SC" w:hAnsi="Noto Sans CJK SC" w:eastAsia="Noto Sans CJK SC"/>
                <w:b w:val="0"/>
                <w:sz w:val="18"/>
              </w:rPr>
              <w:t>FIN-TXN-003</w:t>
            </w:r>
          </w:p>
        </w:tc>
        <w:tc>
          <w:tcPr>
            <w:tcW w:type="dxa" w:w="3324"/>
            <w:vAlign w:val="center"/>
            <w:shd w:fill="F6F9FC"/>
          </w:tcPr>
          <w:p>
            <w:r/>
            <w:r>
              <w:rPr>
                <w:rFonts w:ascii="Noto Sans CJK SC" w:hAnsi="Noto Sans CJK SC" w:eastAsia="Noto Sans CJK SC"/>
                <w:b w:val="0"/>
                <w:sz w:val="18"/>
              </w:rPr>
              <w:t>跨境交易叠加高风险地域因素</w:t>
            </w:r>
          </w:p>
        </w:tc>
        <w:tc>
          <w:tcPr>
            <w:tcW w:type="dxa" w:w="3324"/>
            <w:vAlign w:val="center"/>
            <w:shd w:fill="F6F9FC"/>
          </w:tcPr>
          <w:p>
            <w:r/>
            <w:r>
              <w:rPr>
                <w:rFonts w:ascii="Noto Sans CJK SC" w:hAnsi="Noto Sans CJK SC" w:eastAsia="Noto Sans CJK SC"/>
                <w:b w:val="0"/>
                <w:sz w:val="18"/>
              </w:rPr>
              <w:t>人工复核</w:t>
            </w:r>
          </w:p>
        </w:tc>
      </w:tr>
      <w:tr>
        <w:trPr>
          <w:cantSplit/>
        </w:trPr>
        <w:tc>
          <w:tcPr>
            <w:tcW w:type="dxa" w:w="3324"/>
            <w:vAlign w:val="center"/>
          </w:tcPr>
          <w:p>
            <w:r/>
            <w:r>
              <w:rPr>
                <w:rFonts w:ascii="Noto Sans CJK SC" w:hAnsi="Noto Sans CJK SC" w:eastAsia="Noto Sans CJK SC"/>
                <w:b w:val="0"/>
                <w:sz w:val="18"/>
              </w:rPr>
              <w:t>FIN-TXN-004</w:t>
            </w:r>
          </w:p>
        </w:tc>
        <w:tc>
          <w:tcPr>
            <w:tcW w:type="dxa" w:w="3324"/>
            <w:vAlign w:val="center"/>
          </w:tcPr>
          <w:p>
            <w:r/>
            <w:r>
              <w:rPr>
                <w:rFonts w:ascii="Noto Sans CJK SC" w:hAnsi="Noto Sans CJK SC" w:eastAsia="Noto Sans CJK SC"/>
                <w:b w:val="0"/>
                <w:sz w:val="18"/>
              </w:rPr>
              <w:t>多个风险因素同时出现</w:t>
            </w:r>
          </w:p>
        </w:tc>
        <w:tc>
          <w:tcPr>
            <w:tcW w:type="dxa" w:w="3324"/>
            <w:vAlign w:val="center"/>
          </w:tcPr>
          <w:p>
            <w:r/>
            <w:r>
              <w:rPr>
                <w:rFonts w:ascii="Noto Sans CJK SC" w:hAnsi="Noto Sans CJK SC" w:eastAsia="Noto Sans CJK SC"/>
                <w:b w:val="0"/>
                <w:sz w:val="18"/>
              </w:rPr>
              <w:t>高优先级复核</w:t>
            </w:r>
          </w:p>
        </w:tc>
      </w:tr>
    </w:tbl>
    <w:p/>
    <w:p>
      <w:pPr>
        <w:pStyle w:val="H1CN"/>
      </w:pPr>
      <w:r>
        <w:t>8. AI Agent 内容说明</w:t>
      </w:r>
    </w:p>
    <w:p>
      <w:r>
        <w:t>比赛中应避免把 Agent 简化成“聊天机器人”。LexCyber 的 Agent 是由材料理解、事实确认、规则执行、结果生成和人工复核共同组成的可审计工作流。</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组成</w:t>
            </w:r>
          </w:p>
        </w:tc>
        <w:tc>
          <w:tcPr>
            <w:tcW w:type="dxa" w:w="3324"/>
            <w:vAlign w:val="center"/>
            <w:shd w:fill="163A5F"/>
          </w:tcPr>
          <w:p>
            <w:pPr>
              <w:keepNext/>
              <w:jc w:val="center"/>
            </w:pPr>
            <w:r/>
            <w:r>
              <w:rPr>
                <w:rFonts w:ascii="Noto Sans CJK SC" w:hAnsi="Noto Sans CJK SC" w:eastAsia="Noto Sans CJK SC"/>
                <w:b/>
                <w:color w:val="FFFFFF"/>
                <w:sz w:val="18"/>
              </w:rPr>
              <w:t>职责</w:t>
            </w:r>
          </w:p>
        </w:tc>
        <w:tc>
          <w:tcPr>
            <w:tcW w:type="dxa" w:w="3324"/>
            <w:vAlign w:val="center"/>
            <w:shd w:fill="163A5F"/>
          </w:tcPr>
          <w:p>
            <w:pPr>
              <w:keepNext/>
              <w:jc w:val="center"/>
            </w:pPr>
            <w:r/>
            <w:r>
              <w:rPr>
                <w:rFonts w:ascii="Noto Sans CJK SC" w:hAnsi="Noto Sans CJK SC" w:eastAsia="Noto Sans CJK SC"/>
                <w:b/>
                <w:color w:val="FFFFFF"/>
                <w:sz w:val="18"/>
              </w:rPr>
              <w:t>性质</w:t>
            </w:r>
          </w:p>
        </w:tc>
      </w:tr>
      <w:tr>
        <w:trPr>
          <w:cantSplit/>
        </w:trPr>
        <w:tc>
          <w:tcPr>
            <w:tcW w:type="dxa" w:w="3324"/>
            <w:vAlign w:val="center"/>
            <w:shd w:fill="F6F9FC"/>
          </w:tcPr>
          <w:p>
            <w:r/>
            <w:r>
              <w:rPr>
                <w:rFonts w:ascii="Noto Sans CJK SC" w:hAnsi="Noto Sans CJK SC" w:eastAsia="Noto Sans CJK SC"/>
                <w:b w:val="0"/>
                <w:sz w:val="18"/>
              </w:rPr>
              <w:t>材料理解 Agent</w:t>
            </w:r>
          </w:p>
        </w:tc>
        <w:tc>
          <w:tcPr>
            <w:tcW w:type="dxa" w:w="3324"/>
            <w:vAlign w:val="center"/>
            <w:shd w:fill="F6F9FC"/>
          </w:tcPr>
          <w:p>
            <w:r/>
            <w:r>
              <w:rPr>
                <w:rFonts w:ascii="Noto Sans CJK SC" w:hAnsi="Noto Sans CJK SC" w:eastAsia="Noto Sans CJK SC"/>
                <w:b w:val="0"/>
                <w:sz w:val="18"/>
              </w:rPr>
              <w:t>解析 PDF/DOCX、提取候选信息、生成摘要或候选事实</w:t>
            </w:r>
          </w:p>
        </w:tc>
        <w:tc>
          <w:tcPr>
            <w:tcW w:type="dxa" w:w="3324"/>
            <w:vAlign w:val="center"/>
            <w:shd w:fill="F6F9FC"/>
          </w:tcPr>
          <w:p>
            <w:r/>
            <w:r>
              <w:rPr>
                <w:rFonts w:ascii="Noto Sans CJK SC" w:hAnsi="Noto Sans CJK SC" w:eastAsia="Noto Sans CJK SC"/>
                <w:b w:val="0"/>
                <w:sz w:val="18"/>
              </w:rPr>
              <w:t>AI / 文档处理</w:t>
            </w:r>
          </w:p>
        </w:tc>
      </w:tr>
      <w:tr>
        <w:trPr>
          <w:cantSplit/>
        </w:trPr>
        <w:tc>
          <w:tcPr>
            <w:tcW w:type="dxa" w:w="3324"/>
            <w:vAlign w:val="center"/>
          </w:tcPr>
          <w:p>
            <w:r/>
            <w:r>
              <w:rPr>
                <w:rFonts w:ascii="Noto Sans CJK SC" w:hAnsi="Noto Sans CJK SC" w:eastAsia="Noto Sans CJK SC"/>
                <w:b w:val="0"/>
                <w:sz w:val="18"/>
              </w:rPr>
              <w:t>事实确认层</w:t>
            </w:r>
          </w:p>
        </w:tc>
        <w:tc>
          <w:tcPr>
            <w:tcW w:type="dxa" w:w="3324"/>
            <w:vAlign w:val="center"/>
          </w:tcPr>
          <w:p>
            <w:r/>
            <w:r>
              <w:rPr>
                <w:rFonts w:ascii="Noto Sans CJK SC" w:hAnsi="Noto Sans CJK SC" w:eastAsia="Noto Sans CJK SC"/>
                <w:b w:val="0"/>
                <w:sz w:val="18"/>
              </w:rPr>
              <w:t>业务人员确认关键事实并形成不可变 FactsVersion</w:t>
            </w:r>
          </w:p>
        </w:tc>
        <w:tc>
          <w:tcPr>
            <w:tcW w:type="dxa" w:w="3324"/>
            <w:vAlign w:val="center"/>
          </w:tcPr>
          <w:p>
            <w:r/>
            <w:r>
              <w:rPr>
                <w:rFonts w:ascii="Noto Sans CJK SC" w:hAnsi="Noto Sans CJK SC" w:eastAsia="Noto Sans CJK SC"/>
                <w:b w:val="0"/>
                <w:sz w:val="18"/>
              </w:rPr>
              <w:t>人工 + 版本控制</w:t>
            </w:r>
          </w:p>
        </w:tc>
      </w:tr>
      <w:tr>
        <w:trPr>
          <w:cantSplit/>
        </w:trPr>
        <w:tc>
          <w:tcPr>
            <w:tcW w:type="dxa" w:w="3324"/>
            <w:vAlign w:val="center"/>
            <w:shd w:fill="F6F9FC"/>
          </w:tcPr>
          <w:p>
            <w:r/>
            <w:r>
              <w:rPr>
                <w:rFonts w:ascii="Noto Sans CJK SC" w:hAnsi="Noto Sans CJK SC" w:eastAsia="Noto Sans CJK SC"/>
                <w:b w:val="0"/>
                <w:sz w:val="18"/>
              </w:rPr>
              <w:t>规则执行 Agent</w:t>
            </w:r>
          </w:p>
        </w:tc>
        <w:tc>
          <w:tcPr>
            <w:tcW w:type="dxa" w:w="3324"/>
            <w:vAlign w:val="center"/>
            <w:shd w:fill="F6F9FC"/>
          </w:tcPr>
          <w:p>
            <w:r/>
            <w:r>
              <w:rPr>
                <w:rFonts w:ascii="Noto Sans CJK SC" w:hAnsi="Noto Sans CJK SC" w:eastAsia="Noto Sans CJK SC"/>
                <w:b w:val="0"/>
                <w:sz w:val="18"/>
              </w:rPr>
              <w:t>根据已批准的规则包进行确定性条件判断</w:t>
            </w:r>
          </w:p>
        </w:tc>
        <w:tc>
          <w:tcPr>
            <w:tcW w:type="dxa" w:w="3324"/>
            <w:vAlign w:val="center"/>
            <w:shd w:fill="F6F9FC"/>
          </w:tcPr>
          <w:p>
            <w:r/>
            <w:r>
              <w:rPr>
                <w:rFonts w:ascii="Noto Sans CJK SC" w:hAnsi="Noto Sans CJK SC" w:eastAsia="Noto Sans CJK SC"/>
                <w:b w:val="0"/>
                <w:sz w:val="18"/>
              </w:rPr>
              <w:t>Deterministic Rule Engine</w:t>
            </w:r>
          </w:p>
        </w:tc>
      </w:tr>
      <w:tr>
        <w:trPr>
          <w:cantSplit/>
        </w:trPr>
        <w:tc>
          <w:tcPr>
            <w:tcW w:type="dxa" w:w="3324"/>
            <w:vAlign w:val="center"/>
          </w:tcPr>
          <w:p>
            <w:r/>
            <w:r>
              <w:rPr>
                <w:rFonts w:ascii="Noto Sans CJK SC" w:hAnsi="Noto Sans CJK SC" w:eastAsia="Noto Sans CJK SC"/>
                <w:b w:val="0"/>
                <w:sz w:val="18"/>
              </w:rPr>
              <w:t>解释层</w:t>
            </w:r>
          </w:p>
        </w:tc>
        <w:tc>
          <w:tcPr>
            <w:tcW w:type="dxa" w:w="3324"/>
            <w:vAlign w:val="center"/>
          </w:tcPr>
          <w:p>
            <w:r/>
            <w:r>
              <w:rPr>
                <w:rFonts w:ascii="Noto Sans CJK SC" w:hAnsi="Noto Sans CJK SC" w:eastAsia="Noto Sans CJK SC"/>
                <w:b w:val="0"/>
                <w:sz w:val="18"/>
              </w:rPr>
              <w:t>展示规则是否命中、条件 Trace、引用依据、版本信息</w:t>
            </w:r>
          </w:p>
        </w:tc>
        <w:tc>
          <w:tcPr>
            <w:tcW w:type="dxa" w:w="3324"/>
            <w:vAlign w:val="center"/>
          </w:tcPr>
          <w:p>
            <w:r/>
            <w:r>
              <w:rPr>
                <w:rFonts w:ascii="Noto Sans CJK SC" w:hAnsi="Noto Sans CJK SC" w:eastAsia="Noto Sans CJK SC"/>
                <w:b w:val="0"/>
                <w:sz w:val="18"/>
              </w:rPr>
              <w:t>可解释结果</w:t>
            </w:r>
          </w:p>
        </w:tc>
      </w:tr>
      <w:tr>
        <w:trPr>
          <w:cantSplit/>
        </w:trPr>
        <w:tc>
          <w:tcPr>
            <w:tcW w:type="dxa" w:w="3324"/>
            <w:vAlign w:val="center"/>
            <w:shd w:fill="F6F9FC"/>
          </w:tcPr>
          <w:p>
            <w:r/>
            <w:r>
              <w:rPr>
                <w:rFonts w:ascii="Noto Sans CJK SC" w:hAnsi="Noto Sans CJK SC" w:eastAsia="Noto Sans CJK SC"/>
                <w:b w:val="0"/>
                <w:sz w:val="18"/>
              </w:rPr>
              <w:t>复核 Agent 工作流</w:t>
            </w:r>
          </w:p>
        </w:tc>
        <w:tc>
          <w:tcPr>
            <w:tcW w:type="dxa" w:w="3324"/>
            <w:vAlign w:val="center"/>
            <w:shd w:fill="F6F9FC"/>
          </w:tcPr>
          <w:p>
            <w:r/>
            <w:r>
              <w:rPr>
                <w:rFonts w:ascii="Noto Sans CJK SC" w:hAnsi="Noto Sans CJK SC" w:eastAsia="Noto Sans CJK SC"/>
                <w:b w:val="0"/>
                <w:sz w:val="18"/>
              </w:rPr>
              <w:t>将分析结果进入 Human Review，记录批准/退回/意见</w:t>
            </w:r>
          </w:p>
        </w:tc>
        <w:tc>
          <w:tcPr>
            <w:tcW w:type="dxa" w:w="3324"/>
            <w:vAlign w:val="center"/>
            <w:shd w:fill="F6F9FC"/>
          </w:tcPr>
          <w:p>
            <w:r/>
            <w:r>
              <w:rPr>
                <w:rFonts w:ascii="Noto Sans CJK SC" w:hAnsi="Noto Sans CJK SC" w:eastAsia="Noto Sans CJK SC"/>
                <w:b w:val="0"/>
                <w:sz w:val="18"/>
              </w:rPr>
              <w:t>人工兜底</w:t>
            </w:r>
          </w:p>
        </w:tc>
      </w:tr>
      <w:tr>
        <w:trPr>
          <w:cantSplit/>
        </w:trPr>
        <w:tc>
          <w:tcPr>
            <w:tcW w:type="dxa" w:w="3324"/>
            <w:vAlign w:val="center"/>
          </w:tcPr>
          <w:p>
            <w:r/>
            <w:r>
              <w:rPr>
                <w:rFonts w:ascii="Noto Sans CJK SC" w:hAnsi="Noto Sans CJK SC" w:eastAsia="Noto Sans CJK SC"/>
                <w:b w:val="0"/>
                <w:sz w:val="18"/>
              </w:rPr>
              <w:t>归档层</w:t>
            </w:r>
          </w:p>
        </w:tc>
        <w:tc>
          <w:tcPr>
            <w:tcW w:type="dxa" w:w="3324"/>
            <w:vAlign w:val="center"/>
          </w:tcPr>
          <w:p>
            <w:r/>
            <w:r>
              <w:rPr>
                <w:rFonts w:ascii="Noto Sans CJK SC" w:hAnsi="Noto Sans CJK SC" w:eastAsia="Noto Sans CJK SC"/>
                <w:b w:val="0"/>
                <w:sz w:val="18"/>
              </w:rPr>
              <w:t>将确认事实、分析结果和复核结果形成不可变审计归档</w:t>
            </w:r>
          </w:p>
        </w:tc>
        <w:tc>
          <w:tcPr>
            <w:tcW w:type="dxa" w:w="3324"/>
            <w:vAlign w:val="center"/>
          </w:tcPr>
          <w:p>
            <w:r/>
            <w:r>
              <w:rPr>
                <w:rFonts w:ascii="Noto Sans CJK SC" w:hAnsi="Noto Sans CJK SC" w:eastAsia="Noto Sans CJK SC"/>
                <w:b w:val="0"/>
                <w:sz w:val="18"/>
              </w:rPr>
              <w:t>审计与追溯</w:t>
            </w:r>
          </w:p>
        </w:tc>
      </w:tr>
    </w:tbl>
    <w:p/>
    <w:tbl>
      <w:tblPr>
        <w:tblW w:type="auto" w:w="0"/>
        <w:jc w:val="center"/>
        <w:tblLook w:firstColumn="1" w:firstRow="1" w:lastColumn="0" w:lastRow="0" w:noHBand="0" w:noVBand="1" w:val="04A0"/>
      </w:tblPr>
      <w:tblGrid>
        <w:gridCol w:w="9972"/>
      </w:tblGrid>
      <w:tr>
        <w:trPr>
          <w:cantSplit/>
        </w:trPr>
        <w:tc>
          <w:tcPr>
            <w:tcW w:type="dxa" w:w="9972"/>
            <w:shd w:fill="EAF4FB"/>
          </w:tcPr>
          <w:p>
            <w:pPr>
              <w:keepLines/>
            </w:pPr>
            <w:r>
              <w:rPr>
                <w:b/>
                <w:color w:val="0D4A6E"/>
                <w:sz w:val="22"/>
              </w:rPr>
              <w:t>推荐答辩表述</w:t>
            </w:r>
          </w:p>
          <w:p>
            <w:pPr>
              <w:keepLines/>
              <w:spacing w:before="40" w:after="40"/>
            </w:pPr>
            <w:r>
              <w:rPr>
                <w:sz w:val="20"/>
              </w:rPr>
              <w:t>LexCyber 不是让大模型直接替代高风险决策，而是让大模型、确定性规则和人工复核在同一条可审计链路中协同。</w:t>
            </w:r>
          </w:p>
        </w:tc>
      </w:tr>
    </w:tbl>
    <w:p/>
    <w:p>
      <w:pPr>
        <w:pStyle w:val="H1CN"/>
      </w:pPr>
      <w:r>
        <w:t>9. 数据、知识与规则来源说明口径</w:t>
      </w:r>
    </w:p>
    <w:p>
      <w:r>
        <w:t>校赛版本的数据与知识来源应当以可演示、可复现和合规为第一原则。比赛版不依赖真实金融客户数据，统一使用合成或脱敏演示数据。</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类别</w:t>
            </w:r>
          </w:p>
        </w:tc>
        <w:tc>
          <w:tcPr>
            <w:tcW w:type="dxa" w:w="3324"/>
            <w:vAlign w:val="center"/>
            <w:shd w:fill="163A5F"/>
          </w:tcPr>
          <w:p>
            <w:pPr>
              <w:keepNext/>
              <w:jc w:val="center"/>
            </w:pPr>
            <w:r/>
            <w:r>
              <w:rPr>
                <w:rFonts w:ascii="Noto Sans CJK SC" w:hAnsi="Noto Sans CJK SC" w:eastAsia="Noto Sans CJK SC"/>
                <w:b/>
                <w:color w:val="FFFFFF"/>
                <w:sz w:val="18"/>
              </w:rPr>
              <w:t>来源/形式</w:t>
            </w:r>
          </w:p>
        </w:tc>
        <w:tc>
          <w:tcPr>
            <w:tcW w:type="dxa" w:w="3324"/>
            <w:vAlign w:val="center"/>
            <w:shd w:fill="163A5F"/>
          </w:tcPr>
          <w:p>
            <w:pPr>
              <w:keepNext/>
              <w:jc w:val="center"/>
            </w:pPr>
            <w:r/>
            <w:r>
              <w:rPr>
                <w:rFonts w:ascii="Noto Sans CJK SC" w:hAnsi="Noto Sans CJK SC" w:eastAsia="Noto Sans CJK SC"/>
                <w:b/>
                <w:color w:val="FFFFFF"/>
                <w:sz w:val="18"/>
              </w:rPr>
              <w:t>说明</w:t>
            </w:r>
          </w:p>
        </w:tc>
      </w:tr>
      <w:tr>
        <w:trPr>
          <w:cantSplit/>
        </w:trPr>
        <w:tc>
          <w:tcPr>
            <w:tcW w:type="dxa" w:w="3324"/>
            <w:vAlign w:val="center"/>
            <w:shd w:fill="F6F9FC"/>
          </w:tcPr>
          <w:p>
            <w:r/>
            <w:r>
              <w:rPr>
                <w:rFonts w:ascii="Noto Sans CJK SC" w:hAnsi="Noto Sans CJK SC" w:eastAsia="Noto Sans CJK SC"/>
                <w:b w:val="0"/>
                <w:sz w:val="18"/>
              </w:rPr>
              <w:t>演示业务数据</w:t>
            </w:r>
          </w:p>
        </w:tc>
        <w:tc>
          <w:tcPr>
            <w:tcW w:type="dxa" w:w="3324"/>
            <w:vAlign w:val="center"/>
            <w:shd w:fill="F6F9FC"/>
          </w:tcPr>
          <w:p>
            <w:r/>
            <w:r>
              <w:rPr>
                <w:rFonts w:ascii="Noto Sans CJK SC" w:hAnsi="Noto Sans CJK SC" w:eastAsia="Noto Sans CJK SC"/>
                <w:b w:val="0"/>
                <w:sz w:val="18"/>
              </w:rPr>
              <w:t>合成/脱敏企业材料与交易特征</w:t>
            </w:r>
          </w:p>
        </w:tc>
        <w:tc>
          <w:tcPr>
            <w:tcW w:type="dxa" w:w="3324"/>
            <w:vAlign w:val="center"/>
            <w:shd w:fill="F6F9FC"/>
          </w:tcPr>
          <w:p>
            <w:r/>
            <w:r>
              <w:rPr>
                <w:rFonts w:ascii="Noto Sans CJK SC" w:hAnsi="Noto Sans CJK SC" w:eastAsia="Noto Sans CJK SC"/>
                <w:b w:val="0"/>
                <w:sz w:val="18"/>
              </w:rPr>
              <w:t>避免敏感信息与真实客户数据</w:t>
            </w:r>
          </w:p>
        </w:tc>
      </w:tr>
      <w:tr>
        <w:trPr>
          <w:cantSplit/>
        </w:trPr>
        <w:tc>
          <w:tcPr>
            <w:tcW w:type="dxa" w:w="3324"/>
            <w:vAlign w:val="center"/>
          </w:tcPr>
          <w:p>
            <w:r/>
            <w:r>
              <w:rPr>
                <w:rFonts w:ascii="Noto Sans CJK SC" w:hAnsi="Noto Sans CJK SC" w:eastAsia="Noto Sans CJK SC"/>
                <w:b w:val="0"/>
                <w:sz w:val="18"/>
              </w:rPr>
              <w:t>规则依据</w:t>
            </w:r>
          </w:p>
        </w:tc>
        <w:tc>
          <w:tcPr>
            <w:tcW w:type="dxa" w:w="3324"/>
            <w:vAlign w:val="center"/>
          </w:tcPr>
          <w:p>
            <w:r/>
            <w:r>
              <w:rPr>
                <w:rFonts w:ascii="Noto Sans CJK SC" w:hAnsi="Noto Sans CJK SC" w:eastAsia="Noto Sans CJK SC"/>
                <w:b w:val="0"/>
                <w:sz w:val="18"/>
              </w:rPr>
              <w:t>公开监管规范、制度性规则或比赛演示规则</w:t>
            </w:r>
          </w:p>
        </w:tc>
        <w:tc>
          <w:tcPr>
            <w:tcW w:type="dxa" w:w="3324"/>
            <w:vAlign w:val="center"/>
          </w:tcPr>
          <w:p>
            <w:r/>
            <w:r>
              <w:rPr>
                <w:rFonts w:ascii="Noto Sans CJK SC" w:hAnsi="Noto Sans CJK SC" w:eastAsia="Noto Sans CJK SC"/>
                <w:b w:val="0"/>
                <w:sz w:val="18"/>
              </w:rPr>
              <w:t>记录来源、版本、生效期与适用范围</w:t>
            </w:r>
          </w:p>
        </w:tc>
      </w:tr>
      <w:tr>
        <w:trPr>
          <w:cantSplit/>
        </w:trPr>
        <w:tc>
          <w:tcPr>
            <w:tcW w:type="dxa" w:w="3324"/>
            <w:vAlign w:val="center"/>
            <w:shd w:fill="F6F9FC"/>
          </w:tcPr>
          <w:p>
            <w:r/>
            <w:r>
              <w:rPr>
                <w:rFonts w:ascii="Noto Sans CJK SC" w:hAnsi="Noto Sans CJK SC" w:eastAsia="Noto Sans CJK SC"/>
                <w:b w:val="0"/>
                <w:sz w:val="18"/>
              </w:rPr>
              <w:t>规则包</w:t>
            </w:r>
          </w:p>
        </w:tc>
        <w:tc>
          <w:tcPr>
            <w:tcW w:type="dxa" w:w="3324"/>
            <w:vAlign w:val="center"/>
            <w:shd w:fill="F6F9FC"/>
          </w:tcPr>
          <w:p>
            <w:r/>
            <w:r>
              <w:rPr>
                <w:rFonts w:ascii="Noto Sans CJK SC" w:hAnsi="Noto Sans CJK SC" w:eastAsia="Noto Sans CJK SC"/>
                <w:b w:val="0"/>
                <w:sz w:val="18"/>
              </w:rPr>
              <w:t>将规范内容转换为可执行 predicate + outcome</w:t>
            </w:r>
          </w:p>
        </w:tc>
        <w:tc>
          <w:tcPr>
            <w:tcW w:type="dxa" w:w="3324"/>
            <w:vAlign w:val="center"/>
            <w:shd w:fill="F6F9FC"/>
          </w:tcPr>
          <w:p>
            <w:r/>
            <w:r>
              <w:rPr>
                <w:rFonts w:ascii="Noto Sans CJK SC" w:hAnsi="Noto Sans CJK SC" w:eastAsia="Noto Sans CJK SC"/>
                <w:b w:val="0"/>
                <w:sz w:val="18"/>
              </w:rPr>
              <w:t>需人工审核后进入 approved 状态</w:t>
            </w:r>
          </w:p>
        </w:tc>
      </w:tr>
      <w:tr>
        <w:trPr>
          <w:cantSplit/>
        </w:trPr>
        <w:tc>
          <w:tcPr>
            <w:tcW w:type="dxa" w:w="3324"/>
            <w:vAlign w:val="center"/>
          </w:tcPr>
          <w:p>
            <w:r/>
            <w:r>
              <w:rPr>
                <w:rFonts w:ascii="Noto Sans CJK SC" w:hAnsi="Noto Sans CJK SC" w:eastAsia="Noto Sans CJK SC"/>
                <w:b w:val="0"/>
                <w:sz w:val="18"/>
              </w:rPr>
              <w:t>模板</w:t>
            </w:r>
          </w:p>
        </w:tc>
        <w:tc>
          <w:tcPr>
            <w:tcW w:type="dxa" w:w="3324"/>
            <w:vAlign w:val="center"/>
          </w:tcPr>
          <w:p>
            <w:r/>
            <w:r>
              <w:rPr>
                <w:rFonts w:ascii="Noto Sans CJK SC" w:hAnsi="Noto Sans CJK SC" w:eastAsia="Noto Sans CJK SC"/>
                <w:b w:val="0"/>
                <w:sz w:val="18"/>
              </w:rPr>
              <w:t>金融合规审查报告模板</w:t>
            </w:r>
          </w:p>
        </w:tc>
        <w:tc>
          <w:tcPr>
            <w:tcW w:type="dxa" w:w="3324"/>
            <w:vAlign w:val="center"/>
          </w:tcPr>
          <w:p>
            <w:r/>
            <w:r>
              <w:rPr>
                <w:rFonts w:ascii="Noto Sans CJK SC" w:hAnsi="Noto Sans CJK SC" w:eastAsia="Noto Sans CJK SC"/>
                <w:b w:val="0"/>
                <w:sz w:val="18"/>
              </w:rPr>
              <w:t>只引用已确认事实和上游分析结果</w:t>
            </w:r>
          </w:p>
        </w:tc>
      </w:tr>
    </w:tbl>
    <w:p/>
    <w:p>
      <w:pPr>
        <w:pStyle w:val="H2CN"/>
      </w:pPr>
      <w:r>
        <w:t>对“知识库”的比赛说明</w:t>
      </w:r>
    </w:p>
    <w:p>
      <w:r>
        <w:t>LexCyber 的知识管理不是单纯向量检索库，而是包含“来源版本 + 规则包 + 模板包 + 会签记录”的可审计知识体系。如后续增加 RAG，可作为辅助检索层，但最终高风险规则执行仍以已批准规则包为准。</w:t>
      </w:r>
    </w:p>
    <w:p>
      <w:pPr>
        <w:pStyle w:val="H1CN"/>
      </w:pPr>
      <w:r>
        <w:t>10. 核心创新点表达方案</w:t>
      </w:r>
    </w:p>
    <w:p>
      <w:pPr>
        <w:pStyle w:val="H2CN"/>
      </w:pPr>
      <w:r>
        <w:t>创新点 1：事实版本化</w:t>
      </w:r>
    </w:p>
    <w:p>
      <w:r>
        <w:t>将 AI/人工使用的业务事实固化为 FactsVersion，明确每一次分析到底基于哪一版事实。</w:t>
      </w:r>
    </w:p>
    <w:p>
      <w:pPr>
        <w:pStyle w:val="H2CN"/>
      </w:pPr>
      <w:r>
        <w:t>创新点 2：规则版本化与会签</w:t>
      </w:r>
    </w:p>
    <w:p>
      <w:r>
        <w:t>规则不仅能执行，还记录来源、版本、适用范围和审批状态，未批准规则不能进入正式分析链路。</w:t>
      </w:r>
    </w:p>
    <w:p>
      <w:pPr>
        <w:pStyle w:val="H2CN"/>
      </w:pPr>
      <w:r>
        <w:t>创新点 3：逐条件可解释</w:t>
      </w:r>
    </w:p>
    <w:p>
      <w:r>
        <w:t>每条规则输出 fired 状态、条件 Trace、依据和内容哈希，避免只有最终结论没有过程。</w:t>
      </w:r>
    </w:p>
    <w:p>
      <w:pPr>
        <w:pStyle w:val="H2CN"/>
      </w:pPr>
      <w:r>
        <w:t>创新点 4：高风险人工复核</w:t>
      </w:r>
    </w:p>
    <w:p>
      <w:r>
        <w:t>所有结论性分析统一要求 Human Review，系统保留人工决定与意见。</w:t>
      </w:r>
    </w:p>
    <w:p>
      <w:pPr>
        <w:pStyle w:val="H2CN"/>
      </w:pPr>
      <w:r>
        <w:t>创新点 5：自动失效传播</w:t>
      </w:r>
    </w:p>
    <w:p>
      <w:r>
        <w:t>事实或依赖变化后，旧结果自动 stale，阻止旧批准被静默复用。</w:t>
      </w:r>
    </w:p>
    <w:p>
      <w:pPr>
        <w:pStyle w:val="H2CN"/>
      </w:pPr>
      <w:r>
        <w:t>创新点 6：平台化多领域扩展</w:t>
      </w:r>
    </w:p>
    <w:p>
      <w:r>
        <w:t>Legal Pack 与 Finance Compliance Pack 共用同一平台内核，证明系统不是一次性垂直 Demo。</w:t>
      </w:r>
    </w:p>
    <w:p>
      <w:pPr>
        <w:pStyle w:val="H1CN"/>
      </w:pPr>
      <w:r>
        <w:t>11. 与普通 RAG / 问答助手的区别</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维度</w:t>
            </w:r>
          </w:p>
        </w:tc>
        <w:tc>
          <w:tcPr>
            <w:tcW w:type="dxa" w:w="3324"/>
            <w:vAlign w:val="center"/>
            <w:shd w:fill="163A5F"/>
          </w:tcPr>
          <w:p>
            <w:pPr>
              <w:keepNext/>
              <w:jc w:val="center"/>
            </w:pPr>
            <w:r/>
            <w:r>
              <w:rPr>
                <w:rFonts w:ascii="Noto Sans CJK SC" w:hAnsi="Noto Sans CJK SC" w:eastAsia="Noto Sans CJK SC"/>
                <w:b/>
                <w:color w:val="FFFFFF"/>
                <w:sz w:val="18"/>
              </w:rPr>
              <w:t>普通问答/RAG</w:t>
            </w:r>
          </w:p>
        </w:tc>
        <w:tc>
          <w:tcPr>
            <w:tcW w:type="dxa" w:w="3324"/>
            <w:vAlign w:val="center"/>
            <w:shd w:fill="163A5F"/>
          </w:tcPr>
          <w:p>
            <w:pPr>
              <w:keepNext/>
              <w:jc w:val="center"/>
            </w:pPr>
            <w:r/>
            <w:r>
              <w:rPr>
                <w:rFonts w:ascii="Noto Sans CJK SC" w:hAnsi="Noto Sans CJK SC" w:eastAsia="Noto Sans CJK SC"/>
                <w:b/>
                <w:color w:val="FFFFFF"/>
                <w:sz w:val="18"/>
              </w:rPr>
              <w:t>网域衡鉴 LexCyber</w:t>
            </w:r>
          </w:p>
        </w:tc>
      </w:tr>
      <w:tr>
        <w:trPr>
          <w:cantSplit/>
        </w:trPr>
        <w:tc>
          <w:tcPr>
            <w:tcW w:type="dxa" w:w="3324"/>
            <w:vAlign w:val="center"/>
            <w:shd w:fill="F6F9FC"/>
          </w:tcPr>
          <w:p>
            <w:r/>
            <w:r>
              <w:rPr>
                <w:rFonts w:ascii="Noto Sans CJK SC" w:hAnsi="Noto Sans CJK SC" w:eastAsia="Noto Sans CJK SC"/>
                <w:b w:val="0"/>
                <w:sz w:val="18"/>
              </w:rPr>
              <w:t>输入管理</w:t>
            </w:r>
          </w:p>
        </w:tc>
        <w:tc>
          <w:tcPr>
            <w:tcW w:type="dxa" w:w="3324"/>
            <w:vAlign w:val="center"/>
            <w:shd w:fill="F6F9FC"/>
          </w:tcPr>
          <w:p>
            <w:r/>
            <w:r>
              <w:rPr>
                <w:rFonts w:ascii="Noto Sans CJK SC" w:hAnsi="Noto Sans CJK SC" w:eastAsia="Noto Sans CJK SC"/>
                <w:b w:val="0"/>
                <w:sz w:val="18"/>
              </w:rPr>
              <w:t>读取当前对话或文档</w:t>
            </w:r>
          </w:p>
        </w:tc>
        <w:tc>
          <w:tcPr>
            <w:tcW w:type="dxa" w:w="3324"/>
            <w:vAlign w:val="center"/>
            <w:shd w:fill="F6F9FC"/>
          </w:tcPr>
          <w:p>
            <w:r/>
            <w:r>
              <w:rPr>
                <w:rFonts w:ascii="Noto Sans CJK SC" w:hAnsi="Noto Sans CJK SC" w:eastAsia="Noto Sans CJK SC"/>
                <w:b w:val="0"/>
                <w:sz w:val="18"/>
              </w:rPr>
              <w:t>确认事实版本 FactsVersion</w:t>
            </w:r>
          </w:p>
        </w:tc>
      </w:tr>
      <w:tr>
        <w:trPr>
          <w:cantSplit/>
        </w:trPr>
        <w:tc>
          <w:tcPr>
            <w:tcW w:type="dxa" w:w="3324"/>
            <w:vAlign w:val="center"/>
          </w:tcPr>
          <w:p>
            <w:r/>
            <w:r>
              <w:rPr>
                <w:rFonts w:ascii="Noto Sans CJK SC" w:hAnsi="Noto Sans CJK SC" w:eastAsia="Noto Sans CJK SC"/>
                <w:b w:val="0"/>
                <w:sz w:val="18"/>
              </w:rPr>
              <w:t>知识管理</w:t>
            </w:r>
          </w:p>
        </w:tc>
        <w:tc>
          <w:tcPr>
            <w:tcW w:type="dxa" w:w="3324"/>
            <w:vAlign w:val="center"/>
          </w:tcPr>
          <w:p>
            <w:r/>
            <w:r>
              <w:rPr>
                <w:rFonts w:ascii="Noto Sans CJK SC" w:hAnsi="Noto Sans CJK SC" w:eastAsia="Noto Sans CJK SC"/>
                <w:b w:val="0"/>
                <w:sz w:val="18"/>
              </w:rPr>
              <w:t>向量库/提示词</w:t>
            </w:r>
          </w:p>
        </w:tc>
        <w:tc>
          <w:tcPr>
            <w:tcW w:type="dxa" w:w="3324"/>
            <w:vAlign w:val="center"/>
          </w:tcPr>
          <w:p>
            <w:r/>
            <w:r>
              <w:rPr>
                <w:rFonts w:ascii="Noto Sans CJK SC" w:hAnsi="Noto Sans CJK SC" w:eastAsia="Noto Sans CJK SC"/>
                <w:b w:val="0"/>
                <w:sz w:val="18"/>
              </w:rPr>
              <w:t>来源版本 + Rule Package + Template + Signoff</w:t>
            </w:r>
          </w:p>
        </w:tc>
      </w:tr>
      <w:tr>
        <w:trPr>
          <w:cantSplit/>
        </w:trPr>
        <w:tc>
          <w:tcPr>
            <w:tcW w:type="dxa" w:w="3324"/>
            <w:vAlign w:val="center"/>
            <w:shd w:fill="F6F9FC"/>
          </w:tcPr>
          <w:p>
            <w:r/>
            <w:r>
              <w:rPr>
                <w:rFonts w:ascii="Noto Sans CJK SC" w:hAnsi="Noto Sans CJK SC" w:eastAsia="Noto Sans CJK SC"/>
                <w:b w:val="0"/>
                <w:sz w:val="18"/>
              </w:rPr>
              <w:t>输出</w:t>
            </w:r>
          </w:p>
        </w:tc>
        <w:tc>
          <w:tcPr>
            <w:tcW w:type="dxa" w:w="3324"/>
            <w:vAlign w:val="center"/>
            <w:shd w:fill="F6F9FC"/>
          </w:tcPr>
          <w:p>
            <w:r/>
            <w:r>
              <w:rPr>
                <w:rFonts w:ascii="Noto Sans CJK SC" w:hAnsi="Noto Sans CJK SC" w:eastAsia="Noto Sans CJK SC"/>
                <w:b w:val="0"/>
                <w:sz w:val="18"/>
              </w:rPr>
              <w:t>自然语言答案</w:t>
            </w:r>
          </w:p>
        </w:tc>
        <w:tc>
          <w:tcPr>
            <w:tcW w:type="dxa" w:w="3324"/>
            <w:vAlign w:val="center"/>
            <w:shd w:fill="F6F9FC"/>
          </w:tcPr>
          <w:p>
            <w:r/>
            <w:r>
              <w:rPr>
                <w:rFonts w:ascii="Noto Sans CJK SC" w:hAnsi="Noto Sans CJK SC" w:eastAsia="Noto Sans CJK SC"/>
                <w:b w:val="0"/>
                <w:sz w:val="18"/>
              </w:rPr>
              <w:t>版本化 Artifact + 规则 Trace + 依赖快照</w:t>
            </w:r>
          </w:p>
        </w:tc>
      </w:tr>
      <w:tr>
        <w:trPr>
          <w:cantSplit/>
        </w:trPr>
        <w:tc>
          <w:tcPr>
            <w:tcW w:type="dxa" w:w="3324"/>
            <w:vAlign w:val="center"/>
          </w:tcPr>
          <w:p>
            <w:r/>
            <w:r>
              <w:rPr>
                <w:rFonts w:ascii="Noto Sans CJK SC" w:hAnsi="Noto Sans CJK SC" w:eastAsia="Noto Sans CJK SC"/>
                <w:b w:val="0"/>
                <w:sz w:val="18"/>
              </w:rPr>
              <w:t>解释性</w:t>
            </w:r>
          </w:p>
        </w:tc>
        <w:tc>
          <w:tcPr>
            <w:tcW w:type="dxa" w:w="3324"/>
            <w:vAlign w:val="center"/>
          </w:tcPr>
          <w:p>
            <w:r/>
            <w:r>
              <w:rPr>
                <w:rFonts w:ascii="Noto Sans CJK SC" w:hAnsi="Noto Sans CJK SC" w:eastAsia="Noto Sans CJK SC"/>
                <w:b w:val="0"/>
                <w:sz w:val="18"/>
              </w:rPr>
              <w:t>引用文本</w:t>
            </w:r>
          </w:p>
        </w:tc>
        <w:tc>
          <w:tcPr>
            <w:tcW w:type="dxa" w:w="3324"/>
            <w:vAlign w:val="center"/>
          </w:tcPr>
          <w:p>
            <w:r/>
            <w:r>
              <w:rPr>
                <w:rFonts w:ascii="Noto Sans CJK SC" w:hAnsi="Noto Sans CJK SC" w:eastAsia="Noto Sans CJK SC"/>
                <w:b w:val="0"/>
                <w:sz w:val="18"/>
              </w:rPr>
              <w:t>逐规则、逐条件执行过程</w:t>
            </w:r>
          </w:p>
        </w:tc>
      </w:tr>
      <w:tr>
        <w:trPr>
          <w:cantSplit/>
        </w:trPr>
        <w:tc>
          <w:tcPr>
            <w:tcW w:type="dxa" w:w="3324"/>
            <w:vAlign w:val="center"/>
            <w:shd w:fill="F6F9FC"/>
          </w:tcPr>
          <w:p>
            <w:r/>
            <w:r>
              <w:rPr>
                <w:rFonts w:ascii="Noto Sans CJK SC" w:hAnsi="Noto Sans CJK SC" w:eastAsia="Noto Sans CJK SC"/>
                <w:b w:val="0"/>
                <w:sz w:val="18"/>
              </w:rPr>
              <w:t>变更处理</w:t>
            </w:r>
          </w:p>
        </w:tc>
        <w:tc>
          <w:tcPr>
            <w:tcW w:type="dxa" w:w="3324"/>
            <w:vAlign w:val="center"/>
            <w:shd w:fill="F6F9FC"/>
          </w:tcPr>
          <w:p>
            <w:r/>
            <w:r>
              <w:rPr>
                <w:rFonts w:ascii="Noto Sans CJK SC" w:hAnsi="Noto Sans CJK SC" w:eastAsia="Noto Sans CJK SC"/>
                <w:b w:val="0"/>
                <w:sz w:val="18"/>
              </w:rPr>
              <w:t>需人工重新提问</w:t>
            </w:r>
          </w:p>
        </w:tc>
        <w:tc>
          <w:tcPr>
            <w:tcW w:type="dxa" w:w="3324"/>
            <w:vAlign w:val="center"/>
            <w:shd w:fill="F6F9FC"/>
          </w:tcPr>
          <w:p>
            <w:r/>
            <w:r>
              <w:rPr>
                <w:rFonts w:ascii="Noto Sans CJK SC" w:hAnsi="Noto Sans CJK SC" w:eastAsia="Noto Sans CJK SC"/>
                <w:b w:val="0"/>
                <w:sz w:val="18"/>
              </w:rPr>
              <w:t>依赖变化自动 stale</w:t>
            </w:r>
          </w:p>
        </w:tc>
      </w:tr>
      <w:tr>
        <w:trPr>
          <w:cantSplit/>
        </w:trPr>
        <w:tc>
          <w:tcPr>
            <w:tcW w:type="dxa" w:w="3324"/>
            <w:vAlign w:val="center"/>
          </w:tcPr>
          <w:p>
            <w:r/>
            <w:r>
              <w:rPr>
                <w:rFonts w:ascii="Noto Sans CJK SC" w:hAnsi="Noto Sans CJK SC" w:eastAsia="Noto Sans CJK SC"/>
                <w:b w:val="0"/>
                <w:sz w:val="18"/>
              </w:rPr>
              <w:t>人工复核</w:t>
            </w:r>
          </w:p>
        </w:tc>
        <w:tc>
          <w:tcPr>
            <w:tcW w:type="dxa" w:w="3324"/>
            <w:vAlign w:val="center"/>
          </w:tcPr>
          <w:p>
            <w:r/>
            <w:r>
              <w:rPr>
                <w:rFonts w:ascii="Noto Sans CJK SC" w:hAnsi="Noto Sans CJK SC" w:eastAsia="Noto Sans CJK SC"/>
                <w:b w:val="0"/>
                <w:sz w:val="18"/>
              </w:rPr>
              <w:t>可选</w:t>
            </w:r>
          </w:p>
        </w:tc>
        <w:tc>
          <w:tcPr>
            <w:tcW w:type="dxa" w:w="3324"/>
            <w:vAlign w:val="center"/>
          </w:tcPr>
          <w:p>
            <w:r/>
            <w:r>
              <w:rPr>
                <w:rFonts w:ascii="Noto Sans CJK SC" w:hAnsi="Noto Sans CJK SC" w:eastAsia="Noto Sans CJK SC"/>
                <w:b w:val="0"/>
                <w:sz w:val="18"/>
              </w:rPr>
              <w:t>高风险结果强制纳入复核</w:t>
            </w:r>
          </w:p>
        </w:tc>
      </w:tr>
      <w:tr>
        <w:trPr>
          <w:cantSplit/>
        </w:trPr>
        <w:tc>
          <w:tcPr>
            <w:tcW w:type="dxa" w:w="3324"/>
            <w:vAlign w:val="center"/>
            <w:shd w:fill="F6F9FC"/>
          </w:tcPr>
          <w:p>
            <w:r/>
            <w:r>
              <w:rPr>
                <w:rFonts w:ascii="Noto Sans CJK SC" w:hAnsi="Noto Sans CJK SC" w:eastAsia="Noto Sans CJK SC"/>
                <w:b w:val="0"/>
                <w:sz w:val="18"/>
              </w:rPr>
              <w:t>审计</w:t>
            </w:r>
          </w:p>
        </w:tc>
        <w:tc>
          <w:tcPr>
            <w:tcW w:type="dxa" w:w="3324"/>
            <w:vAlign w:val="center"/>
            <w:shd w:fill="F6F9FC"/>
          </w:tcPr>
          <w:p>
            <w:r/>
            <w:r>
              <w:rPr>
                <w:rFonts w:ascii="Noto Sans CJK SC" w:hAnsi="Noto Sans CJK SC" w:eastAsia="Noto Sans CJK SC"/>
                <w:b w:val="0"/>
                <w:sz w:val="18"/>
              </w:rPr>
              <w:t>通常有限</w:t>
            </w:r>
          </w:p>
        </w:tc>
        <w:tc>
          <w:tcPr>
            <w:tcW w:type="dxa" w:w="3324"/>
            <w:vAlign w:val="center"/>
            <w:shd w:fill="F6F9FC"/>
          </w:tcPr>
          <w:p>
            <w:r/>
            <w:r>
              <w:rPr>
                <w:rFonts w:ascii="Noto Sans CJK SC" w:hAnsi="Noto Sans CJK SC" w:eastAsia="Noto Sans CJK SC"/>
                <w:b w:val="0"/>
                <w:sz w:val="18"/>
              </w:rPr>
              <w:t>完整案件级 Archive</w:t>
            </w:r>
          </w:p>
        </w:tc>
      </w:tr>
    </w:tbl>
    <w:p/>
    <w:p>
      <w:pPr>
        <w:pStyle w:val="H1CN"/>
      </w:pPr>
      <w:r>
        <w:t>12. 应用价值说明</w:t>
      </w:r>
    </w:p>
    <w:p>
      <w:pPr>
        <w:pStyle w:val="H2CN"/>
      </w:pPr>
      <w:r>
        <w:t>12.1 对业务人员</w:t>
      </w:r>
    </w:p>
    <w:p>
      <w:pPr>
        <w:ind w:left="283" w:hanging="142"/>
      </w:pPr>
      <w:r>
        <w:rPr>
          <w:rFonts w:ascii="Noto Sans CJK SC" w:hAnsi="Noto Sans CJK SC" w:eastAsia="Noto Sans CJK SC"/>
        </w:rPr>
        <w:t>• 降低多材料、多规则条件下的人工检索与核对负担。</w:t>
      </w:r>
    </w:p>
    <w:p>
      <w:pPr>
        <w:ind w:left="283" w:hanging="142"/>
      </w:pPr>
      <w:r>
        <w:rPr>
          <w:rFonts w:ascii="Noto Sans CJK SC" w:hAnsi="Noto Sans CJK SC" w:eastAsia="Noto Sans CJK SC"/>
        </w:rPr>
        <w:t>• 明确风险项来自哪一事实、哪一规则、哪一版本。</w:t>
      </w:r>
    </w:p>
    <w:p>
      <w:pPr>
        <w:ind w:left="283" w:hanging="142"/>
      </w:pPr>
      <w:r>
        <w:rPr>
          <w:rFonts w:ascii="Noto Sans CJK SC" w:hAnsi="Noto Sans CJK SC" w:eastAsia="Noto Sans CJK SC"/>
        </w:rPr>
        <w:t>• 通过待补材料和 blocker 帮助业务人员快速定位缺失项。</w:t>
      </w:r>
    </w:p>
    <w:p>
      <w:pPr>
        <w:pStyle w:val="H2CN"/>
      </w:pPr>
      <w:r>
        <w:t>12.2 对合规/风控人员</w:t>
      </w:r>
    </w:p>
    <w:p>
      <w:pPr>
        <w:ind w:left="283" w:hanging="142"/>
      </w:pPr>
      <w:r>
        <w:rPr>
          <w:rFonts w:ascii="Noto Sans CJK SC" w:hAnsi="Noto Sans CJK SC" w:eastAsia="Noto Sans CJK SC"/>
        </w:rPr>
        <w:t>• 获得可复核而不是黑箱式的 AI 分析结果。</w:t>
      </w:r>
    </w:p>
    <w:p>
      <w:pPr>
        <w:ind w:left="283" w:hanging="142"/>
      </w:pPr>
      <w:r>
        <w:rPr>
          <w:rFonts w:ascii="Noto Sans CJK SC" w:hAnsi="Noto Sans CJK SC" w:eastAsia="Noto Sans CJK SC"/>
        </w:rPr>
        <w:t>• 规则更新后可以识别哪些历史结果需要重新研判。</w:t>
      </w:r>
    </w:p>
    <w:p>
      <w:pPr>
        <w:ind w:left="283" w:hanging="142"/>
      </w:pPr>
      <w:r>
        <w:rPr>
          <w:rFonts w:ascii="Noto Sans CJK SC" w:hAnsi="Noto Sans CJK SC" w:eastAsia="Noto Sans CJK SC"/>
        </w:rPr>
        <w:t>• 保留审查过程、人工决定和最终归档，便于追溯。</w:t>
      </w:r>
    </w:p>
    <w:p>
      <w:pPr>
        <w:pStyle w:val="H2CN"/>
      </w:pPr>
      <w:r>
        <w:t>12.3 对机构</w:t>
      </w:r>
    </w:p>
    <w:p>
      <w:pPr>
        <w:ind w:left="283" w:hanging="142"/>
      </w:pPr>
      <w:r>
        <w:rPr>
          <w:rFonts w:ascii="Noto Sans CJK SC" w:hAnsi="Noto Sans CJK SC" w:eastAsia="Noto Sans CJK SC"/>
        </w:rPr>
        <w:t>• 把零散的 AI 工具能力纳入统一审计生命周期。</w:t>
      </w:r>
    </w:p>
    <w:p>
      <w:pPr>
        <w:ind w:left="283" w:hanging="142"/>
      </w:pPr>
      <w:r>
        <w:rPr>
          <w:rFonts w:ascii="Noto Sans CJK SC" w:hAnsi="Noto Sans CJK SC" w:eastAsia="Noto Sans CJK SC"/>
        </w:rPr>
        <w:t>• 通过行业 Pack 扩展不同业务，而不必为每个场景重建一套 Agent 平台。</w:t>
      </w:r>
    </w:p>
    <w:p>
      <w:pPr>
        <w:pStyle w:val="H1CN"/>
      </w:pPr>
      <w:r>
        <w:t>13. 风险边界与安全说明</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163A5F"/>
          </w:tcPr>
          <w:p>
            <w:pPr>
              <w:keepNext/>
              <w:jc w:val="center"/>
            </w:pPr>
            <w:r/>
            <w:r>
              <w:rPr>
                <w:rFonts w:ascii="Noto Sans CJK SC" w:hAnsi="Noto Sans CJK SC" w:eastAsia="Noto Sans CJK SC"/>
                <w:b/>
                <w:color w:val="FFFFFF"/>
                <w:sz w:val="18"/>
              </w:rPr>
              <w:t>风险</w:t>
            </w:r>
          </w:p>
        </w:tc>
        <w:tc>
          <w:tcPr>
            <w:tcW w:type="dxa" w:w="4986"/>
            <w:vAlign w:val="center"/>
            <w:shd w:fill="163A5F"/>
          </w:tcPr>
          <w:p>
            <w:pPr>
              <w:keepNext/>
              <w:jc w:val="center"/>
            </w:pPr>
            <w:r/>
            <w:r>
              <w:rPr>
                <w:rFonts w:ascii="Noto Sans CJK SC" w:hAnsi="Noto Sans CJK SC" w:eastAsia="Noto Sans CJK SC"/>
                <w:b/>
                <w:color w:val="FFFFFF"/>
                <w:sz w:val="18"/>
              </w:rPr>
              <w:t>系统控制</w:t>
            </w:r>
          </w:p>
        </w:tc>
      </w:tr>
      <w:tr>
        <w:trPr>
          <w:cantSplit/>
        </w:trPr>
        <w:tc>
          <w:tcPr>
            <w:tcW w:type="dxa" w:w="4986"/>
            <w:vAlign w:val="center"/>
            <w:shd w:fill="F6F9FC"/>
          </w:tcPr>
          <w:p>
            <w:r/>
            <w:r>
              <w:rPr>
                <w:rFonts w:ascii="Noto Sans CJK SC" w:hAnsi="Noto Sans CJK SC" w:eastAsia="Noto Sans CJK SC"/>
                <w:b w:val="0"/>
                <w:sz w:val="18"/>
              </w:rPr>
              <w:t>自动决策风险</w:t>
            </w:r>
          </w:p>
        </w:tc>
        <w:tc>
          <w:tcPr>
            <w:tcW w:type="dxa" w:w="4986"/>
            <w:vAlign w:val="center"/>
            <w:shd w:fill="F6F9FC"/>
          </w:tcPr>
          <w:p>
            <w:r/>
            <w:r>
              <w:rPr>
                <w:rFonts w:ascii="Noto Sans CJK SC" w:hAnsi="Noto Sans CJK SC" w:eastAsia="Noto Sans CJK SC"/>
                <w:b w:val="0"/>
                <w:sz w:val="18"/>
              </w:rPr>
              <w:t>系统只输出辅助研判和风险提示，最终结论由人工复核。</w:t>
            </w:r>
          </w:p>
        </w:tc>
      </w:tr>
      <w:tr>
        <w:trPr>
          <w:cantSplit/>
        </w:trPr>
        <w:tc>
          <w:tcPr>
            <w:tcW w:type="dxa" w:w="4986"/>
            <w:vAlign w:val="center"/>
          </w:tcPr>
          <w:p>
            <w:r/>
            <w:r>
              <w:rPr>
                <w:rFonts w:ascii="Noto Sans CJK SC" w:hAnsi="Noto Sans CJK SC" w:eastAsia="Noto Sans CJK SC"/>
                <w:b w:val="0"/>
                <w:sz w:val="18"/>
              </w:rPr>
              <w:t>规则错误风险</w:t>
            </w:r>
          </w:p>
        </w:tc>
        <w:tc>
          <w:tcPr>
            <w:tcW w:type="dxa" w:w="4986"/>
            <w:vAlign w:val="center"/>
          </w:tcPr>
          <w:p>
            <w:r/>
            <w:r>
              <w:rPr>
                <w:rFonts w:ascii="Noto Sans CJK SC" w:hAnsi="Noto Sans CJK SC" w:eastAsia="Noto Sans CJK SC"/>
                <w:b w:val="0"/>
                <w:sz w:val="18"/>
              </w:rPr>
              <w:t>规则入库需会签，未批准规则不得参与正式产出。</w:t>
            </w:r>
          </w:p>
        </w:tc>
      </w:tr>
      <w:tr>
        <w:trPr>
          <w:cantSplit/>
        </w:trPr>
        <w:tc>
          <w:tcPr>
            <w:tcW w:type="dxa" w:w="4986"/>
            <w:vAlign w:val="center"/>
            <w:shd w:fill="F6F9FC"/>
          </w:tcPr>
          <w:p>
            <w:r/>
            <w:r>
              <w:rPr>
                <w:rFonts w:ascii="Noto Sans CJK SC" w:hAnsi="Noto Sans CJK SC" w:eastAsia="Noto Sans CJK SC"/>
                <w:b w:val="0"/>
                <w:sz w:val="18"/>
              </w:rPr>
              <w:t>事实错误风险</w:t>
            </w:r>
          </w:p>
        </w:tc>
        <w:tc>
          <w:tcPr>
            <w:tcW w:type="dxa" w:w="4986"/>
            <w:vAlign w:val="center"/>
            <w:shd w:fill="F6F9FC"/>
          </w:tcPr>
          <w:p>
            <w:r/>
            <w:r>
              <w:rPr>
                <w:rFonts w:ascii="Noto Sans CJK SC" w:hAnsi="Noto Sans CJK SC" w:eastAsia="Noto Sans CJK SC"/>
                <w:b w:val="0"/>
                <w:sz w:val="18"/>
              </w:rPr>
              <w:t>候选事实不得直接视为 confirmed，需要人工确认。</w:t>
            </w:r>
          </w:p>
        </w:tc>
      </w:tr>
      <w:tr>
        <w:trPr>
          <w:cantSplit/>
        </w:trPr>
        <w:tc>
          <w:tcPr>
            <w:tcW w:type="dxa" w:w="4986"/>
            <w:vAlign w:val="center"/>
          </w:tcPr>
          <w:p>
            <w:r/>
            <w:r>
              <w:rPr>
                <w:rFonts w:ascii="Noto Sans CJK SC" w:hAnsi="Noto Sans CJK SC" w:eastAsia="Noto Sans CJK SC"/>
                <w:b w:val="0"/>
                <w:sz w:val="18"/>
              </w:rPr>
              <w:t>数据泄露风险</w:t>
            </w:r>
          </w:p>
        </w:tc>
        <w:tc>
          <w:tcPr>
            <w:tcW w:type="dxa" w:w="4986"/>
            <w:vAlign w:val="center"/>
          </w:tcPr>
          <w:p>
            <w:r/>
            <w:r>
              <w:rPr>
                <w:rFonts w:ascii="Noto Sans CJK SC" w:hAnsi="Noto Sans CJK SC" w:eastAsia="Noto Sans CJK SC"/>
                <w:b w:val="0"/>
                <w:sz w:val="18"/>
              </w:rPr>
              <w:t>比赛使用合成/脱敏数据，不展示真实客户敏感信息。</w:t>
            </w:r>
          </w:p>
        </w:tc>
      </w:tr>
      <w:tr>
        <w:trPr>
          <w:cantSplit/>
        </w:trPr>
        <w:tc>
          <w:tcPr>
            <w:tcW w:type="dxa" w:w="4986"/>
            <w:vAlign w:val="center"/>
            <w:shd w:fill="F6F9FC"/>
          </w:tcPr>
          <w:p>
            <w:r/>
            <w:r>
              <w:rPr>
                <w:rFonts w:ascii="Noto Sans CJK SC" w:hAnsi="Noto Sans CJK SC" w:eastAsia="Noto Sans CJK SC"/>
                <w:b w:val="0"/>
                <w:sz w:val="18"/>
              </w:rPr>
              <w:t>规则变化风险</w:t>
            </w:r>
          </w:p>
        </w:tc>
        <w:tc>
          <w:tcPr>
            <w:tcW w:type="dxa" w:w="4986"/>
            <w:vAlign w:val="center"/>
            <w:shd w:fill="F6F9FC"/>
          </w:tcPr>
          <w:p>
            <w:r/>
            <w:r>
              <w:rPr>
                <w:rFonts w:ascii="Noto Sans CJK SC" w:hAnsi="Noto Sans CJK SC" w:eastAsia="Noto Sans CJK SC"/>
                <w:b w:val="0"/>
                <w:sz w:val="18"/>
              </w:rPr>
              <w:t>通过版本、生效期和 stale 机制避免旧规则结果被误用。</w:t>
            </w:r>
          </w:p>
        </w:tc>
      </w:tr>
      <w:tr>
        <w:trPr>
          <w:cantSplit/>
        </w:trPr>
        <w:tc>
          <w:tcPr>
            <w:tcW w:type="dxa" w:w="4986"/>
            <w:vAlign w:val="center"/>
          </w:tcPr>
          <w:p>
            <w:r/>
            <w:r>
              <w:rPr>
                <w:rFonts w:ascii="Noto Sans CJK SC" w:hAnsi="Noto Sans CJK SC" w:eastAsia="Noto Sans CJK SC"/>
                <w:b w:val="0"/>
                <w:sz w:val="18"/>
              </w:rPr>
              <w:t>模型不稳定风险</w:t>
            </w:r>
          </w:p>
        </w:tc>
        <w:tc>
          <w:tcPr>
            <w:tcW w:type="dxa" w:w="4986"/>
            <w:vAlign w:val="center"/>
          </w:tcPr>
          <w:p>
            <w:r/>
            <w:r>
              <w:rPr>
                <w:rFonts w:ascii="Noto Sans CJK SC" w:hAnsi="Noto Sans CJK SC" w:eastAsia="Noto Sans CJK SC"/>
                <w:b w:val="0"/>
                <w:sz w:val="18"/>
              </w:rPr>
              <w:t>核心链路不依赖外部大模型在线；规则执行和复核流程可独立完成。</w:t>
            </w:r>
          </w:p>
        </w:tc>
      </w:tr>
    </w:tbl>
    <w:p/>
    <w:p>
      <w:pPr>
        <w:pStyle w:val="H1CN"/>
      </w:pPr>
      <w:r>
        <w:t>14. 系统展示内容建议</w:t>
      </w:r>
    </w:p>
    <w:p>
      <w:pPr/>
      <w:r>
        <w:t>比赛系统展示应优先展示“可信链路”，而不是堆功能。</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vAlign w:val="center"/>
            <w:shd w:fill="163A5F"/>
          </w:tcPr>
          <w:p>
            <w:pPr>
              <w:keepNext/>
              <w:jc w:val="center"/>
            </w:pPr>
            <w:r/>
            <w:r>
              <w:rPr>
                <w:rFonts w:ascii="Noto Sans CJK SC" w:hAnsi="Noto Sans CJK SC" w:eastAsia="Noto Sans CJK SC"/>
                <w:b/>
                <w:color w:val="FFFFFF"/>
                <w:sz w:val="18"/>
              </w:rPr>
              <w:t>编号</w:t>
            </w:r>
          </w:p>
        </w:tc>
        <w:tc>
          <w:tcPr>
            <w:tcW w:type="dxa" w:w="3324"/>
            <w:vAlign w:val="center"/>
            <w:shd w:fill="163A5F"/>
          </w:tcPr>
          <w:p>
            <w:pPr>
              <w:keepNext/>
              <w:jc w:val="center"/>
            </w:pPr>
            <w:r/>
            <w:r>
              <w:rPr>
                <w:rFonts w:ascii="Noto Sans CJK SC" w:hAnsi="Noto Sans CJK SC" w:eastAsia="Noto Sans CJK SC"/>
                <w:b/>
                <w:color w:val="FFFFFF"/>
                <w:sz w:val="18"/>
              </w:rPr>
              <w:t>建议截图</w:t>
            </w:r>
          </w:p>
        </w:tc>
        <w:tc>
          <w:tcPr>
            <w:tcW w:type="dxa" w:w="3324"/>
            <w:vAlign w:val="center"/>
            <w:shd w:fill="163A5F"/>
          </w:tcPr>
          <w:p>
            <w:pPr>
              <w:keepNext/>
              <w:jc w:val="center"/>
            </w:pPr>
            <w:r/>
            <w:r>
              <w:rPr>
                <w:rFonts w:ascii="Noto Sans CJK SC" w:hAnsi="Noto Sans CJK SC" w:eastAsia="Noto Sans CJK SC"/>
                <w:b/>
                <w:color w:val="FFFFFF"/>
                <w:sz w:val="18"/>
              </w:rPr>
              <w:t>截图重点</w:t>
            </w:r>
          </w:p>
        </w:tc>
      </w:tr>
      <w:tr>
        <w:trPr>
          <w:cantSplit/>
        </w:trPr>
        <w:tc>
          <w:tcPr>
            <w:tcW w:type="dxa" w:w="3324"/>
            <w:vAlign w:val="center"/>
            <w:shd w:fill="F6F9FC"/>
          </w:tcPr>
          <w:p>
            <w:r/>
            <w:r>
              <w:rPr>
                <w:rFonts w:ascii="Noto Sans CJK SC" w:hAnsi="Noto Sans CJK SC" w:eastAsia="Noto Sans CJK SC"/>
                <w:b w:val="0"/>
                <w:sz w:val="18"/>
              </w:rPr>
              <w:t>S-01</w:t>
            </w:r>
          </w:p>
        </w:tc>
        <w:tc>
          <w:tcPr>
            <w:tcW w:type="dxa" w:w="3324"/>
            <w:vAlign w:val="center"/>
            <w:shd w:fill="F6F9FC"/>
          </w:tcPr>
          <w:p>
            <w:r/>
            <w:r>
              <w:rPr>
                <w:rFonts w:ascii="Noto Sans CJK SC" w:hAnsi="Noto Sans CJK SC" w:eastAsia="Noto Sans CJK SC"/>
                <w:b w:val="0"/>
                <w:sz w:val="18"/>
              </w:rPr>
              <w:t>平台首页</w:t>
            </w:r>
          </w:p>
        </w:tc>
        <w:tc>
          <w:tcPr>
            <w:tcW w:type="dxa" w:w="3324"/>
            <w:vAlign w:val="center"/>
            <w:shd w:fill="F6F9FC"/>
          </w:tcPr>
          <w:p>
            <w:r/>
            <w:r>
              <w:rPr>
                <w:rFonts w:ascii="Noto Sans CJK SC" w:hAnsi="Noto Sans CJK SC" w:eastAsia="Noto Sans CJK SC"/>
                <w:b w:val="0"/>
                <w:sz w:val="18"/>
              </w:rPr>
              <w:t>展示网域衡鉴 LexCyber 品牌、金融合规示范场景入口</w:t>
            </w:r>
          </w:p>
        </w:tc>
      </w:tr>
      <w:tr>
        <w:trPr>
          <w:cantSplit/>
        </w:trPr>
        <w:tc>
          <w:tcPr>
            <w:tcW w:type="dxa" w:w="3324"/>
            <w:vAlign w:val="center"/>
          </w:tcPr>
          <w:p>
            <w:r/>
            <w:r>
              <w:rPr>
                <w:rFonts w:ascii="Noto Sans CJK SC" w:hAnsi="Noto Sans CJK SC" w:eastAsia="Noto Sans CJK SC"/>
                <w:b w:val="0"/>
                <w:sz w:val="18"/>
              </w:rPr>
              <w:t>S-02</w:t>
            </w:r>
          </w:p>
        </w:tc>
        <w:tc>
          <w:tcPr>
            <w:tcW w:type="dxa" w:w="3324"/>
            <w:vAlign w:val="center"/>
          </w:tcPr>
          <w:p>
            <w:r/>
            <w:r>
              <w:rPr>
                <w:rFonts w:ascii="Noto Sans CJK SC" w:hAnsi="Noto Sans CJK SC" w:eastAsia="Noto Sans CJK SC"/>
                <w:b w:val="0"/>
                <w:sz w:val="18"/>
              </w:rPr>
              <w:t>审查事项列表</w:t>
            </w:r>
          </w:p>
        </w:tc>
        <w:tc>
          <w:tcPr>
            <w:tcW w:type="dxa" w:w="3324"/>
            <w:vAlign w:val="center"/>
          </w:tcPr>
          <w:p>
            <w:r/>
            <w:r>
              <w:rPr>
                <w:rFonts w:ascii="Noto Sans CJK SC" w:hAnsi="Noto Sans CJK SC" w:eastAsia="Noto Sans CJK SC"/>
                <w:b w:val="0"/>
                <w:sz w:val="18"/>
              </w:rPr>
              <w:t>F1/F2 预置 Demo</w:t>
            </w:r>
          </w:p>
        </w:tc>
      </w:tr>
      <w:tr>
        <w:trPr>
          <w:cantSplit/>
        </w:trPr>
        <w:tc>
          <w:tcPr>
            <w:tcW w:type="dxa" w:w="3324"/>
            <w:vAlign w:val="center"/>
            <w:shd w:fill="F6F9FC"/>
          </w:tcPr>
          <w:p>
            <w:r/>
            <w:r>
              <w:rPr>
                <w:rFonts w:ascii="Noto Sans CJK SC" w:hAnsi="Noto Sans CJK SC" w:eastAsia="Noto Sans CJK SC"/>
                <w:b w:val="0"/>
                <w:sz w:val="18"/>
              </w:rPr>
              <w:t>S-03</w:t>
            </w:r>
          </w:p>
        </w:tc>
        <w:tc>
          <w:tcPr>
            <w:tcW w:type="dxa" w:w="3324"/>
            <w:vAlign w:val="center"/>
            <w:shd w:fill="F6F9FC"/>
          </w:tcPr>
          <w:p>
            <w:r/>
            <w:r>
              <w:rPr>
                <w:rFonts w:ascii="Noto Sans CJK SC" w:hAnsi="Noto Sans CJK SC" w:eastAsia="Noto Sans CJK SC"/>
                <w:b w:val="0"/>
                <w:sz w:val="18"/>
              </w:rPr>
              <w:t>业务材料页</w:t>
            </w:r>
          </w:p>
        </w:tc>
        <w:tc>
          <w:tcPr>
            <w:tcW w:type="dxa" w:w="3324"/>
            <w:vAlign w:val="center"/>
            <w:shd w:fill="F6F9FC"/>
          </w:tcPr>
          <w:p>
            <w:r/>
            <w:r>
              <w:rPr>
                <w:rFonts w:ascii="Noto Sans CJK SC" w:hAnsi="Noto Sans CJK SC" w:eastAsia="Noto Sans CJK SC"/>
                <w:b w:val="0"/>
                <w:sz w:val="18"/>
              </w:rPr>
              <w:t>上传材料与 document.parse 状态</w:t>
            </w:r>
          </w:p>
        </w:tc>
      </w:tr>
      <w:tr>
        <w:trPr>
          <w:cantSplit/>
        </w:trPr>
        <w:tc>
          <w:tcPr>
            <w:tcW w:type="dxa" w:w="3324"/>
            <w:vAlign w:val="center"/>
          </w:tcPr>
          <w:p>
            <w:r/>
            <w:r>
              <w:rPr>
                <w:rFonts w:ascii="Noto Sans CJK SC" w:hAnsi="Noto Sans CJK SC" w:eastAsia="Noto Sans CJK SC"/>
                <w:b w:val="0"/>
                <w:sz w:val="18"/>
              </w:rPr>
              <w:t>S-04</w:t>
            </w:r>
          </w:p>
        </w:tc>
        <w:tc>
          <w:tcPr>
            <w:tcW w:type="dxa" w:w="3324"/>
            <w:vAlign w:val="center"/>
          </w:tcPr>
          <w:p>
            <w:r/>
            <w:r>
              <w:rPr>
                <w:rFonts w:ascii="Noto Sans CJK SC" w:hAnsi="Noto Sans CJK SC" w:eastAsia="Noto Sans CJK SC"/>
                <w:b w:val="0"/>
                <w:sz w:val="18"/>
              </w:rPr>
              <w:t>事实核验页</w:t>
            </w:r>
          </w:p>
        </w:tc>
        <w:tc>
          <w:tcPr>
            <w:tcW w:type="dxa" w:w="3324"/>
            <w:vAlign w:val="center"/>
          </w:tcPr>
          <w:p>
            <w:r/>
            <w:r>
              <w:rPr>
                <w:rFonts w:ascii="Noto Sans CJK SC" w:hAnsi="Noto Sans CJK SC" w:eastAsia="Noto Sans CJK SC"/>
                <w:b w:val="0"/>
                <w:sz w:val="18"/>
              </w:rPr>
              <w:t>候选事实与 confirmed 状态</w:t>
            </w:r>
          </w:p>
        </w:tc>
      </w:tr>
      <w:tr>
        <w:trPr>
          <w:cantSplit/>
        </w:trPr>
        <w:tc>
          <w:tcPr>
            <w:tcW w:type="dxa" w:w="3324"/>
            <w:vAlign w:val="center"/>
            <w:shd w:fill="F6F9FC"/>
          </w:tcPr>
          <w:p>
            <w:r/>
            <w:r>
              <w:rPr>
                <w:rFonts w:ascii="Noto Sans CJK SC" w:hAnsi="Noto Sans CJK SC" w:eastAsia="Noto Sans CJK SC"/>
                <w:b w:val="0"/>
                <w:sz w:val="18"/>
              </w:rPr>
              <w:t>S-05</w:t>
            </w:r>
          </w:p>
        </w:tc>
        <w:tc>
          <w:tcPr>
            <w:tcW w:type="dxa" w:w="3324"/>
            <w:vAlign w:val="center"/>
            <w:shd w:fill="F6F9FC"/>
          </w:tcPr>
          <w:p>
            <w:r/>
            <w:r>
              <w:rPr>
                <w:rFonts w:ascii="Noto Sans CJK SC" w:hAnsi="Noto Sans CJK SC" w:eastAsia="Noto Sans CJK SC"/>
                <w:b w:val="0"/>
                <w:sz w:val="18"/>
              </w:rPr>
              <w:t>FactsVersion/版本页</w:t>
            </w:r>
          </w:p>
        </w:tc>
        <w:tc>
          <w:tcPr>
            <w:tcW w:type="dxa" w:w="3324"/>
            <w:vAlign w:val="center"/>
            <w:shd w:fill="F6F9FC"/>
          </w:tcPr>
          <w:p>
            <w:r/>
            <w:r>
              <w:rPr>
                <w:rFonts w:ascii="Noto Sans CJK SC" w:hAnsi="Noto Sans CJK SC" w:eastAsia="Noto Sans CJK SC"/>
                <w:b w:val="0"/>
                <w:sz w:val="18"/>
              </w:rPr>
              <w:t>展示事实版本与确认时间</w:t>
            </w:r>
          </w:p>
        </w:tc>
      </w:tr>
      <w:tr>
        <w:trPr>
          <w:cantSplit/>
        </w:trPr>
        <w:tc>
          <w:tcPr>
            <w:tcW w:type="dxa" w:w="3324"/>
            <w:vAlign w:val="center"/>
          </w:tcPr>
          <w:p>
            <w:r/>
            <w:r>
              <w:rPr>
                <w:rFonts w:ascii="Noto Sans CJK SC" w:hAnsi="Noto Sans CJK SC" w:eastAsia="Noto Sans CJK SC"/>
                <w:b w:val="0"/>
                <w:sz w:val="18"/>
              </w:rPr>
              <w:t>S-06</w:t>
            </w:r>
          </w:p>
        </w:tc>
        <w:tc>
          <w:tcPr>
            <w:tcW w:type="dxa" w:w="3324"/>
            <w:vAlign w:val="center"/>
          </w:tcPr>
          <w:p>
            <w:r/>
            <w:r>
              <w:rPr>
                <w:rFonts w:ascii="Noto Sans CJK SC" w:hAnsi="Noto Sans CJK SC" w:eastAsia="Noto Sans CJK SC"/>
                <w:b w:val="0"/>
                <w:sz w:val="18"/>
              </w:rPr>
              <w:t>合规研判页</w:t>
            </w:r>
          </w:p>
        </w:tc>
        <w:tc>
          <w:tcPr>
            <w:tcW w:type="dxa" w:w="3324"/>
            <w:vAlign w:val="center"/>
          </w:tcPr>
          <w:p>
            <w:r/>
            <w:r>
              <w:rPr>
                <w:rFonts w:ascii="Noto Sans CJK SC" w:hAnsi="Noto Sans CJK SC" w:eastAsia="Noto Sans CJK SC"/>
                <w:b w:val="0"/>
                <w:sz w:val="18"/>
              </w:rPr>
              <w:t>规则命中、未命中、Trace、依据</w:t>
            </w:r>
          </w:p>
        </w:tc>
      </w:tr>
      <w:tr>
        <w:trPr>
          <w:cantSplit/>
        </w:trPr>
        <w:tc>
          <w:tcPr>
            <w:tcW w:type="dxa" w:w="3324"/>
            <w:vAlign w:val="center"/>
            <w:shd w:fill="F6F9FC"/>
          </w:tcPr>
          <w:p>
            <w:r/>
            <w:r>
              <w:rPr>
                <w:rFonts w:ascii="Noto Sans CJK SC" w:hAnsi="Noto Sans CJK SC" w:eastAsia="Noto Sans CJK SC"/>
                <w:b w:val="0"/>
                <w:sz w:val="18"/>
              </w:rPr>
              <w:t>S-07</w:t>
            </w:r>
          </w:p>
        </w:tc>
        <w:tc>
          <w:tcPr>
            <w:tcW w:type="dxa" w:w="3324"/>
            <w:vAlign w:val="center"/>
            <w:shd w:fill="F6F9FC"/>
          </w:tcPr>
          <w:p>
            <w:r/>
            <w:r>
              <w:rPr>
                <w:rFonts w:ascii="Noto Sans CJK SC" w:hAnsi="Noto Sans CJK SC" w:eastAsia="Noto Sans CJK SC"/>
                <w:b w:val="0"/>
                <w:sz w:val="18"/>
              </w:rPr>
              <w:t>人工复核页</w:t>
            </w:r>
          </w:p>
        </w:tc>
        <w:tc>
          <w:tcPr>
            <w:tcW w:type="dxa" w:w="3324"/>
            <w:vAlign w:val="center"/>
            <w:shd w:fill="F6F9FC"/>
          </w:tcPr>
          <w:p>
            <w:r/>
            <w:r>
              <w:rPr>
                <w:rFonts w:ascii="Noto Sans CJK SC" w:hAnsi="Noto Sans CJK SC" w:eastAsia="Noto Sans CJK SC"/>
                <w:b w:val="0"/>
                <w:sz w:val="18"/>
              </w:rPr>
              <w:t>批准/退回/复核意见</w:t>
            </w:r>
          </w:p>
        </w:tc>
      </w:tr>
      <w:tr>
        <w:trPr>
          <w:cantSplit/>
        </w:trPr>
        <w:tc>
          <w:tcPr>
            <w:tcW w:type="dxa" w:w="3324"/>
            <w:vAlign w:val="center"/>
          </w:tcPr>
          <w:p>
            <w:r/>
            <w:r>
              <w:rPr>
                <w:rFonts w:ascii="Noto Sans CJK SC" w:hAnsi="Noto Sans CJK SC" w:eastAsia="Noto Sans CJK SC"/>
                <w:b w:val="0"/>
                <w:sz w:val="18"/>
              </w:rPr>
              <w:t>S-08</w:t>
            </w:r>
          </w:p>
        </w:tc>
        <w:tc>
          <w:tcPr>
            <w:tcW w:type="dxa" w:w="3324"/>
            <w:vAlign w:val="center"/>
          </w:tcPr>
          <w:p>
            <w:r/>
            <w:r>
              <w:rPr>
                <w:rFonts w:ascii="Noto Sans CJK SC" w:hAnsi="Noto Sans CJK SC" w:eastAsia="Noto Sans CJK SC"/>
                <w:b w:val="0"/>
                <w:sz w:val="18"/>
              </w:rPr>
              <w:t>审查报告页</w:t>
            </w:r>
          </w:p>
        </w:tc>
        <w:tc>
          <w:tcPr>
            <w:tcW w:type="dxa" w:w="3324"/>
            <w:vAlign w:val="center"/>
          </w:tcPr>
          <w:p>
            <w:r/>
            <w:r>
              <w:rPr>
                <w:rFonts w:ascii="Noto Sans CJK SC" w:hAnsi="Noto Sans CJK SC" w:eastAsia="Noto Sans CJK SC"/>
                <w:b w:val="0"/>
                <w:sz w:val="18"/>
              </w:rPr>
              <w:t>draft.v2 金融合规审查报告</w:t>
            </w:r>
          </w:p>
        </w:tc>
      </w:tr>
      <w:tr>
        <w:trPr>
          <w:cantSplit/>
        </w:trPr>
        <w:tc>
          <w:tcPr>
            <w:tcW w:type="dxa" w:w="3324"/>
            <w:vAlign w:val="center"/>
            <w:shd w:fill="F6F9FC"/>
          </w:tcPr>
          <w:p>
            <w:r/>
            <w:r>
              <w:rPr>
                <w:rFonts w:ascii="Noto Sans CJK SC" w:hAnsi="Noto Sans CJK SC" w:eastAsia="Noto Sans CJK SC"/>
                <w:b w:val="0"/>
                <w:sz w:val="18"/>
              </w:rPr>
              <w:t>S-09</w:t>
            </w:r>
          </w:p>
        </w:tc>
        <w:tc>
          <w:tcPr>
            <w:tcW w:type="dxa" w:w="3324"/>
            <w:vAlign w:val="center"/>
            <w:shd w:fill="F6F9FC"/>
          </w:tcPr>
          <w:p>
            <w:r/>
            <w:r>
              <w:rPr>
                <w:rFonts w:ascii="Noto Sans CJK SC" w:hAnsi="Noto Sans CJK SC" w:eastAsia="Noto Sans CJK SC"/>
                <w:b w:val="0"/>
                <w:sz w:val="18"/>
              </w:rPr>
              <w:t>Stale 状态</w:t>
            </w:r>
          </w:p>
        </w:tc>
        <w:tc>
          <w:tcPr>
            <w:tcW w:type="dxa" w:w="3324"/>
            <w:vAlign w:val="center"/>
            <w:shd w:fill="F6F9FC"/>
          </w:tcPr>
          <w:p>
            <w:r/>
            <w:r>
              <w:rPr>
                <w:rFonts w:ascii="Noto Sans CJK SC" w:hAnsi="Noto Sans CJK SC" w:eastAsia="Noto Sans CJK SC"/>
                <w:b w:val="0"/>
                <w:sz w:val="18"/>
              </w:rPr>
              <w:t>事实变化后旧结果失效</w:t>
            </w:r>
          </w:p>
        </w:tc>
      </w:tr>
      <w:tr>
        <w:trPr>
          <w:cantSplit/>
        </w:trPr>
        <w:tc>
          <w:tcPr>
            <w:tcW w:type="dxa" w:w="3324"/>
            <w:vAlign w:val="center"/>
          </w:tcPr>
          <w:p>
            <w:r/>
            <w:r>
              <w:rPr>
                <w:rFonts w:ascii="Noto Sans CJK SC" w:hAnsi="Noto Sans CJK SC" w:eastAsia="Noto Sans CJK SC"/>
                <w:b w:val="0"/>
                <w:sz w:val="18"/>
              </w:rPr>
              <w:t>S-10</w:t>
            </w:r>
          </w:p>
        </w:tc>
        <w:tc>
          <w:tcPr>
            <w:tcW w:type="dxa" w:w="3324"/>
            <w:vAlign w:val="center"/>
          </w:tcPr>
          <w:p>
            <w:r/>
            <w:r>
              <w:rPr>
                <w:rFonts w:ascii="Noto Sans CJK SC" w:hAnsi="Noto Sans CJK SC" w:eastAsia="Noto Sans CJK SC"/>
                <w:b w:val="0"/>
                <w:sz w:val="18"/>
              </w:rPr>
              <w:t>重新研判结果</w:t>
            </w:r>
          </w:p>
        </w:tc>
        <w:tc>
          <w:tcPr>
            <w:tcW w:type="dxa" w:w="3324"/>
            <w:vAlign w:val="center"/>
          </w:tcPr>
          <w:p>
            <w:r/>
            <w:r>
              <w:rPr>
                <w:rFonts w:ascii="Noto Sans CJK SC" w:hAnsi="Noto Sans CJK SC" w:eastAsia="Noto Sans CJK SC"/>
                <w:b w:val="0"/>
                <w:sz w:val="18"/>
              </w:rPr>
              <w:t>新 Artifact 及新的复核</w:t>
            </w:r>
          </w:p>
        </w:tc>
      </w:tr>
      <w:tr>
        <w:trPr>
          <w:cantSplit/>
        </w:trPr>
        <w:tc>
          <w:tcPr>
            <w:tcW w:type="dxa" w:w="3324"/>
            <w:vAlign w:val="center"/>
            <w:shd w:fill="F6F9FC"/>
          </w:tcPr>
          <w:p>
            <w:r/>
            <w:r>
              <w:rPr>
                <w:rFonts w:ascii="Noto Sans CJK SC" w:hAnsi="Noto Sans CJK SC" w:eastAsia="Noto Sans CJK SC"/>
                <w:b w:val="0"/>
                <w:sz w:val="18"/>
              </w:rPr>
              <w:t>S-11</w:t>
            </w:r>
          </w:p>
        </w:tc>
        <w:tc>
          <w:tcPr>
            <w:tcW w:type="dxa" w:w="3324"/>
            <w:vAlign w:val="center"/>
            <w:shd w:fill="F6F9FC"/>
          </w:tcPr>
          <w:p>
            <w:r/>
            <w:r>
              <w:rPr>
                <w:rFonts w:ascii="Noto Sans CJK SC" w:hAnsi="Noto Sans CJK SC" w:eastAsia="Noto Sans CJK SC"/>
                <w:b w:val="0"/>
                <w:sz w:val="18"/>
              </w:rPr>
              <w:t>审计归档页</w:t>
            </w:r>
          </w:p>
        </w:tc>
        <w:tc>
          <w:tcPr>
            <w:tcW w:type="dxa" w:w="3324"/>
            <w:vAlign w:val="center"/>
            <w:shd w:fill="F6F9FC"/>
          </w:tcPr>
          <w:p>
            <w:r/>
            <w:r>
              <w:rPr>
                <w:rFonts w:ascii="Noto Sans CJK SC" w:hAnsi="Noto Sans CJK SC" w:eastAsia="Noto Sans CJK SC"/>
                <w:b w:val="0"/>
                <w:sz w:val="18"/>
              </w:rPr>
              <w:t>Facts + Artifact + Review + Manifest</w:t>
            </w:r>
          </w:p>
        </w:tc>
      </w:tr>
    </w:tbl>
    <w:p/>
    <w:p>
      <w:pPr>
        <w:pStyle w:val="H1CN"/>
      </w:pPr>
      <w:r>
        <w:t>15. 报名/作品介绍可直接使用的文案</w:t>
      </w:r>
    </w:p>
    <w:p>
      <w:pPr>
        <w:pStyle w:val="H2CN"/>
      </w:pPr>
      <w:r>
        <w:t>15.1 一句话版本</w:t>
      </w:r>
    </w:p>
    <w:tbl>
      <w:tblPr>
        <w:tblW w:type="auto" w:w="0"/>
        <w:jc w:val="center"/>
        <w:tblLook w:firstColumn="1" w:firstRow="1" w:lastColumn="0" w:lastRow="0" w:noHBand="0" w:noVBand="1" w:val="04A0"/>
      </w:tblPr>
      <w:tblGrid>
        <w:gridCol w:w="9972"/>
      </w:tblGrid>
      <w:tr>
        <w:trPr>
          <w:cantSplit/>
        </w:trPr>
        <w:tc>
          <w:tcPr>
            <w:tcW w:type="dxa" w:w="9972"/>
            <w:shd w:fill="EAF4FB"/>
          </w:tcPr>
          <w:p>
            <w:pPr>
              <w:keepLines/>
            </w:pPr>
            <w:r>
              <w:rPr>
                <w:b/>
                <w:color w:val="0D4A6E"/>
                <w:sz w:val="22"/>
              </w:rPr>
              <w:t>一句话作品介绍</w:t>
            </w:r>
          </w:p>
          <w:p>
            <w:pPr>
              <w:keepLines/>
              <w:spacing w:before="40" w:after="40"/>
            </w:pPr>
            <w:r>
              <w:rPr>
                <w:sz w:val="20"/>
              </w:rPr>
              <w:t>网域衡鉴 LexCyber 是一套面向高风险业务的可信可审计 AI Agent 平台，本次以金融合规与风险辅助研判为场景，将材料解析、事实确认、规则执行、人工复核和审计归档统一到可追溯的版本化工作流中。</w:t>
            </w:r>
          </w:p>
        </w:tc>
      </w:tr>
    </w:tbl>
    <w:p/>
    <w:p>
      <w:pPr>
        <w:pStyle w:val="H2CN"/>
      </w:pPr>
      <w:r>
        <w:t>15.2 约 100 字版本</w:t>
      </w:r>
    </w:p>
    <w:p>
      <w:r>
        <w:t>网域衡鉴 LexCyber 面向金融合规等高风险业务，构建“材料—事实—规则—结果—复核—归档”一体化 AI Agent 工作流。系统通过事实版本化、规则会签、逐条件解释、人工复核和结果失效传播，让 AI 输出不仅能生成，还能被核验、复核与追溯。校赛版本以企业准入审查和异常交易风险辅助研判为示范场景。</w:t>
      </w:r>
    </w:p>
    <w:p>
      <w:pPr>
        <w:pStyle w:val="H2CN"/>
      </w:pPr>
      <w:r>
        <w:t>15.3 约 300 字版本</w:t>
      </w:r>
    </w:p>
    <w:p>
      <w:r>
        <w:t>网域衡鉴 LexCyber 是面向高风险业务的可信可审计 AI Agent 平台。本次参赛选择通用赛道金融方向，围绕金融合规与风险辅助研判构建 Finance Compliance Pack。系统并不让大模型直接替代风险决策，而是将非结构化材料解析、候选事实提取、人工事实确认、已批准规则执行、逐条件解释、人工复核、审查报告生成和案件级归档串联成完整工作流。每一次分析都绑定不可变 FactsVersion 和规则版本，输出形成独立 ArtifactVersion，并记录命中规则、条件 Trace、规则依据和依赖快照；当事实或规则发生变化时，旧结果会自动进入 stale 状态，避免历史结论被静默复用。校赛版提供企业客户业务准入合规审查和异常交易风险辅助研判两个案例，重点展示 AI 在高风险场景中的可核验、可解释、可复核与可追溯能力。</w:t>
      </w:r>
    </w:p>
    <w:p>
      <w:pPr>
        <w:pStyle w:val="H2CN"/>
      </w:pPr>
      <w:r>
        <w:t>15.4 约 500–700 字详细版本</w:t>
      </w:r>
    </w:p>
    <w:p>
      <w:r>
        <w:t>随着大模型在金融业务中的应用不断增加，材料阅读、信息提取、规则检索和风险提示的效率得到显著提升，但在真正的高风险业务中，仅有“回答能力”仍然不够。业务人员还需要知道：系统基于什么事实、事实是否经过确认、使用的是哪一版规则、哪些条件被触发、谁对结果进行了人工复核，以及当事实或规则发生变化时旧结论是否仍然有效。</w:t>
      </w:r>
    </w:p>
    <w:p>
      <w:r>
        <w:t>网域衡鉴 LexCyber 以此为核心问题，构建面向高风险业务的可信可审计 AI Agent 平台。平台采用版本化生命周期管理，将业务材料、结构化事实、规则包、分析结果、人工复核与最终归档统一纳入同一条可追溯链路。系统通过文档解析形成候选信息，由业务人员核验并形成不可变 FactsVersion；Engine 只消费已批准的规则包进行可复现分析，生成包含规则命中、条件 Trace、依据版本与依赖快照的 ArtifactVersion；所有结论性输出进入 Human Review，人工决定与审查意见被持续记录；当事实或依赖发生变化后，系统自动将旧结果标记为 stale，要求重新执行与复核。</w:t>
      </w:r>
    </w:p>
    <w:p>
      <w:r>
        <w:t>本次校赛选择金融方向，以 Finance Compliance Pack 方式增加监管依据、金融合规规则、审查报告模板和演示数据，不改变 LexCyber 平台内核。作品设置企业客户业务准入合规审查和异常交易风险辅助研判两个案例，分别展示材料核验、风险规则执行、解释性输出、人工复核、报告生成和审计归档，并通过事实变化后的自动失效演示体现系统在持续合规场景中的价值。系统明确坚持“AI 辅助、规则约束、人工负责”的边界，不自动替代金融机构最终风险判断。</w:t>
      </w:r>
    </w:p>
    <w:p>
      <w:pPr>
        <w:pStyle w:val="H1CN"/>
      </w:pPr>
      <w:r>
        <w:t>16. PPT/视频统一叙事模板</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163A5F"/>
          </w:tcPr>
          <w:p>
            <w:pPr>
              <w:keepNext/>
              <w:jc w:val="center"/>
            </w:pPr>
            <w:r/>
            <w:r>
              <w:rPr>
                <w:rFonts w:ascii="Noto Sans CJK SC" w:hAnsi="Noto Sans CJK SC" w:eastAsia="Noto Sans CJK SC"/>
                <w:b/>
                <w:color w:val="FFFFFF"/>
                <w:sz w:val="18"/>
              </w:rPr>
              <w:t>段落</w:t>
            </w:r>
          </w:p>
        </w:tc>
        <w:tc>
          <w:tcPr>
            <w:tcW w:type="dxa" w:w="4986"/>
            <w:vAlign w:val="center"/>
            <w:shd w:fill="163A5F"/>
          </w:tcPr>
          <w:p>
            <w:pPr>
              <w:keepNext/>
              <w:jc w:val="center"/>
            </w:pPr>
            <w:r/>
            <w:r>
              <w:rPr>
                <w:rFonts w:ascii="Noto Sans CJK SC" w:hAnsi="Noto Sans CJK SC" w:eastAsia="Noto Sans CJK SC"/>
                <w:b/>
                <w:color w:val="FFFFFF"/>
                <w:sz w:val="18"/>
              </w:rPr>
              <w:t>统一表达</w:t>
            </w:r>
          </w:p>
        </w:tc>
      </w:tr>
      <w:tr>
        <w:trPr>
          <w:cantSplit/>
        </w:trPr>
        <w:tc>
          <w:tcPr>
            <w:tcW w:type="dxa" w:w="4986"/>
            <w:vAlign w:val="center"/>
            <w:shd w:fill="F6F9FC"/>
          </w:tcPr>
          <w:p>
            <w:r/>
            <w:r>
              <w:rPr>
                <w:rFonts w:ascii="Noto Sans CJK SC" w:hAnsi="Noto Sans CJK SC" w:eastAsia="Noto Sans CJK SC"/>
                <w:b w:val="0"/>
                <w:sz w:val="18"/>
              </w:rPr>
              <w:t>开场</w:t>
            </w:r>
          </w:p>
        </w:tc>
        <w:tc>
          <w:tcPr>
            <w:tcW w:type="dxa" w:w="4986"/>
            <w:vAlign w:val="center"/>
            <w:shd w:fill="F6F9FC"/>
          </w:tcPr>
          <w:p>
            <w:r/>
            <w:r>
              <w:rPr>
                <w:rFonts w:ascii="Noto Sans CJK SC" w:hAnsi="Noto Sans CJK SC" w:eastAsia="Noto Sans CJK SC"/>
                <w:b w:val="0"/>
                <w:sz w:val="18"/>
              </w:rPr>
              <w:t>高风险业务真正缺的不是“答案”，而是“可信的答案链路”。</w:t>
            </w:r>
          </w:p>
        </w:tc>
      </w:tr>
      <w:tr>
        <w:trPr>
          <w:cantSplit/>
        </w:trPr>
        <w:tc>
          <w:tcPr>
            <w:tcW w:type="dxa" w:w="4986"/>
            <w:vAlign w:val="center"/>
          </w:tcPr>
          <w:p>
            <w:r/>
            <w:r>
              <w:rPr>
                <w:rFonts w:ascii="Noto Sans CJK SC" w:hAnsi="Noto Sans CJK SC" w:eastAsia="Noto Sans CJK SC"/>
                <w:b w:val="0"/>
                <w:sz w:val="18"/>
              </w:rPr>
              <w:t>痛点</w:t>
            </w:r>
          </w:p>
        </w:tc>
        <w:tc>
          <w:tcPr>
            <w:tcW w:type="dxa" w:w="4986"/>
            <w:vAlign w:val="center"/>
          </w:tcPr>
          <w:p>
            <w:r/>
            <w:r>
              <w:rPr>
                <w:rFonts w:ascii="Noto Sans CJK SC" w:hAnsi="Noto Sans CJK SC" w:eastAsia="Noto Sans CJK SC"/>
                <w:b w:val="0"/>
                <w:sz w:val="18"/>
              </w:rPr>
              <w:t>事实散、规则多、版本变、AI 黑箱、复核割裂。</w:t>
            </w:r>
          </w:p>
        </w:tc>
      </w:tr>
      <w:tr>
        <w:trPr>
          <w:cantSplit/>
        </w:trPr>
        <w:tc>
          <w:tcPr>
            <w:tcW w:type="dxa" w:w="4986"/>
            <w:vAlign w:val="center"/>
            <w:shd w:fill="F6F9FC"/>
          </w:tcPr>
          <w:p>
            <w:r/>
            <w:r>
              <w:rPr>
                <w:rFonts w:ascii="Noto Sans CJK SC" w:hAnsi="Noto Sans CJK SC" w:eastAsia="Noto Sans CJK SC"/>
                <w:b w:val="0"/>
                <w:sz w:val="18"/>
              </w:rPr>
              <w:t>方案</w:t>
            </w:r>
          </w:p>
        </w:tc>
        <w:tc>
          <w:tcPr>
            <w:tcW w:type="dxa" w:w="4986"/>
            <w:vAlign w:val="center"/>
            <w:shd w:fill="F6F9FC"/>
          </w:tcPr>
          <w:p>
            <w:r/>
            <w:r>
              <w:rPr>
                <w:rFonts w:ascii="Noto Sans CJK SC" w:hAnsi="Noto Sans CJK SC" w:eastAsia="Noto Sans CJK SC"/>
                <w:b w:val="0"/>
                <w:sz w:val="18"/>
              </w:rPr>
              <w:t>LexCyber 把材料、事实、规则、Artifact、Review、Archive 串成版本化 Agent 工作流。</w:t>
            </w:r>
          </w:p>
        </w:tc>
      </w:tr>
      <w:tr>
        <w:trPr>
          <w:cantSplit/>
        </w:trPr>
        <w:tc>
          <w:tcPr>
            <w:tcW w:type="dxa" w:w="4986"/>
            <w:vAlign w:val="center"/>
          </w:tcPr>
          <w:p>
            <w:r/>
            <w:r>
              <w:rPr>
                <w:rFonts w:ascii="Noto Sans CJK SC" w:hAnsi="Noto Sans CJK SC" w:eastAsia="Noto Sans CJK SC"/>
                <w:b w:val="0"/>
                <w:sz w:val="18"/>
              </w:rPr>
              <w:t>Demo 1</w:t>
            </w:r>
          </w:p>
        </w:tc>
        <w:tc>
          <w:tcPr>
            <w:tcW w:type="dxa" w:w="4986"/>
            <w:vAlign w:val="center"/>
          </w:tcPr>
          <w:p>
            <w:r/>
            <w:r>
              <w:rPr>
                <w:rFonts w:ascii="Noto Sans CJK SC" w:hAnsi="Noto Sans CJK SC" w:eastAsia="Noto Sans CJK SC"/>
                <w:b w:val="0"/>
                <w:sz w:val="18"/>
              </w:rPr>
              <w:t>F1 企业准入：从材料到审查报告。</w:t>
            </w:r>
          </w:p>
        </w:tc>
      </w:tr>
      <w:tr>
        <w:trPr>
          <w:cantSplit/>
        </w:trPr>
        <w:tc>
          <w:tcPr>
            <w:tcW w:type="dxa" w:w="4986"/>
            <w:vAlign w:val="center"/>
            <w:shd w:fill="F6F9FC"/>
          </w:tcPr>
          <w:p>
            <w:r/>
            <w:r>
              <w:rPr>
                <w:rFonts w:ascii="Noto Sans CJK SC" w:hAnsi="Noto Sans CJK SC" w:eastAsia="Noto Sans CJK SC"/>
                <w:b w:val="0"/>
                <w:sz w:val="18"/>
              </w:rPr>
              <w:t>Demo 2</w:t>
            </w:r>
          </w:p>
        </w:tc>
        <w:tc>
          <w:tcPr>
            <w:tcW w:type="dxa" w:w="4986"/>
            <w:vAlign w:val="center"/>
            <w:shd w:fill="F6F9FC"/>
          </w:tcPr>
          <w:p>
            <w:r/>
            <w:r>
              <w:rPr>
                <w:rFonts w:ascii="Noto Sans CJK SC" w:hAnsi="Noto Sans CJK SC" w:eastAsia="Noto Sans CJK SC"/>
                <w:b w:val="0"/>
                <w:sz w:val="18"/>
              </w:rPr>
              <w:t>F2 异常交易：多规则命中与解释。</w:t>
            </w:r>
          </w:p>
        </w:tc>
      </w:tr>
      <w:tr>
        <w:trPr>
          <w:cantSplit/>
        </w:trPr>
        <w:tc>
          <w:tcPr>
            <w:tcW w:type="dxa" w:w="4986"/>
            <w:vAlign w:val="center"/>
          </w:tcPr>
          <w:p>
            <w:r/>
            <w:r>
              <w:rPr>
                <w:rFonts w:ascii="Noto Sans CJK SC" w:hAnsi="Noto Sans CJK SC" w:eastAsia="Noto Sans CJK SC"/>
                <w:b w:val="0"/>
                <w:sz w:val="18"/>
              </w:rPr>
              <w:t>亮点</w:t>
            </w:r>
          </w:p>
        </w:tc>
        <w:tc>
          <w:tcPr>
            <w:tcW w:type="dxa" w:w="4986"/>
            <w:vAlign w:val="center"/>
          </w:tcPr>
          <w:p>
            <w:r/>
            <w:r>
              <w:rPr>
                <w:rFonts w:ascii="Noto Sans CJK SC" w:hAnsi="Noto Sans CJK SC" w:eastAsia="Noto Sans CJK SC"/>
                <w:b w:val="0"/>
                <w:sz w:val="18"/>
              </w:rPr>
              <w:t>修改事实后旧 Artifact 自动 stale。</w:t>
            </w:r>
          </w:p>
        </w:tc>
      </w:tr>
      <w:tr>
        <w:trPr>
          <w:cantSplit/>
        </w:trPr>
        <w:tc>
          <w:tcPr>
            <w:tcW w:type="dxa" w:w="4986"/>
            <w:vAlign w:val="center"/>
            <w:shd w:fill="F6F9FC"/>
          </w:tcPr>
          <w:p>
            <w:r/>
            <w:r>
              <w:rPr>
                <w:rFonts w:ascii="Noto Sans CJK SC" w:hAnsi="Noto Sans CJK SC" w:eastAsia="Noto Sans CJK SC"/>
                <w:b w:val="0"/>
                <w:sz w:val="18"/>
              </w:rPr>
              <w:t>价值</w:t>
            </w:r>
          </w:p>
        </w:tc>
        <w:tc>
          <w:tcPr>
            <w:tcW w:type="dxa" w:w="4986"/>
            <w:vAlign w:val="center"/>
            <w:shd w:fill="F6F9FC"/>
          </w:tcPr>
          <w:p>
            <w:r/>
            <w:r>
              <w:rPr>
                <w:rFonts w:ascii="Noto Sans CJK SC" w:hAnsi="Noto Sans CJK SC" w:eastAsia="Noto Sans CJK SC"/>
                <w:b w:val="0"/>
                <w:sz w:val="18"/>
              </w:rPr>
              <w:t>可核验、可解释、可复核、可追溯。</w:t>
            </w:r>
          </w:p>
        </w:tc>
      </w:tr>
      <w:tr>
        <w:trPr>
          <w:cantSplit/>
        </w:trPr>
        <w:tc>
          <w:tcPr>
            <w:tcW w:type="dxa" w:w="4986"/>
            <w:vAlign w:val="center"/>
          </w:tcPr>
          <w:p>
            <w:r/>
            <w:r>
              <w:rPr>
                <w:rFonts w:ascii="Noto Sans CJK SC" w:hAnsi="Noto Sans CJK SC" w:eastAsia="Noto Sans CJK SC"/>
                <w:b w:val="0"/>
                <w:sz w:val="18"/>
              </w:rPr>
              <w:t>收束</w:t>
            </w:r>
          </w:p>
        </w:tc>
        <w:tc>
          <w:tcPr>
            <w:tcW w:type="dxa" w:w="4986"/>
            <w:vAlign w:val="center"/>
          </w:tcPr>
          <w:p>
            <w:r/>
            <w:r>
              <w:rPr>
                <w:rFonts w:ascii="Noto Sans CJK SC" w:hAnsi="Noto Sans CJK SC" w:eastAsia="Noto Sans CJK SC"/>
                <w:b w:val="0"/>
                <w:sz w:val="18"/>
              </w:rPr>
              <w:t>金融是本次示范，LexCyber 是可扩展到更多高风险行业的平台。</w:t>
            </w:r>
          </w:p>
        </w:tc>
      </w:tr>
    </w:tbl>
    <w:p/>
    <w:p>
      <w:pPr>
        <w:pStyle w:val="H1CN"/>
      </w:pPr>
      <w:r>
        <w:t>17. 评委常见问题建议回答</w:t>
      </w:r>
    </w:p>
    <w:p>
      <w:pPr>
        <w:pStyle w:val="H2CN"/>
      </w:pPr>
      <w:r>
        <w:t>Q1：这和普通金融问答/RAG 有什么区别？</w:t>
      </w:r>
    </w:p>
    <w:p>
      <w:r>
        <w:t>LexCyber 不把回答作为最终产物，而是把确认事实、规则版本、逐条件执行过程、人工复核和归档作为同等重要的系统对象；事实或规则变化后，旧结果还能自动失效。</w:t>
      </w:r>
    </w:p>
    <w:p>
      <w:pPr>
        <w:pStyle w:val="H2CN"/>
      </w:pPr>
      <w:r>
        <w:t>Q2：为什么不直接用大模型判断风险？</w:t>
      </w:r>
    </w:p>
    <w:p>
      <w:r>
        <w:t>高风险业务需要可复现和可追溯。大模型适合材料理解与辅助解释，正式规则判断由已审批规则包执行，最终结论还需人工复核。</w:t>
      </w:r>
    </w:p>
    <w:p>
      <w:pPr>
        <w:pStyle w:val="H2CN"/>
      </w:pPr>
      <w:r>
        <w:t>Q3：你们是不是只做法律系统换皮成金融？</w:t>
      </w:r>
    </w:p>
    <w:p>
      <w:r>
        <w:t>不是。LexCyber 从架构上就是通用可审计任务执行平台，Legal Pack 是既有领域包；本次新增 Finance Compliance Pack，平台核心完全复用。</w:t>
      </w:r>
    </w:p>
    <w:p>
      <w:pPr>
        <w:pStyle w:val="H2CN"/>
      </w:pPr>
      <w:r>
        <w:t>Q4：金融版最大的创新是什么？</w:t>
      </w:r>
    </w:p>
    <w:p>
      <w:r>
        <w:t>不是单一规则或模型，而是把事实版本、规则版本、解释性执行、人工复核、依赖失效和审计归档组成一个闭环。</w:t>
      </w:r>
    </w:p>
    <w:p>
      <w:pPr>
        <w:pStyle w:val="H2CN"/>
      </w:pPr>
      <w:r>
        <w:t>Q5：能否接真实业务？</w:t>
      </w:r>
    </w:p>
    <w:p>
      <w:r>
        <w:t>当前校赛使用合成/脱敏数据验证平台能力；真实业务接入需要根据机构规则、数据治理和安全要求进一步完成规则会签与数据接口适配。</w:t>
      </w:r>
    </w:p>
    <w:p>
      <w:pPr>
        <w:pStyle w:val="H1CN"/>
      </w:pPr>
      <w:r>
        <w:t>18. 内容表达红线</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vAlign w:val="center"/>
            <w:shd w:fill="163A5F"/>
          </w:tcPr>
          <w:p>
            <w:pPr>
              <w:keepNext/>
              <w:jc w:val="center"/>
            </w:pPr>
            <w:r/>
            <w:r>
              <w:rPr>
                <w:rFonts w:ascii="Noto Sans CJK SC" w:hAnsi="Noto Sans CJK SC" w:eastAsia="Noto Sans CJK SC"/>
                <w:b/>
                <w:color w:val="FFFFFF"/>
                <w:sz w:val="18"/>
              </w:rPr>
              <w:t>不建议表述</w:t>
            </w:r>
          </w:p>
        </w:tc>
        <w:tc>
          <w:tcPr>
            <w:tcW w:type="dxa" w:w="2493"/>
            <w:vAlign w:val="center"/>
            <w:shd w:fill="163A5F"/>
          </w:tcPr>
          <w:p>
            <w:pPr>
              <w:keepNext/>
              <w:jc w:val="center"/>
            </w:pPr>
            <w:r/>
            <w:r>
              <w:rPr>
                <w:rFonts w:ascii="Noto Sans CJK SC" w:hAnsi="Noto Sans CJK SC" w:eastAsia="Noto Sans CJK SC"/>
                <w:b/>
                <w:color w:val="FFFFFF"/>
                <w:sz w:val="18"/>
              </w:rPr>
              <w:t>内容</w:t>
            </w:r>
          </w:p>
        </w:tc>
        <w:tc>
          <w:tcPr>
            <w:tcW w:type="dxa" w:w="2493"/>
            <w:vAlign w:val="center"/>
            <w:shd w:fill="163A5F"/>
          </w:tcPr>
          <w:p>
            <w:pPr>
              <w:keepNext/>
              <w:jc w:val="center"/>
            </w:pPr>
            <w:r/>
            <w:r>
              <w:rPr>
                <w:rFonts w:ascii="Noto Sans CJK SC" w:hAnsi="Noto Sans CJK SC" w:eastAsia="Noto Sans CJK SC"/>
                <w:b/>
                <w:color w:val="FFFFFF"/>
                <w:sz w:val="18"/>
              </w:rPr>
              <w:t>推荐表述</w:t>
            </w:r>
          </w:p>
        </w:tc>
        <w:tc>
          <w:tcPr>
            <w:tcW w:type="dxa" w:w="2493"/>
            <w:vAlign w:val="center"/>
            <w:shd w:fill="163A5F"/>
          </w:tcPr>
          <w:p>
            <w:pPr>
              <w:keepNext/>
              <w:jc w:val="center"/>
            </w:pPr>
            <w:r/>
            <w:r>
              <w:rPr>
                <w:rFonts w:ascii="Noto Sans CJK SC" w:hAnsi="Noto Sans CJK SC" w:eastAsia="Noto Sans CJK SC"/>
                <w:b/>
                <w:color w:val="FFFFFF"/>
                <w:sz w:val="18"/>
              </w:rPr>
              <w:t>内容</w:t>
            </w:r>
          </w:p>
        </w:tc>
      </w:tr>
      <w:tr>
        <w:trPr>
          <w:cantSplit/>
        </w:trPr>
        <w:tc>
          <w:tcPr>
            <w:tcW w:type="dxa" w:w="2493"/>
            <w:vAlign w:val="center"/>
            <w:shd w:fill="F6F9FC"/>
          </w:tcPr>
          <w:p>
            <w:r/>
            <w:r>
              <w:rPr>
                <w:rFonts w:ascii="Noto Sans CJK SC" w:hAnsi="Noto Sans CJK SC" w:eastAsia="Noto Sans CJK SC"/>
                <w:b w:val="0"/>
                <w:sz w:val="18"/>
              </w:rPr>
              <w:t>不要说</w:t>
            </w:r>
          </w:p>
        </w:tc>
        <w:tc>
          <w:tcPr>
            <w:tcW w:type="dxa" w:w="2493"/>
            <w:vAlign w:val="center"/>
            <w:shd w:fill="F6F9FC"/>
          </w:tcPr>
          <w:p>
            <w:r/>
            <w:r>
              <w:rPr>
                <w:rFonts w:ascii="Noto Sans CJK SC" w:hAnsi="Noto Sans CJK SC" w:eastAsia="Noto Sans CJK SC"/>
                <w:b w:val="0"/>
                <w:sz w:val="18"/>
              </w:rPr>
              <w:t>AI 自动判定欺诈 / 自动做出最终合规结论</w:t>
            </w:r>
          </w:p>
        </w:tc>
        <w:tc>
          <w:tcPr>
            <w:tcW w:type="dxa" w:w="2493"/>
            <w:vAlign w:val="center"/>
            <w:shd w:fill="F6F9FC"/>
          </w:tcPr>
          <w:p>
            <w:r/>
            <w:r>
              <w:rPr>
                <w:rFonts w:ascii="Noto Sans CJK SC" w:hAnsi="Noto Sans CJK SC" w:eastAsia="Noto Sans CJK SC"/>
                <w:b w:val="0"/>
                <w:sz w:val="18"/>
              </w:rPr>
              <w:t>应说</w:t>
            </w:r>
          </w:p>
        </w:tc>
        <w:tc>
          <w:tcPr>
            <w:tcW w:type="dxa" w:w="2493"/>
            <w:vAlign w:val="center"/>
            <w:shd w:fill="F6F9FC"/>
          </w:tcPr>
          <w:p>
            <w:r/>
            <w:r>
              <w:rPr>
                <w:rFonts w:ascii="Noto Sans CJK SC" w:hAnsi="Noto Sans CJK SC" w:eastAsia="Noto Sans CJK SC"/>
                <w:b w:val="0"/>
                <w:sz w:val="18"/>
              </w:rPr>
              <w:t>风险辅助研判 / 建议进入人工复核</w:t>
            </w:r>
          </w:p>
        </w:tc>
      </w:tr>
      <w:tr>
        <w:trPr>
          <w:cantSplit/>
        </w:trPr>
        <w:tc>
          <w:tcPr>
            <w:tcW w:type="dxa" w:w="2493"/>
            <w:vAlign w:val="center"/>
          </w:tcPr>
          <w:p>
            <w:r/>
            <w:r>
              <w:rPr>
                <w:rFonts w:ascii="Noto Sans CJK SC" w:hAnsi="Noto Sans CJK SC" w:eastAsia="Noto Sans CJK SC"/>
                <w:b w:val="0"/>
                <w:sz w:val="18"/>
              </w:rPr>
              <w:t>不要说</w:t>
            </w:r>
          </w:p>
        </w:tc>
        <w:tc>
          <w:tcPr>
            <w:tcW w:type="dxa" w:w="2493"/>
            <w:vAlign w:val="center"/>
          </w:tcPr>
          <w:p>
            <w:r/>
            <w:r>
              <w:rPr>
                <w:rFonts w:ascii="Noto Sans CJK SC" w:hAnsi="Noto Sans CJK SC" w:eastAsia="Noto Sans CJK SC"/>
                <w:b w:val="0"/>
                <w:sz w:val="18"/>
              </w:rPr>
              <w:t>系统自动替代合规人员</w:t>
            </w:r>
          </w:p>
        </w:tc>
        <w:tc>
          <w:tcPr>
            <w:tcW w:type="dxa" w:w="2493"/>
            <w:vAlign w:val="center"/>
          </w:tcPr>
          <w:p>
            <w:r/>
            <w:r>
              <w:rPr>
                <w:rFonts w:ascii="Noto Sans CJK SC" w:hAnsi="Noto Sans CJK SC" w:eastAsia="Noto Sans CJK SC"/>
                <w:b w:val="0"/>
                <w:sz w:val="18"/>
              </w:rPr>
              <w:t>应说</w:t>
            </w:r>
          </w:p>
        </w:tc>
        <w:tc>
          <w:tcPr>
            <w:tcW w:type="dxa" w:w="2493"/>
            <w:vAlign w:val="center"/>
          </w:tcPr>
          <w:p>
            <w:r/>
            <w:r>
              <w:rPr>
                <w:rFonts w:ascii="Noto Sans CJK SC" w:hAnsi="Noto Sans CJK SC" w:eastAsia="Noto Sans CJK SC"/>
                <w:b w:val="0"/>
                <w:sz w:val="18"/>
              </w:rPr>
              <w:t>降低材料核验和规则比对成本，最终由人工负责</w:t>
            </w:r>
          </w:p>
        </w:tc>
      </w:tr>
      <w:tr>
        <w:trPr>
          <w:cantSplit/>
        </w:trPr>
        <w:tc>
          <w:tcPr>
            <w:tcW w:type="dxa" w:w="2493"/>
            <w:vAlign w:val="center"/>
            <w:shd w:fill="F6F9FC"/>
          </w:tcPr>
          <w:p>
            <w:r/>
            <w:r>
              <w:rPr>
                <w:rFonts w:ascii="Noto Sans CJK SC" w:hAnsi="Noto Sans CJK SC" w:eastAsia="Noto Sans CJK SC"/>
                <w:b w:val="0"/>
                <w:sz w:val="18"/>
              </w:rPr>
              <w:t>不要说</w:t>
            </w:r>
          </w:p>
        </w:tc>
        <w:tc>
          <w:tcPr>
            <w:tcW w:type="dxa" w:w="2493"/>
            <w:vAlign w:val="center"/>
            <w:shd w:fill="F6F9FC"/>
          </w:tcPr>
          <w:p>
            <w:r/>
            <w:r>
              <w:rPr>
                <w:rFonts w:ascii="Noto Sans CJK SC" w:hAnsi="Noto Sans CJK SC" w:eastAsia="Noto Sans CJK SC"/>
                <w:b w:val="0"/>
                <w:sz w:val="18"/>
              </w:rPr>
              <w:t>平台已经覆盖全部金融法规</w:t>
            </w:r>
          </w:p>
        </w:tc>
        <w:tc>
          <w:tcPr>
            <w:tcW w:type="dxa" w:w="2493"/>
            <w:vAlign w:val="center"/>
            <w:shd w:fill="F6F9FC"/>
          </w:tcPr>
          <w:p>
            <w:r/>
            <w:r>
              <w:rPr>
                <w:rFonts w:ascii="Noto Sans CJK SC" w:hAnsi="Noto Sans CJK SC" w:eastAsia="Noto Sans CJK SC"/>
                <w:b w:val="0"/>
                <w:sz w:val="18"/>
              </w:rPr>
              <w:t>应说</w:t>
            </w:r>
          </w:p>
        </w:tc>
        <w:tc>
          <w:tcPr>
            <w:tcW w:type="dxa" w:w="2493"/>
            <w:vAlign w:val="center"/>
            <w:shd w:fill="F6F9FC"/>
          </w:tcPr>
          <w:p>
            <w:r/>
            <w:r>
              <w:rPr>
                <w:rFonts w:ascii="Noto Sans CJK SC" w:hAnsi="Noto Sans CJK SC" w:eastAsia="Noto Sans CJK SC"/>
                <w:b w:val="0"/>
                <w:sz w:val="18"/>
              </w:rPr>
              <w:t>校赛版本以有限规则包验证可扩展机制</w:t>
            </w:r>
          </w:p>
        </w:tc>
      </w:tr>
      <w:tr>
        <w:trPr>
          <w:cantSplit/>
        </w:trPr>
        <w:tc>
          <w:tcPr>
            <w:tcW w:type="dxa" w:w="2493"/>
            <w:vAlign w:val="center"/>
          </w:tcPr>
          <w:p>
            <w:r/>
            <w:r>
              <w:rPr>
                <w:rFonts w:ascii="Noto Sans CJK SC" w:hAnsi="Noto Sans CJK SC" w:eastAsia="Noto Sans CJK SC"/>
                <w:b w:val="0"/>
                <w:sz w:val="18"/>
              </w:rPr>
              <w:t>不要说</w:t>
            </w:r>
          </w:p>
        </w:tc>
        <w:tc>
          <w:tcPr>
            <w:tcW w:type="dxa" w:w="2493"/>
            <w:vAlign w:val="center"/>
          </w:tcPr>
          <w:p>
            <w:r/>
            <w:r>
              <w:rPr>
                <w:rFonts w:ascii="Noto Sans CJK SC" w:hAnsi="Noto Sans CJK SC" w:eastAsia="Noto Sans CJK SC"/>
                <w:b w:val="0"/>
                <w:sz w:val="18"/>
              </w:rPr>
              <w:t>模型回答就是正式依据</w:t>
            </w:r>
          </w:p>
        </w:tc>
        <w:tc>
          <w:tcPr>
            <w:tcW w:type="dxa" w:w="2493"/>
            <w:vAlign w:val="center"/>
          </w:tcPr>
          <w:p>
            <w:r/>
            <w:r>
              <w:rPr>
                <w:rFonts w:ascii="Noto Sans CJK SC" w:hAnsi="Noto Sans CJK SC" w:eastAsia="Noto Sans CJK SC"/>
                <w:b w:val="0"/>
                <w:sz w:val="18"/>
              </w:rPr>
              <w:t>应说</w:t>
            </w:r>
          </w:p>
        </w:tc>
        <w:tc>
          <w:tcPr>
            <w:tcW w:type="dxa" w:w="2493"/>
            <w:vAlign w:val="center"/>
          </w:tcPr>
          <w:p>
            <w:r/>
            <w:r>
              <w:rPr>
                <w:rFonts w:ascii="Noto Sans CJK SC" w:hAnsi="Noto Sans CJK SC" w:eastAsia="Noto Sans CJK SC"/>
                <w:b w:val="0"/>
                <w:sz w:val="18"/>
              </w:rPr>
              <w:t>正式规则执行基于已批准规则包和确认事实</w:t>
            </w:r>
          </w:p>
        </w:tc>
      </w:tr>
      <w:tr>
        <w:trPr>
          <w:cantSplit/>
        </w:trPr>
        <w:tc>
          <w:tcPr>
            <w:tcW w:type="dxa" w:w="2493"/>
            <w:vAlign w:val="center"/>
            <w:shd w:fill="F6F9FC"/>
          </w:tcPr>
          <w:p>
            <w:r/>
            <w:r>
              <w:rPr>
                <w:rFonts w:ascii="Noto Sans CJK SC" w:hAnsi="Noto Sans CJK SC" w:eastAsia="Noto Sans CJK SC"/>
                <w:b w:val="0"/>
                <w:sz w:val="18"/>
              </w:rPr>
              <w:t>不要说</w:t>
            </w:r>
          </w:p>
        </w:tc>
        <w:tc>
          <w:tcPr>
            <w:tcW w:type="dxa" w:w="2493"/>
            <w:vAlign w:val="center"/>
            <w:shd w:fill="F6F9FC"/>
          </w:tcPr>
          <w:p>
            <w:r/>
            <w:r>
              <w:rPr>
                <w:rFonts w:ascii="Noto Sans CJK SC" w:hAnsi="Noto Sans CJK SC" w:eastAsia="Noto Sans CJK SC"/>
                <w:b w:val="0"/>
                <w:sz w:val="18"/>
              </w:rPr>
              <w:t>实时反欺诈平台</w:t>
            </w:r>
          </w:p>
        </w:tc>
        <w:tc>
          <w:tcPr>
            <w:tcW w:type="dxa" w:w="2493"/>
            <w:vAlign w:val="center"/>
            <w:shd w:fill="F6F9FC"/>
          </w:tcPr>
          <w:p>
            <w:r/>
            <w:r>
              <w:rPr>
                <w:rFonts w:ascii="Noto Sans CJK SC" w:hAnsi="Noto Sans CJK SC" w:eastAsia="Noto Sans CJK SC"/>
                <w:b w:val="0"/>
                <w:sz w:val="18"/>
              </w:rPr>
              <w:t>应说</w:t>
            </w:r>
          </w:p>
        </w:tc>
        <w:tc>
          <w:tcPr>
            <w:tcW w:type="dxa" w:w="2493"/>
            <w:vAlign w:val="center"/>
            <w:shd w:fill="F6F9FC"/>
          </w:tcPr>
          <w:p>
            <w:r/>
            <w:r>
              <w:rPr>
                <w:rFonts w:ascii="Noto Sans CJK SC" w:hAnsi="Noto Sans CJK SC" w:eastAsia="Noto Sans CJK SC"/>
                <w:b w:val="0"/>
                <w:sz w:val="18"/>
              </w:rPr>
              <w:t>基于已确认交易特征的异常风险辅助研判</w:t>
            </w:r>
          </w:p>
        </w:tc>
      </w:tr>
    </w:tbl>
    <w:p/>
    <w:p>
      <w:pPr>
        <w:pStyle w:val="H2CN"/>
      </w:pPr>
      <w:r>
        <w:t>匿名评审提醒</w:t>
      </w:r>
    </w:p>
    <w:p>
      <w:pPr>
        <w:ind w:left="283" w:hanging="142"/>
      </w:pPr>
      <w:r>
        <w:rPr>
          <w:rFonts w:ascii="Noto Sans CJK SC" w:hAnsi="Noto Sans CJK SC" w:eastAsia="Noto Sans CJK SC"/>
        </w:rPr>
        <w:t>• 比赛 PPT 正文、视频画面和系统比赛模式不得出现学校名称、队员姓名、指导教师姓名等可识别身份信息。</w:t>
      </w:r>
    </w:p>
    <w:p>
      <w:pPr>
        <w:ind w:left="283" w:hanging="142"/>
      </w:pPr>
      <w:r>
        <w:rPr>
          <w:rFonts w:ascii="Noto Sans CJK SC" w:hAnsi="Noto Sans CJK SC" w:eastAsia="Noto Sans CJK SC"/>
        </w:rPr>
        <w:t>• 可以完整保留作品品牌“网域衡鉴 LexCyber”。</w:t>
      </w:r>
    </w:p>
    <w:p>
      <w:pPr>
        <w:ind w:left="283" w:hanging="142"/>
      </w:pPr>
      <w:r>
        <w:rPr>
          <w:rFonts w:ascii="Noto Sans CJK SC" w:hAnsi="Noto Sans CJK SC" w:eastAsia="Noto Sans CJK SC"/>
        </w:rPr>
        <w:t>• 系统截图需检查账户姓名、GitHub 用户名、本机路径、邮箱、提交记录等身份信息。</w:t>
      </w:r>
    </w:p>
    <w:p>
      <w:pPr>
        <w:pStyle w:val="H1CN"/>
      </w:pPr>
      <w:r>
        <w:t>19. 最终内容清单（用于统一所有材料）</w:t>
      </w:r>
    </w:p>
    <w:p>
      <w:pPr>
        <w:ind w:left="283" w:hanging="142"/>
      </w:pPr>
      <w:r>
        <w:rPr>
          <w:rFonts w:ascii="Noto Sans CJK SC" w:hAnsi="Noto Sans CJK SC" w:eastAsia="Noto Sans CJK SC"/>
        </w:rPr>
        <w:t>• □ 作品名称统一为“网域衡鉴 LexCyber——面向高风险业务的可信可审计 AI Agent 平台”。</w:t>
      </w:r>
    </w:p>
    <w:p>
      <w:pPr>
        <w:ind w:left="283" w:hanging="142"/>
      </w:pPr>
      <w:r>
        <w:rPr>
          <w:rFonts w:ascii="Noto Sans CJK SC" w:hAnsi="Noto Sans CJK SC" w:eastAsia="Noto Sans CJK SC"/>
        </w:rPr>
        <w:t>• □ 副标题统一为“金融合规与风险辅助研判应用”。</w:t>
      </w:r>
    </w:p>
    <w:p>
      <w:pPr>
        <w:ind w:left="283" w:hanging="142"/>
      </w:pPr>
      <w:r>
        <w:rPr>
          <w:rFonts w:ascii="Noto Sans CJK SC" w:hAnsi="Noto Sans CJK SC" w:eastAsia="Noto Sans CJK SC"/>
        </w:rPr>
        <w:t>• □ 所有材料都说明金融是本次比赛应用场景，LexCyber 是平台主体。</w:t>
      </w:r>
    </w:p>
    <w:p>
      <w:pPr>
        <w:ind w:left="283" w:hanging="142"/>
      </w:pPr>
      <w:r>
        <w:rPr>
          <w:rFonts w:ascii="Noto Sans CJK SC" w:hAnsi="Noto Sans CJK SC" w:eastAsia="Noto Sans CJK SC"/>
        </w:rPr>
        <w:t>• □ 统一使用“可核验、可解释、可复核、可追溯”四个核心价值词。</w:t>
      </w:r>
    </w:p>
    <w:p>
      <w:pPr>
        <w:ind w:left="283" w:hanging="142"/>
      </w:pPr>
      <w:r>
        <w:rPr>
          <w:rFonts w:ascii="Noto Sans CJK SC" w:hAnsi="Noto Sans CJK SC" w:eastAsia="Noto Sans CJK SC"/>
        </w:rPr>
        <w:t>• □ Demo 固定为 F1 企业准入、F2 异常交易、F3 stale 重研判。</w:t>
      </w:r>
    </w:p>
    <w:p>
      <w:pPr>
        <w:ind w:left="283" w:hanging="142"/>
      </w:pPr>
      <w:r>
        <w:rPr>
          <w:rFonts w:ascii="Noto Sans CJK SC" w:hAnsi="Noto Sans CJK SC" w:eastAsia="Noto Sans CJK SC"/>
        </w:rPr>
        <w:t>• □ 统一强调 AI + 规则引擎 + Human Review 的协同边界。</w:t>
      </w:r>
    </w:p>
    <w:p>
      <w:pPr>
        <w:ind w:left="283" w:hanging="142"/>
      </w:pPr>
      <w:r>
        <w:rPr>
          <w:rFonts w:ascii="Noto Sans CJK SC" w:hAnsi="Noto Sans CJK SC" w:eastAsia="Noto Sans CJK SC"/>
        </w:rPr>
        <w:t>• □ 不使用“自动定罪、自动欺诈认定、自动最终决策”等过度承诺。</w:t>
      </w:r>
    </w:p>
    <w:p>
      <w:pPr>
        <w:ind w:left="283" w:hanging="142"/>
      </w:pPr>
      <w:r>
        <w:rPr>
          <w:rFonts w:ascii="Noto Sans CJK SC" w:hAnsi="Noto Sans CJK SC" w:eastAsia="Noto Sans CJK SC"/>
        </w:rPr>
        <w:t>• □ PPT、视频、系统首页和报名简介使用同一套一句话介绍。</w:t>
      </w:r>
    </w:p>
    <w:p>
      <w:pPr>
        <w:ind w:left="283" w:hanging="142"/>
      </w:pPr>
      <w:r>
        <w:rPr>
          <w:rFonts w:ascii="Noto Sans CJK SC" w:hAnsi="Noto Sans CJK SC" w:eastAsia="Noto Sans CJK SC"/>
        </w:rPr>
        <w:t>• □ 比赛模式无学校/成员身份信息。</w:t>
      </w:r>
    </w:p>
    <w:p>
      <w:pPr>
        <w:ind w:left="283" w:hanging="142"/>
      </w:pPr>
      <w:r>
        <w:rPr>
          <w:rFonts w:ascii="Noto Sans CJK SC" w:hAnsi="Noto Sans CJK SC" w:eastAsia="Noto Sans CJK SC"/>
        </w:rPr>
        <w:t>• □ 截图与视频均使用金融比赛 Profile，不删除原 Legal Pack。</w:t>
      </w:r>
    </w:p>
    <w:p>
      <w:pPr>
        <w:pStyle w:val="H1CN"/>
      </w:pPr>
      <w:r>
        <w:t>附录 A：建议关键词</w:t>
      </w:r>
    </w:p>
    <w:p>
      <w:r>
        <w:t>网域衡鉴；LexCyber；可信 AI；可审计 Agent；金融合规；风险辅助研判；FactsVersion；规则注册；规则版本；可解释执行；Human Review；Stale Propagation；ArtifactVersion；审计归档；高风险业务。</w:t>
      </w:r>
    </w:p>
    <w:p>
      <w:pPr>
        <w:pStyle w:val="H1CN"/>
      </w:pPr>
      <w:r>
        <w:t>附录 B：推荐宣传语</w:t>
      </w:r>
    </w:p>
    <w:tbl>
      <w:tblPr>
        <w:tblW w:type="auto" w:w="0"/>
        <w:jc w:val="center"/>
        <w:tblLook w:firstColumn="1" w:firstRow="1" w:lastColumn="0" w:lastRow="0" w:noHBand="0" w:noVBand="1" w:val="04A0"/>
      </w:tblPr>
      <w:tblGrid>
        <w:gridCol w:w="9972"/>
      </w:tblGrid>
      <w:tr>
        <w:trPr>
          <w:cantSplit/>
        </w:trPr>
        <w:tc>
          <w:tcPr>
            <w:tcW w:type="dxa" w:w="9972"/>
            <w:shd w:fill="F7FAFC"/>
          </w:tcPr>
          <w:p>
            <w:pPr>
              <w:keepLines/>
            </w:pPr>
            <w:r>
              <w:rPr>
                <w:b/>
                <w:color w:val="0D4A6E"/>
                <w:sz w:val="22"/>
              </w:rPr>
              <w:t>候选宣传语</w:t>
            </w:r>
          </w:p>
          <w:p>
            <w:pPr>
              <w:keepLines/>
              <w:spacing w:before="40" w:after="40"/>
            </w:pPr>
            <w:r>
              <w:rPr>
                <w:sz w:val="20"/>
              </w:rPr>
              <w:t>让 AI 不只给答案，更给出可核验的依据、过程与责任链。</w:t>
            </w:r>
          </w:p>
        </w:tc>
      </w:tr>
    </w:tbl>
    <w:p/>
    <w:tbl>
      <w:tblPr>
        <w:tblW w:type="auto" w:w="0"/>
        <w:jc w:val="center"/>
        <w:tblLook w:firstColumn="1" w:firstRow="1" w:lastColumn="0" w:lastRow="0" w:noHBand="0" w:noVBand="1" w:val="04A0"/>
      </w:tblPr>
      <w:tblGrid>
        <w:gridCol w:w="9972"/>
      </w:tblGrid>
      <w:tr>
        <w:trPr>
          <w:cantSplit/>
        </w:trPr>
        <w:tc>
          <w:tcPr>
            <w:tcW w:type="dxa" w:w="9972"/>
            <w:shd w:fill="F7FAFC"/>
          </w:tcPr>
          <w:p>
            <w:pPr>
              <w:keepLines/>
            </w:pPr>
            <w:r>
              <w:rPr>
                <w:b/>
                <w:color w:val="0D4A6E"/>
                <w:sz w:val="22"/>
              </w:rPr>
              <w:t>候选宣传语</w:t>
            </w:r>
          </w:p>
          <w:p>
            <w:pPr>
              <w:keepLines/>
              <w:spacing w:before="40" w:after="40"/>
            </w:pPr>
            <w:r>
              <w:rPr>
                <w:sz w:val="20"/>
              </w:rPr>
              <w:t>高风险业务需要的不只是智能，更需要可审计的智能。</w:t>
            </w:r>
          </w:p>
        </w:tc>
      </w:tr>
    </w:tbl>
    <w:p/>
    <w:tbl>
      <w:tblPr>
        <w:tblW w:type="auto" w:w="0"/>
        <w:jc w:val="center"/>
        <w:tblLook w:firstColumn="1" w:firstRow="1" w:lastColumn="0" w:lastRow="0" w:noHBand="0" w:noVBand="1" w:val="04A0"/>
      </w:tblPr>
      <w:tblGrid>
        <w:gridCol w:w="9972"/>
      </w:tblGrid>
      <w:tr>
        <w:trPr>
          <w:cantSplit/>
        </w:trPr>
        <w:tc>
          <w:tcPr>
            <w:tcW w:type="dxa" w:w="9972"/>
            <w:shd w:fill="F7FAFC"/>
          </w:tcPr>
          <w:p>
            <w:pPr>
              <w:keepLines/>
            </w:pPr>
            <w:r>
              <w:rPr>
                <w:b/>
                <w:color w:val="0D4A6E"/>
                <w:sz w:val="22"/>
              </w:rPr>
              <w:t>候选宣传语</w:t>
            </w:r>
          </w:p>
          <w:p>
            <w:pPr>
              <w:keepLines/>
              <w:spacing w:before="40" w:after="40"/>
            </w:pPr>
            <w:r>
              <w:rPr>
                <w:sz w:val="20"/>
              </w:rPr>
              <w:t>事实有版本，规则有依据，结果可复核，变化可追踪。</w:t>
            </w:r>
          </w:p>
        </w:tc>
      </w:tr>
    </w:tbl>
    <w:p/>
    <w:tbl>
      <w:tblPr>
        <w:tblW w:type="auto" w:w="0"/>
        <w:jc w:val="center"/>
        <w:tblLook w:firstColumn="1" w:firstRow="1" w:lastColumn="0" w:lastRow="0" w:noHBand="0" w:noVBand="1" w:val="04A0"/>
      </w:tblPr>
      <w:tblGrid>
        <w:gridCol w:w="9972"/>
      </w:tblGrid>
      <w:tr>
        <w:trPr>
          <w:cantSplit/>
        </w:trPr>
        <w:tc>
          <w:tcPr>
            <w:tcW w:type="dxa" w:w="9972"/>
            <w:shd w:fill="F7FAFC"/>
          </w:tcPr>
          <w:p>
            <w:pPr>
              <w:keepLines/>
            </w:pPr>
            <w:r>
              <w:rPr>
                <w:b/>
                <w:color w:val="0D4A6E"/>
                <w:sz w:val="22"/>
              </w:rPr>
              <w:t>候选宣传语</w:t>
            </w:r>
          </w:p>
          <w:p>
            <w:pPr>
              <w:keepLines/>
              <w:spacing w:before="40" w:after="40"/>
            </w:pPr>
            <w:r>
              <w:rPr>
                <w:sz w:val="20"/>
              </w:rPr>
              <w:t>从材料到事实，从规则到复核，让每一次 AI 研判都可追溯。</w:t>
            </w:r>
          </w:p>
        </w:tc>
      </w:tr>
    </w:tbl>
    <w:p/>
    <w:p>
      <w:pPr>
        <w:pStyle w:val="H1CN"/>
      </w:pPr>
      <w:r>
        <w:t>附录 C：赛事规则依据说明</w:t>
      </w:r>
    </w:p>
    <w:p>
      <w:r>
        <w:t>本方案基于《全国人工智能应用创新大赛参赛流程说明》所述通用赛道自主命题规则进行设计。校赛选题归入金融领域，内容围绕金融科技与风险管理场景；作品后续需准备 PPT、答辩视频和可访问的智能体链接。匿名评审阶段，作品正文、视频和系统界面需避免出现参赛者身份信息。</w:t>
      </w:r>
    </w:p>
    <w:p>
      <w:pPr>
        <w:pStyle w:val="SmallNote"/>
      </w:pPr>
      <w:r>
        <w:t>本方案中的金融规则、演示案例和监管依据为校赛内容规划口径；正式实现时应以最终入库规则、演示数据和会签状态为准。</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网域衡鉴 LexCyber · 校赛选题内容说明方案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N">
    <w:name w:val="TitleCN"/>
    <w:basedOn w:val="Normal"/>
    <w:pPr>
      <w:spacing w:before="0" w:after="200" w:line="300" w:lineRule="auto"/>
    </w:pPr>
    <w:rPr>
      <w:rFonts w:ascii="Noto Sans CJK SC" w:hAnsi="Noto Sans CJK SC" w:eastAsia="Noto Sans CJK SC"/>
      <w:b/>
      <w:color w:val="0D253F"/>
      <w:sz w:val="48"/>
    </w:rPr>
  </w:style>
  <w:style w:type="paragraph" w:customStyle="1" w:styleId="SubtitleCN">
    <w:name w:val="SubtitleCN"/>
    <w:basedOn w:val="Normal"/>
    <w:pPr>
      <w:spacing w:before="0" w:after="160" w:line="300" w:lineRule="auto"/>
    </w:pPr>
    <w:rPr>
      <w:rFonts w:ascii="Noto Sans CJK SC" w:hAnsi="Noto Sans CJK SC" w:eastAsia="Noto Sans CJK SC"/>
      <w:b w:val="0"/>
      <w:color w:val="40556B"/>
      <w:sz w:val="25"/>
    </w:rPr>
  </w:style>
  <w:style w:type="paragraph" w:customStyle="1" w:styleId="H1CN">
    <w:name w:val="H1CN"/>
    <w:basedOn w:val="Normal"/>
    <w:pPr>
      <w:keepNext/>
      <w:spacing w:before="200" w:after="120" w:line="300" w:lineRule="auto"/>
    </w:pPr>
    <w:rPr>
      <w:rFonts w:ascii="Noto Sans CJK SC" w:hAnsi="Noto Sans CJK SC" w:eastAsia="Noto Sans CJK SC"/>
      <w:b/>
      <w:color w:val="0D253F"/>
      <w:sz w:val="32"/>
    </w:rPr>
  </w:style>
  <w:style w:type="paragraph" w:customStyle="1" w:styleId="H2CN">
    <w:name w:val="H2CN"/>
    <w:basedOn w:val="Normal"/>
    <w:pPr>
      <w:keepNext/>
      <w:spacing w:before="160" w:after="80" w:line="300" w:lineRule="auto"/>
    </w:pPr>
    <w:rPr>
      <w:rFonts w:ascii="Noto Sans CJK SC" w:hAnsi="Noto Sans CJK SC" w:eastAsia="Noto Sans CJK SC"/>
      <w:b/>
      <w:color w:val="193750"/>
      <w:sz w:val="26"/>
    </w:rPr>
  </w:style>
  <w:style w:type="paragraph" w:customStyle="1" w:styleId="H3CN">
    <w:name w:val="H3CN"/>
    <w:basedOn w:val="Normal"/>
    <w:pPr>
      <w:keepNext/>
      <w:spacing w:before="120" w:after="60" w:line="300" w:lineRule="auto"/>
    </w:pPr>
    <w:rPr>
      <w:rFonts w:ascii="Noto Sans CJK SC" w:hAnsi="Noto Sans CJK SC" w:eastAsia="Noto Sans CJK SC"/>
      <w:b/>
      <w:color w:val="28465F"/>
      <w:sz w:val="23"/>
    </w:rPr>
  </w:style>
  <w:style w:type="paragraph" w:customStyle="1" w:styleId="SmallNote">
    <w:name w:val="SmallNote"/>
    <w:basedOn w:val="Normal"/>
    <w:pPr>
      <w:spacing w:before="0" w:after="80" w:line="300" w:lineRule="auto"/>
    </w:pPr>
    <w:rPr>
      <w:rFonts w:ascii="Noto Sans CJK SC" w:hAnsi="Noto Sans CJK SC" w:eastAsia="Noto Sans CJK SC"/>
      <w:b w:val="0"/>
      <w:color w:val="5A646E"/>
      <w:sz w:val="18"/>
    </w:rPr>
  </w:style>
  <w:style w:type="paragraph" w:customStyle="1" w:styleId="QuoteCN">
    <w:name w:val="QuoteCN"/>
    <w:basedOn w:val="Normal"/>
    <w:pPr>
      <w:spacing w:before="80" w:after="80" w:line="300" w:lineRule="auto"/>
    </w:pPr>
    <w:rPr>
      <w:rFonts w:ascii="Noto Sans CJK SC" w:hAnsi="Noto Sans CJK SC" w:eastAsia="Noto Sans CJK SC"/>
      <w:b/>
      <w:color w:val="00669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