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overTitle"/>
        <w:jc w:val="center"/>
      </w:pPr>
      <w:r>
        <w:t>网域衡鉴 LexCyber</w:t>
      </w:r>
    </w:p>
    <w:p>
      <w:pPr>
        <w:pStyle w:val="CoverSub"/>
        <w:jc w:val="center"/>
      </w:pPr>
      <w:r>
        <w:t>校赛 PPT 脚本草稿 · V1.0</w:t>
      </w:r>
    </w:p>
    <w:p>
      <w:pPr>
        <w:jc w:val="center"/>
      </w:pPr>
      <w:r>
        <w:rPr>
          <w:b/>
          <w:color w:val="007699"/>
          <w:sz w:val="26"/>
        </w:rPr>
        <w:t>通用赛道｜金融方向｜20页官方内容结构适配版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E8F5F7"/>
          </w:tcPr>
          <w:p>
            <w:r>
              <w:rPr>
                <w:b/>
                <w:color w:val="006489"/>
                <w:sz w:val="20"/>
              </w:rPr>
              <w:t>作品主标题</w:t>
            </w:r>
          </w:p>
          <w:p>
            <w:pPr>
              <w:spacing w:after="20"/>
            </w:pPr>
            <w:r>
              <w:t>网域衡鉴 LexCyber——面向高风险业务的可信可审计 AI Agent 平台</w:t>
              <w:br/>
              <w:t>副标题：金融合规与风险辅助研判应用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1984"/>
            <w:vAlign w:val="center"/>
            <w:shd w:fill="173A5E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6633"/>
            <w:vAlign w:val="center"/>
            <w:shd w:fill="173A5E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V1.0方案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结构</w:t>
            </w:r>
          </w:p>
        </w:tc>
        <w:tc>
          <w:tcPr>
            <w:tcW w:type="dxa" w:w="663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严格按官方六部分组织，总计20页</w:t>
            </w:r>
          </w:p>
        </w:tc>
      </w:tr>
      <w:tr>
        <w:tc>
          <w:tcPr>
            <w:tcW w:type="dxa" w:w="1984"/>
            <w:vAlign w:val="center"/>
            <w:shd w:fill="F5F8FB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主叙事</w:t>
            </w:r>
          </w:p>
        </w:tc>
        <w:tc>
          <w:tcPr>
            <w:tcW w:type="dxa" w:w="6633"/>
            <w:vAlign w:val="center"/>
            <w:shd w:fill="F5F8FB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F1 企业客户业务准入合规审查贯穿全场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系统证据</w:t>
            </w:r>
          </w:p>
        </w:tc>
        <w:tc>
          <w:tcPr>
            <w:tcW w:type="dxa" w:w="663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8–10张最终比赛环境真实截图</w:t>
            </w:r>
          </w:p>
        </w:tc>
      </w:tr>
      <w:tr>
        <w:tc>
          <w:tcPr>
            <w:tcW w:type="dxa" w:w="1984"/>
            <w:vAlign w:val="center"/>
            <w:shd w:fill="F5F8FB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图表</w:t>
            </w:r>
          </w:p>
        </w:tc>
        <w:tc>
          <w:tcPr>
            <w:tcW w:type="dxa" w:w="6633"/>
            <w:vAlign w:val="center"/>
            <w:shd w:fill="F5F8FB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来源表、知识结构、预处理流程、方法矩阵、事实×规则矩阵、Stale时间线、风险矩阵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真实性原则</w:t>
            </w:r>
          </w:p>
        </w:tc>
        <w:tc>
          <w:tcPr>
            <w:tcW w:type="dxa" w:w="663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不编造准确率、效率提升、市场规模；所有案例结果从真实Demo提取</w:t>
            </w:r>
          </w:p>
        </w:tc>
      </w:tr>
      <w:tr>
        <w:tc>
          <w:tcPr>
            <w:tcW w:type="dxa" w:w="1984"/>
            <w:vAlign w:val="center"/>
            <w:shd w:fill="F5F8FB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应用呈现</w:t>
            </w:r>
          </w:p>
        </w:tc>
        <w:tc>
          <w:tcPr>
            <w:tcW w:type="dxa" w:w="6633"/>
            <w:vAlign w:val="center"/>
            <w:shd w:fill="F5F8FB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增加案件解释型Agent对话页 + 至少3个提示词 + URL/二维码</w:t>
            </w:r>
          </w:p>
        </w:tc>
      </w:tr>
    </w:tbl>
    <w:p/>
    <w:p>
      <w:r>
        <w:br w:type="page"/>
      </w:r>
    </w:p>
    <w:p>
      <w:pPr>
        <w:pStyle w:val="H1"/>
      </w:pPr>
      <w:r>
        <w:t>一、结构总览与评审逻辑</w:t>
      </w:r>
    </w:p>
    <w:p>
      <w:r>
        <w:t>本稿的目标不是把LexCyber讲成“功能很多的系统”，而是把它组织成一条符合创赛评审习惯的证据链：先证明问题真实，再证明数据和知识可靠，再说明为什么选择当前方法，然后用真实系统结果证明创新和价值，最后主动交代局限、风险与在线体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EEF7F2"/>
          </w:tcPr>
          <w:p>
            <w:r>
              <w:rPr>
                <w:b/>
                <w:color w:val="006489"/>
                <w:sz w:val="20"/>
              </w:rPr>
              <w:t>评审叙事公式</w:t>
            </w:r>
          </w:p>
          <w:p>
            <w:pPr>
              <w:spacing w:after="20"/>
            </w:pPr>
            <w:r>
              <w:t>真实问题 → 数据/知识可靠 → 方法合理 → 系统真实 → 结果可解释 → 局限和风险诚实 → 可操作、可扩展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c>
          <w:tcPr>
            <w:tcW w:type="dxa" w:w="2268"/>
            <w:vAlign w:val="center"/>
            <w:shd w:fill="173A5E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官方建议部分</w:t>
            </w:r>
          </w:p>
        </w:tc>
        <w:tc>
          <w:tcPr>
            <w:tcW w:type="dxa" w:w="1134"/>
            <w:vAlign w:val="center"/>
            <w:shd w:fill="173A5E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页码</w:t>
            </w:r>
          </w:p>
        </w:tc>
        <w:tc>
          <w:tcPr>
            <w:tcW w:type="dxa" w:w="850"/>
            <w:vAlign w:val="center"/>
            <w:shd w:fill="173A5E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页数</w:t>
            </w:r>
          </w:p>
        </w:tc>
        <w:tc>
          <w:tcPr>
            <w:tcW w:type="dxa" w:w="4309"/>
            <w:vAlign w:val="center"/>
            <w:shd w:fill="173A5E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本稿安排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（一）作品背景与说明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P1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真实业务任务+产品定位</w:t>
            </w:r>
          </w:p>
        </w:tc>
      </w:tr>
      <w:tr>
        <w:tc>
          <w:tcPr>
            <w:tcW w:type="dxa" w:w="2268"/>
            <w:vAlign w:val="center"/>
            <w:shd w:fill="F5F8FB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（二）数据收集与处理</w:t>
            </w:r>
          </w:p>
        </w:tc>
        <w:tc>
          <w:tcPr>
            <w:tcW w:type="dxa" w:w="1134"/>
            <w:vAlign w:val="center"/>
            <w:shd w:fill="F5F8FB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P2–P5</w:t>
            </w:r>
          </w:p>
        </w:tc>
        <w:tc>
          <w:tcPr>
            <w:tcW w:type="dxa" w:w="850"/>
            <w:vAlign w:val="center"/>
            <w:shd w:fill="F5F8FB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4</w:t>
            </w:r>
          </w:p>
        </w:tc>
        <w:tc>
          <w:tcPr>
            <w:tcW w:type="dxa" w:w="4309"/>
            <w:vAlign w:val="center"/>
            <w:shd w:fill="F5F8FB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数据来源、知识库、预处理、事实确认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（三）分析过程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P6–P9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4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方法选择、思维导图、数据实例、系统架构</w:t>
            </w:r>
          </w:p>
        </w:tc>
      </w:tr>
      <w:tr>
        <w:tc>
          <w:tcPr>
            <w:tcW w:type="dxa" w:w="2268"/>
            <w:vAlign w:val="center"/>
            <w:shd w:fill="F5F8FB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（四）创新性与独特视角</w:t>
            </w:r>
          </w:p>
        </w:tc>
        <w:tc>
          <w:tcPr>
            <w:tcW w:type="dxa" w:w="1134"/>
            <w:vAlign w:val="center"/>
            <w:shd w:fill="F5F8FB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P10–P11</w:t>
            </w:r>
          </w:p>
        </w:tc>
        <w:tc>
          <w:tcPr>
            <w:tcW w:type="dxa" w:w="850"/>
            <w:vAlign w:val="center"/>
            <w:shd w:fill="F5F8FB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4309"/>
            <w:vAlign w:val="center"/>
            <w:shd w:fill="F5F8FB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两个核心创新、跨学科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（五）结果解释与建议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P12–P17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6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结果、复核、局限、建议、两类风险</w:t>
            </w:r>
          </w:p>
        </w:tc>
      </w:tr>
      <w:tr>
        <w:tc>
          <w:tcPr>
            <w:tcW w:type="dxa" w:w="2268"/>
            <w:vAlign w:val="center"/>
            <w:shd w:fill="F5F8FB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（六）应用结果呈现</w:t>
            </w:r>
          </w:p>
        </w:tc>
        <w:tc>
          <w:tcPr>
            <w:tcW w:type="dxa" w:w="1134"/>
            <w:vAlign w:val="center"/>
            <w:shd w:fill="F5F8FB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P18–P20</w:t>
            </w:r>
          </w:p>
        </w:tc>
        <w:tc>
          <w:tcPr>
            <w:tcW w:type="dxa" w:w="850"/>
            <w:vAlign w:val="center"/>
            <w:shd w:fill="F5F8FB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</w:t>
            </w:r>
          </w:p>
        </w:tc>
        <w:tc>
          <w:tcPr>
            <w:tcW w:type="dxa" w:w="4309"/>
            <w:vAlign w:val="center"/>
            <w:shd w:fill="F5F8FB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真实界面、Agent对话、提示词+链接</w:t>
            </w:r>
          </w:p>
        </w:tc>
      </w:tr>
    </w:tbl>
    <w:p/>
    <w:p>
      <w:pPr>
        <w:pStyle w:val="H2"/>
      </w:pPr>
      <w:r>
        <w:t>制作总原则</w:t>
      </w:r>
    </w:p>
    <w:p>
      <w:pPr>
        <w:ind w:left="255" w:hanging="130"/>
      </w:pPr>
      <w:r>
        <w:t>• 每页只讲一个结论；真实截图用于“证明”，图表用于“解释”。</w:t>
      </w:r>
    </w:p>
    <w:p>
      <w:pPr>
        <w:ind w:left="255" w:hanging="130"/>
      </w:pPr>
      <w:r>
        <w:t>• F1所有截图来自同一套Demo数据，Case/FactsVersion/Rule/Artifact/Review前后一致。</w:t>
      </w:r>
    </w:p>
    <w:p>
      <w:pPr>
        <w:ind w:left="255" w:hanging="130"/>
      </w:pPr>
      <w:r>
        <w:t>• 规划能力必须标“下一阶段/待实现”，不与现有能力混写。</w:t>
      </w:r>
    </w:p>
    <w:p>
      <w:pPr>
        <w:ind w:left="255" w:hanging="130"/>
      </w:pPr>
      <w:r>
        <w:t>• 匿名评审：系统、PPT、视频均不出现学校、队员、指导教师或可识别身份信息。</w:t>
      </w:r>
    </w:p>
    <w:p>
      <w:r>
        <w:br w:type="page"/>
      </w:r>
    </w:p>
    <w:p>
      <w:pPr>
        <w:pStyle w:val="Slide"/>
      </w:pPr>
      <w:r>
        <w:t>P01  高风险业务需要的，不只是一个答案</w:t>
      </w:r>
    </w:p>
    <w:p>
      <w:pPr>
        <w:pStyle w:val="Meta"/>
      </w:pPr>
      <w:r>
        <w:t>（一）作品背景与说明｜建议讲解 22 秒</w:t>
      </w:r>
    </w:p>
    <w:p>
      <w:r>
        <w:rPr>
          <w:b/>
          <w:color w:val="104F6F"/>
        </w:rPr>
        <w:t>本页核心结论：</w:t>
      </w:r>
      <w:r>
        <w:t>用一个具体金融合规任务完成背景、痛点、项目定位和品牌记忆。</w:t>
      </w:r>
    </w:p>
    <w:p>
      <w:r>
        <w:rPr>
          <w:b/>
          <w:color w:val="104F6F"/>
        </w:rPr>
        <w:t>PPT屏幕文案：</w:t>
      </w:r>
      <w:r>
        <w:t>网域衡鉴 LexCyber｜面向高风险业务的可信可审计 AI Agent 平台｜金融合规与风险辅助研判应用。</w:t>
      </w:r>
    </w:p>
    <w:p>
      <w:r>
        <w:rPr>
          <w:b/>
          <w:color w:val="104F6F"/>
        </w:rPr>
        <w:t>视觉与图表：</w:t>
      </w:r>
      <w:r>
        <w:t>左侧放企业准入材料卡；中部用四个追问形成“可信断点”：事实确认了吗？依据哪版规则？为什么命中？谁复核？右侧放最终比赛版首页真实截图。</w:t>
      </w:r>
    </w:p>
    <w:p>
      <w:r>
        <w:rPr>
          <w:b/>
          <w:color w:val="104F6F"/>
        </w:rPr>
        <w:t>真实系统截图：</w:t>
      </w:r>
      <w:r>
        <w:t>S-01 比赛版首页 + S-02A F1业务材料页局部。</w:t>
      </w:r>
    </w:p>
    <w:p>
      <w:r>
        <w:rPr>
          <w:b/>
          <w:color w:val="104F6F"/>
        </w:rPr>
        <w:t>讲稿草案：</w:t>
      </w:r>
      <w:r>
        <w:t>我们从一个真实任务开始。企业客户提交了准入材料，大模型可以很快读完并给出建议，但真正进入金融合规场景后，仅有一段回答远远不够。业务人员还必须知道：系统使用的事实是否确认，依据的是哪一版规则，为什么触发风险，以及最后是谁复核。网域衡鉴 LexCyber 要解决的，就是高风险 AI 从“会回答”走向“可核验、可复核、可追溯”的问题。</w:t>
      </w:r>
    </w:p>
    <w:p>
      <w:r>
        <w:rPr>
          <w:b/>
          <w:color w:val="104F6F"/>
        </w:rPr>
        <w:t>数据/证据口径：</w:t>
      </w:r>
      <w:r>
        <w:t>背景基于赛事金融方向“金融科技与风险管理”；案例使用合成/脱敏数据。</w:t>
      </w:r>
    </w:p>
    <w:p>
      <w:r>
        <w:rPr>
          <w:b/>
          <w:color w:val="104F6F"/>
        </w:rPr>
        <w:t>制作备注：</w:t>
      </w:r>
      <w:r>
        <w:t>第一页不讲架构，不使用无来源的行业市场规模。</w:t>
      </w:r>
    </w:p>
    <w:p>
      <w:r>
        <w:br w:type="page"/>
      </w:r>
    </w:p>
    <w:p>
      <w:pPr>
        <w:pStyle w:val="Slide"/>
      </w:pPr>
      <w:r>
        <w:t>P02  三类数据来源：业务材料、监管依据、演示规则</w:t>
      </w:r>
    </w:p>
    <w:p>
      <w:pPr>
        <w:pStyle w:val="Meta"/>
      </w:pPr>
      <w:r>
        <w:t>（二）数据收集与处理｜数据来源｜建议讲解 20 秒</w:t>
      </w:r>
    </w:p>
    <w:p>
      <w:r>
        <w:rPr>
          <w:b/>
          <w:color w:val="104F6F"/>
        </w:rPr>
        <w:t>本页核心结论：</w:t>
      </w:r>
      <w:r>
        <w:t>明确满足官方“2–3个主要数据来源、权威性、时效性”的要求。</w:t>
      </w:r>
    </w:p>
    <w:p>
      <w:r>
        <w:rPr>
          <w:b/>
          <w:color w:val="104F6F"/>
        </w:rPr>
        <w:t>PPT屏幕文案：</w:t>
      </w:r>
      <w:r>
        <w:t>数据不是抓来就用：来源可追溯、时效可记录、比赛数据可复现。</w:t>
      </w:r>
    </w:p>
    <w:p>
      <w:r>
        <w:rPr>
          <w:b/>
          <w:color w:val="104F6F"/>
        </w:rPr>
        <w:t>视觉与图表：</w:t>
      </w:r>
      <w:r>
        <w:t>三张来源卡 + 一张四列表：来源渠道 / 权威性 / 更新或版本 / Agent用途。</w:t>
      </w:r>
    </w:p>
    <w:p>
      <w:r>
        <w:rPr>
          <w:b/>
          <w:color w:val="104F6F"/>
        </w:rPr>
        <w:t>真实系统截图：</w:t>
      </w:r>
      <w:r>
        <w:t>S-04 监管依据页面局部；若Finance Sources尚未完成，最终PPT前必须补真实截图。</w:t>
      </w:r>
    </w:p>
    <w:p>
      <w:r>
        <w:rPr>
          <w:b/>
          <w:color w:val="104F6F"/>
        </w:rPr>
        <w:t>讲稿草案：</w:t>
      </w:r>
      <w:r>
        <w:t>我们的数据来源分三类。第一类是业务材料，包括企业基本信息、实际控制人、业务用途、资金来源和交易特征，比赛环境统一使用合成或脱敏数据。第二类是公开监管依据，正式 Finance Pack 只引用可核验的官方来源，并记录版本和生效时间。第三类是经过整理和会签的演示规则，用于把监管与业务要求转换成可执行条件。</w:t>
      </w:r>
    </w:p>
    <w:p>
      <w:r>
        <w:rPr>
          <w:b/>
          <w:color w:val="104F6F"/>
        </w:rPr>
        <w:t>数据/证据口径：</w:t>
      </w:r>
      <w:r>
        <w:t>最终页必须填入Finance Pack真实采用的2–3个官方来源名称、版本或更新时间；未实际入库的来源不写。</w:t>
      </w:r>
    </w:p>
    <w:p>
      <w:r>
        <w:rPr>
          <w:b/>
          <w:color w:val="104F6F"/>
        </w:rPr>
        <w:t>制作备注：</w:t>
      </w:r>
      <w:r>
        <w:t>建议最终选择监管机构官网/国家法律法规数据库等权威公开渠道；不要把“演示规则”伪装成外部权威来源。</w:t>
      </w:r>
    </w:p>
    <w:p>
      <w:r>
        <w:br w:type="page"/>
      </w:r>
    </w:p>
    <w:p>
      <w:pPr>
        <w:pStyle w:val="Slide"/>
      </w:pPr>
      <w:r>
        <w:t>P03  LexCyber的知识库不是一个向量库，而是一套可审计知识体系</w:t>
      </w:r>
    </w:p>
    <w:p>
      <w:pPr>
        <w:pStyle w:val="Meta"/>
      </w:pPr>
      <w:r>
        <w:t>（二）数据收集与处理｜知识库｜建议讲解 20 秒</w:t>
      </w:r>
    </w:p>
    <w:p>
      <w:r>
        <w:rPr>
          <w:b/>
          <w:color w:val="104F6F"/>
        </w:rPr>
        <w:t>本页核心结论：</w:t>
      </w:r>
      <w:r>
        <w:t>解释知识库具体包含什么，以及它为什么适合高风险业务。</w:t>
      </w:r>
    </w:p>
    <w:p>
      <w:r>
        <w:rPr>
          <w:b/>
          <w:color w:val="104F6F"/>
        </w:rPr>
        <w:t>PPT屏幕文案：</w:t>
      </w:r>
      <w:r>
        <w:t>Source → Rule Package → Template Package → Signoff Record。</w:t>
      </w:r>
    </w:p>
    <w:p>
      <w:r>
        <w:rPr>
          <w:b/>
          <w:color w:val="104F6F"/>
        </w:rPr>
        <w:t>视觉与图表：</w:t>
      </w:r>
      <w:r>
        <w:t>四层知识结构图；右侧嵌入Rules/Sources真实界面。</w:t>
      </w:r>
    </w:p>
    <w:p>
      <w:r>
        <w:rPr>
          <w:b/>
          <w:color w:val="104F6F"/>
        </w:rPr>
        <w:t>真实系统截图：</w:t>
      </w:r>
      <w:r>
        <w:t>S-03 RulesPage + S-04 SourcesPage/Registry。</w:t>
      </w:r>
    </w:p>
    <w:p>
      <w:r>
        <w:rPr>
          <w:b/>
          <w:color w:val="104F6F"/>
        </w:rPr>
        <w:t>讲稿草案：</w:t>
      </w:r>
      <w:r>
        <w:t>在 LexCyber 中，我们没有把知识库简单理解成一个向量数据库。高风险业务中的知识需要版本和责任边界，因此系统把监管来源、可执行规则、文书模板和会签记录分别建模。规则未批准就不能进入正式产出；来源和规则还保留版本、生效区间和内容哈希。这使知识不仅能被检索，也能被治理。</w:t>
      </w:r>
    </w:p>
    <w:p>
      <w:r>
        <w:rPr>
          <w:b/>
          <w:color w:val="104F6F"/>
        </w:rPr>
        <w:t>数据/证据口径：</w:t>
      </w:r>
      <w:r>
        <w:t>当前主线已具备legal_source、rule_package、template_package、signoff_record注册与审批机制。</w:t>
      </w:r>
    </w:p>
    <w:p>
      <w:r>
        <w:rPr>
          <w:b/>
          <w:color w:val="104F6F"/>
        </w:rPr>
        <w:t>制作备注：</w:t>
      </w:r>
      <w:r>
        <w:t>用户界面用“监管依据/规则依据”表述；底层对象名可作为小字技术注释。</w:t>
      </w:r>
    </w:p>
    <w:p>
      <w:r>
        <w:br w:type="page"/>
      </w:r>
    </w:p>
    <w:p>
      <w:pPr>
        <w:pStyle w:val="Slide"/>
      </w:pPr>
      <w:r>
        <w:t>P04  从非结构化材料到可执行事实：数据如何进入Agent</w:t>
      </w:r>
    </w:p>
    <w:p>
      <w:pPr>
        <w:pStyle w:val="Meta"/>
      </w:pPr>
      <w:r>
        <w:t>（二）数据收集与处理｜预处理｜建议讲解 22 秒</w:t>
      </w:r>
    </w:p>
    <w:p>
      <w:r>
        <w:rPr>
          <w:b/>
          <w:color w:val="104F6F"/>
        </w:rPr>
        <w:t>本页核心结论：</w:t>
      </w:r>
      <w:r>
        <w:t>用流程图正式回答数据预处理与利用。</w:t>
      </w:r>
    </w:p>
    <w:p>
      <w:r>
        <w:rPr>
          <w:b/>
          <w:color w:val="104F6F"/>
        </w:rPr>
        <w:t>PPT屏幕文案：</w:t>
      </w:r>
      <w:r>
        <w:t>PDF/DOCX → document.parse → Evidence Locator → Candidate Facts → 人工核验 → FactsVersion → Agent。</w:t>
      </w:r>
    </w:p>
    <w:p>
      <w:r>
        <w:rPr>
          <w:b/>
          <w:color w:val="104F6F"/>
        </w:rPr>
        <w:t>视觉与图表：</w:t>
      </w:r>
      <w:r>
        <w:t>整页流程图；每个节点下标技术：API、MinIO、Parser、JSON、PostgreSQL、Engine。</w:t>
      </w:r>
    </w:p>
    <w:p>
      <w:r>
        <w:rPr>
          <w:b/>
          <w:color w:val="104F6F"/>
        </w:rPr>
        <w:t>真实系统截图：</w:t>
      </w:r>
      <w:r>
        <w:t>S-02A材料页做起点小图；S-09事实核验页做终点小图。</w:t>
      </w:r>
    </w:p>
    <w:p>
      <w:r>
        <w:rPr>
          <w:b/>
          <w:color w:val="104F6F"/>
        </w:rPr>
        <w:t>讲稿草案：</w:t>
      </w:r>
      <w:r>
        <w:t>材料上传后先进入对象存储并触发 document.parse，系统生成文本与定位信息，再形成候选事实。候选事实不会直接进入高风险规则判断，必须由人工核验后形成不可变 FactsVersion。之后规则执行只读取这一版确认快照。也就是说，大模型的理解能力被放在输入阶段，而不是直接替代最终判断。</w:t>
      </w:r>
    </w:p>
    <w:p>
      <w:r>
        <w:rPr>
          <w:b/>
          <w:color w:val="104F6F"/>
        </w:rPr>
        <w:t>数据/证据口径：</w:t>
      </w:r>
      <w:r>
        <w:t>基于现有链路：Browser → Java API → MinIO/document.parse → FactsVersion → Python Engine。</w:t>
      </w:r>
    </w:p>
    <w:p>
      <w:r>
        <w:rPr>
          <w:b/>
          <w:color w:val="104F6F"/>
        </w:rPr>
        <w:t>制作备注：</w:t>
      </w:r>
      <w:r>
        <w:t>流程图用正式矢量图，不用多张截图硬拼。</w:t>
      </w:r>
    </w:p>
    <w:p>
      <w:r>
        <w:br w:type="page"/>
      </w:r>
    </w:p>
    <w:p>
      <w:pPr>
        <w:pStyle w:val="Slide"/>
      </w:pPr>
      <w:r>
        <w:t>P05  Candidate ≠ Confirmed：事实确认是第一道业务门闩</w:t>
      </w:r>
    </w:p>
    <w:p>
      <w:pPr>
        <w:pStyle w:val="Meta"/>
      </w:pPr>
      <w:r>
        <w:t>（二）数据收集与处理｜利用｜建议讲解 18 秒</w:t>
      </w:r>
    </w:p>
    <w:p>
      <w:r>
        <w:rPr>
          <w:b/>
          <w:color w:val="104F6F"/>
        </w:rPr>
        <w:t>本页核心结论：</w:t>
      </w:r>
      <w:r>
        <w:t>解释预处理为何直接关系可信性，而不是普通ETL步骤。</w:t>
      </w:r>
    </w:p>
    <w:p>
      <w:r>
        <w:rPr>
          <w:b/>
          <w:color w:val="104F6F"/>
        </w:rPr>
        <w:t>PPT屏幕文案：</w:t>
      </w:r>
      <w:r>
        <w:t>AI提取候选 → 人工确认 → 不可变FactsVersion。</w:t>
      </w:r>
    </w:p>
    <w:p>
      <w:r>
        <w:rPr>
          <w:b/>
          <w:color w:val="104F6F"/>
        </w:rPr>
        <w:t>视觉与图表：</w:t>
      </w:r>
      <w:r>
        <w:t>左候选事实卡，中间人工确认，右真实FactsVersion；用状态变化对照candidate/confirmed。</w:t>
      </w:r>
    </w:p>
    <w:p>
      <w:r>
        <w:rPr>
          <w:b/>
          <w:color w:val="104F6F"/>
        </w:rPr>
        <w:t>真实系统截图：</w:t>
      </w:r>
      <w:r>
        <w:t>S-09 F1事实核验页 + FactsVersion信息。</w:t>
      </w:r>
    </w:p>
    <w:p>
      <w:r>
        <w:rPr>
          <w:b/>
          <w:color w:val="104F6F"/>
        </w:rPr>
        <w:t>讲稿草案：</w:t>
      </w:r>
      <w:r>
        <w:t>例如系统从材料中识别到“资金来源信息可能不完整”，它首先只是候选事实。业务人员确认后，才形成 source_of_funds_verified=false 这样的正式输入。所有后续结果都绑定到这个 FactsVersion，因此我们能准确回答：这次分析究竟基于什么事实。</w:t>
      </w:r>
    </w:p>
    <w:p>
      <w:r>
        <w:rPr>
          <w:b/>
          <w:color w:val="104F6F"/>
        </w:rPr>
        <w:t>数据/证据口径：</w:t>
      </w:r>
      <w:r>
        <w:t>最终使用实际F1 Facts字段；字段名与截图一致。</w:t>
      </w:r>
    </w:p>
    <w:p>
      <w:r>
        <w:rPr>
          <w:b/>
          <w:color w:val="104F6F"/>
        </w:rPr>
        <w:t>制作备注：</w:t>
      </w:r>
      <w:r>
        <w:t>强调人工确认是责任边界，不要描述为低效人工步骤。</w:t>
      </w:r>
    </w:p>
    <w:p>
      <w:r>
        <w:br w:type="page"/>
      </w:r>
    </w:p>
    <w:p>
      <w:pPr>
        <w:pStyle w:val="Slide"/>
      </w:pPr>
      <w:r>
        <w:t>P06  为什么不是纯LLM，也不是纯规则</w:t>
      </w:r>
    </w:p>
    <w:p>
      <w:pPr>
        <w:pStyle w:val="Meta"/>
      </w:pPr>
      <w:r>
        <w:t>（三）分析过程｜方法选择｜建议讲解 22 秒</w:t>
      </w:r>
    </w:p>
    <w:p>
      <w:r>
        <w:rPr>
          <w:b/>
          <w:color w:val="104F6F"/>
        </w:rPr>
        <w:t>本页核心结论：</w:t>
      </w:r>
      <w:r>
        <w:t>回答“为什么选这种分析方法，以及为什么适配业务场景”。</w:t>
      </w:r>
    </w:p>
    <w:p>
      <w:r>
        <w:rPr>
          <w:b/>
          <w:color w:val="104F6F"/>
        </w:rPr>
        <w:t>PPT屏幕文案：</w:t>
      </w:r>
      <w:r>
        <w:t>LLM负责理解｜规则负责确定性判断｜Human Review负责最终责任。</w:t>
      </w:r>
    </w:p>
    <w:p>
      <w:r>
        <w:rPr>
          <w:b/>
          <w:color w:val="104F6F"/>
        </w:rPr>
        <w:t>视觉与图表：</w:t>
      </w:r>
      <w:r>
        <w:t>三列方法比较：纯LLM / 纯规则 / LexCyber Hybrid；底部画协同链。</w:t>
      </w:r>
    </w:p>
    <w:p>
      <w:r>
        <w:rPr>
          <w:b/>
          <w:color w:val="104F6F"/>
        </w:rPr>
        <w:t>真实系统截图：</w:t>
      </w:r>
      <w:r>
        <w:t>可放S-10 RuleResultsPanel小截图作为Hybrid方法的系统证据。</w:t>
      </w:r>
    </w:p>
    <w:p>
      <w:r>
        <w:rPr>
          <w:b/>
          <w:color w:val="104F6F"/>
        </w:rPr>
        <w:t>讲稿草案：</w:t>
      </w:r>
      <w:r>
        <w:t>纯大模型擅长理解非结构化材料，但难以保证规则判断可复现；纯规则稳定，但无法高效理解复杂文本。我们采用混合方法：LLM和文档能力负责理解与候选信息，确定性规则引擎负责正式条件判断，人工复核负责最终责任。这种分工更适合金融合规这类高风险、强规则、强审计场景。</w:t>
      </w:r>
    </w:p>
    <w:p>
      <w:r>
        <w:rPr>
          <w:b/>
          <w:color w:val="104F6F"/>
        </w:rPr>
        <w:t>数据/证据口径：</w:t>
      </w:r>
      <w:r>
        <w:t>比较为机制性对比，不写没有测量依据的准确率。</w:t>
      </w:r>
    </w:p>
    <w:p>
      <w:r>
        <w:rPr>
          <w:b/>
          <w:color w:val="104F6F"/>
        </w:rPr>
        <w:t>制作备注：</w:t>
      </w:r>
      <w:r>
        <w:t>方法矩阵建议维度：非结构化理解、可复现、可解释、规则治理、人工责任。</w:t>
      </w:r>
    </w:p>
    <w:p>
      <w:r>
        <w:br w:type="page"/>
      </w:r>
    </w:p>
    <w:p>
      <w:pPr>
        <w:pStyle w:val="Slide"/>
      </w:pPr>
      <w:r>
        <w:t>P07  把企业准入问题拆成可验证的四类事实</w:t>
      </w:r>
    </w:p>
    <w:p>
      <w:pPr>
        <w:pStyle w:val="Meta"/>
      </w:pPr>
      <w:r>
        <w:t>（三）分析过程｜问题理解｜建议讲解 20 秒</w:t>
      </w:r>
    </w:p>
    <w:p>
      <w:r>
        <w:rPr>
          <w:b/>
          <w:color w:val="104F6F"/>
        </w:rPr>
        <w:t>本页核心结论：</w:t>
      </w:r>
      <w:r>
        <w:t>用思维导图满足官方问题理解与逻辑分析要求。</w:t>
      </w:r>
    </w:p>
    <w:p>
      <w:r>
        <w:rPr>
          <w:b/>
          <w:color w:val="104F6F"/>
        </w:rPr>
        <w:t>PPT屏幕文案：</w:t>
      </w:r>
      <w:r>
        <w:t>企业准入合规风险 = 主体真实性 + 业务真实性 + 资金风险 + 地域/跨境因素。</w:t>
      </w:r>
    </w:p>
    <w:p>
      <w:r>
        <w:rPr>
          <w:b/>
          <w:color w:val="104F6F"/>
        </w:rPr>
        <w:t>视觉与图表：</w:t>
      </w:r>
      <w:r>
        <w:t>中心思维导图，四个一级分支，每个分支2–3个事实字段；右侧连接对应规则ID。</w:t>
      </w:r>
    </w:p>
    <w:p>
      <w:r>
        <w:rPr>
          <w:b/>
          <w:color w:val="104F6F"/>
        </w:rPr>
        <w:t>真实系统截图：</w:t>
      </w:r>
      <w:r>
        <w:t>无必须截图；角落可放F1材料缩略图。</w:t>
      </w:r>
    </w:p>
    <w:p>
      <w:r>
        <w:rPr>
          <w:b/>
          <w:color w:val="104F6F"/>
        </w:rPr>
        <w:t>讲稿草案：</w:t>
      </w:r>
      <w:r>
        <w:t>我们没有直接要求模型判断“这个客户有没有风险”，而是先把问题拆成可验证事实。主体层看企业与实控人，业务层看用途和支持材料，资金层看资金来源和交易特征，地域层看跨境与高风险地区因素。每个事实再对应到具体规则条件，形成可验证的分析路径。</w:t>
      </w:r>
    </w:p>
    <w:p>
      <w:r>
        <w:rPr>
          <w:b/>
          <w:color w:val="104F6F"/>
        </w:rPr>
        <w:t>数据/证据口径：</w:t>
      </w:r>
      <w:r>
        <w:t>思维导图字段必须来自实际Finance Demo，不要使用系统没有的指标。</w:t>
      </w:r>
    </w:p>
    <w:p>
      <w:r>
        <w:rPr>
          <w:b/>
          <w:color w:val="104F6F"/>
        </w:rPr>
        <w:t>制作备注：</w:t>
      </w:r>
      <w:r>
        <w:t>这是官方明确希望出现的思维导图页。</w:t>
      </w:r>
    </w:p>
    <w:p>
      <w:r>
        <w:br w:type="page"/>
      </w:r>
    </w:p>
    <w:p>
      <w:pPr>
        <w:pStyle w:val="Slide"/>
      </w:pPr>
      <w:r>
        <w:t>P08  一组真实Facts，如何推导出规则结果</w:t>
      </w:r>
    </w:p>
    <w:p>
      <w:pPr>
        <w:pStyle w:val="Meta"/>
      </w:pPr>
      <w:r>
        <w:t>（三）分析过程｜数据实例论证｜建议讲解 25 秒</w:t>
      </w:r>
    </w:p>
    <w:p>
      <w:r>
        <w:rPr>
          <w:b/>
          <w:color w:val="104F6F"/>
        </w:rPr>
        <w:t>本页核心结论：</w:t>
      </w:r>
      <w:r>
        <w:t>用真实F1数据实例证明分析逻辑严密。</w:t>
      </w:r>
    </w:p>
    <w:p>
      <w:r>
        <w:rPr>
          <w:b/>
          <w:color w:val="104F6F"/>
        </w:rPr>
        <w:t>PPT屏幕文案：</w:t>
      </w:r>
      <w:r>
        <w:t>F1已确认事实 → 规则条件 → 命中/未命中 → 建议进入人工复核。</w:t>
      </w:r>
    </w:p>
    <w:p>
      <w:r>
        <w:rPr>
          <w:b/>
          <w:color w:val="104F6F"/>
        </w:rPr>
        <w:t>视觉与图表：</w:t>
      </w:r>
      <w:r>
        <w:t>左侧真实Facts表，右侧事实×规则矩阵，底部一条结果摘要。</w:t>
      </w:r>
    </w:p>
    <w:p>
      <w:r>
        <w:rPr>
          <w:b/>
          <w:color w:val="104F6F"/>
        </w:rPr>
        <w:t>真实系统截图：</w:t>
      </w:r>
      <w:r>
        <w:t>S-09 Facts页局部 + S-10 Rule Trace局部。</w:t>
      </w:r>
    </w:p>
    <w:p>
      <w:r>
        <w:rPr>
          <w:b/>
          <w:color w:val="104F6F"/>
        </w:rPr>
        <w:t>讲稿草案：</w:t>
      </w:r>
      <w:r>
        <w:t>以 F1 为例，最终 PPT 会直接使用系统中确认过的事实。比如实际控制人是否核验、资金来源是否确认、支持材料是否完整。规则矩阵展示每个事实参与了哪些条件判断，最终哪些规则命中、哪些未命中。这里的结论不是模型自由生成，而是可以逐项重放的规则执行结果。</w:t>
      </w:r>
    </w:p>
    <w:p>
      <w:r>
        <w:rPr>
          <w:b/>
          <w:color w:val="104F6F"/>
        </w:rPr>
        <w:t>数据/证据口径：</w:t>
      </w:r>
      <w:r>
        <w:t>Finance Pack未完成前只保留矩阵结构；最终数值、Rule ID、命中状态全部从真实Artifact提取。</w:t>
      </w:r>
    </w:p>
    <w:p>
      <w:r>
        <w:rPr>
          <w:b/>
          <w:color w:val="104F6F"/>
        </w:rPr>
        <w:t>制作备注：</w:t>
      </w:r>
      <w:r>
        <w:t>本页是数据论证核心页，禁止编造演示结果。</w:t>
      </w:r>
    </w:p>
    <w:p>
      <w:r>
        <w:br w:type="page"/>
      </w:r>
    </w:p>
    <w:p>
      <w:pPr>
        <w:pStyle w:val="Slide"/>
      </w:pPr>
      <w:r>
        <w:t>P09  这套分析如何落在真实LexCyber系统里</w:t>
      </w:r>
    </w:p>
    <w:p>
      <w:pPr>
        <w:pStyle w:val="Meta"/>
      </w:pPr>
      <w:r>
        <w:t>（三）分析过程｜系统实现｜建议讲解 24 秒</w:t>
      </w:r>
    </w:p>
    <w:p>
      <w:r>
        <w:rPr>
          <w:b/>
          <w:color w:val="104F6F"/>
        </w:rPr>
        <w:t>本页核心结论：</w:t>
      </w:r>
      <w:r>
        <w:t>在评委理解数据与方法之后展示技术架构和工程可信度。</w:t>
      </w:r>
    </w:p>
    <w:p>
      <w:r>
        <w:rPr>
          <w:b/>
          <w:color w:val="104F6F"/>
        </w:rPr>
        <w:t>PPT屏幕文案：</w:t>
      </w:r>
      <w:r>
        <w:t>Browser/Vue → Java API → Facts &amp; Artifact → Python Engine → Rule Registry → Review → Archive。</w:t>
      </w:r>
    </w:p>
    <w:p>
      <w:r>
        <w:rPr>
          <w:b/>
          <w:color w:val="104F6F"/>
        </w:rPr>
        <w:t>视觉与图表：</w:t>
      </w:r>
      <w:r>
        <w:t>主架构图占70%；右下角工程验证卡：Full-stack E2E、Java/Web/Engine测试记录。</w:t>
      </w:r>
    </w:p>
    <w:p>
      <w:r>
        <w:rPr>
          <w:b/>
          <w:color w:val="104F6F"/>
        </w:rPr>
        <w:t>真实系统截图：</w:t>
      </w:r>
      <w:r>
        <w:t>S-01首页小图；可加入真实任务或RuleResultsPanel缩略图。</w:t>
      </w:r>
    </w:p>
    <w:p>
      <w:r>
        <w:rPr>
          <w:b/>
          <w:color w:val="104F6F"/>
        </w:rPr>
        <w:t>讲稿草案：</w:t>
      </w:r>
      <w:r>
        <w:t>这套方法已经落在 LexCyber 的真实系统中。浏览器只访问 Java 公共 API；材料、事实、结果和复核状态由业务侧持久化；Python Engine 负责执行；规则和模板由 Registry 管理；任务通过 Redis 异步执行，材料由 MinIO 存储。主线已经完成 Facts 版本、Artifact 发布、人工复核、stale 传播和归档的端到端验证。</w:t>
      </w:r>
    </w:p>
    <w:p>
      <w:r>
        <w:rPr>
          <w:b/>
          <w:color w:val="104F6F"/>
        </w:rPr>
        <w:t>数据/证据口径：</w:t>
      </w:r>
      <w:r>
        <w:t>可引用2026-09-25 v1.3提交记录中的Java 87 / Web 86 / Engine 27 tests；注明“提交记录口径，不等于当前全仓测试总量”。</w:t>
      </w:r>
    </w:p>
    <w:p>
      <w:r>
        <w:rPr>
          <w:b/>
          <w:color w:val="104F6F"/>
        </w:rPr>
        <w:t>制作备注：</w:t>
      </w:r>
      <w:r>
        <w:t>测试数字做小卡片即可，不单独占一页。</w:t>
      </w:r>
    </w:p>
    <w:p>
      <w:r>
        <w:br w:type="page"/>
      </w:r>
    </w:p>
    <w:p>
      <w:pPr>
        <w:pStyle w:val="Slide"/>
      </w:pPr>
      <w:r>
        <w:t>P10  两个核心创新：版本化证据链 + 自动失效传播</w:t>
      </w:r>
    </w:p>
    <w:p>
      <w:pPr>
        <w:pStyle w:val="Meta"/>
      </w:pPr>
      <w:r>
        <w:t>（四）创新性｜创新点｜建议讲解 20 秒</w:t>
      </w:r>
    </w:p>
    <w:p>
      <w:r>
        <w:rPr>
          <w:b/>
          <w:color w:val="104F6F"/>
        </w:rPr>
        <w:t>本页核心结论：</w:t>
      </w:r>
      <w:r>
        <w:t>突出最容易被记住的两个创新点。</w:t>
      </w:r>
    </w:p>
    <w:p>
      <w:r>
        <w:rPr>
          <w:b/>
          <w:color w:val="104F6F"/>
        </w:rPr>
        <w:t>PPT屏幕文案：</w:t>
      </w:r>
      <w:r>
        <w:t>创新① 事实版本—规则版本—结果版本—复核记录</w:t>
        <w:br/>
        <w:t>创新② 依赖变化后旧结论自动Stale。</w:t>
      </w:r>
    </w:p>
    <w:p>
      <w:r>
        <w:rPr>
          <w:b/>
          <w:color w:val="104F6F"/>
        </w:rPr>
        <w:t>视觉与图表：</w:t>
      </w:r>
      <w:r>
        <w:t>左边版本链，右边Stale时间线；尽量少字。</w:t>
      </w:r>
    </w:p>
    <w:p>
      <w:r>
        <w:rPr>
          <w:b/>
          <w:color w:val="104F6F"/>
        </w:rPr>
        <w:t>真实系统截图：</w:t>
      </w:r>
      <w:r>
        <w:t>S-13A旧版本有效状态 + S-13B事实变化后Stale缩略图。</w:t>
      </w:r>
    </w:p>
    <w:p>
      <w:r>
        <w:rPr>
          <w:b/>
          <w:color w:val="104F6F"/>
        </w:rPr>
        <w:t>讲稿草案：</w:t>
      </w:r>
      <w:r>
        <w:t>我们的创新不是让模型更会说，而是让每次高风险判断都有证据链。第一，系统把事实、规则、结果和人工复核全部版本化；第二，当事实或依赖发生变化时，旧结果自动 stale，不能静默沿用。这样 AI 不仅知道“得出了什么”，还知道“这个结论现在还是否有效”。</w:t>
      </w:r>
    </w:p>
    <w:p>
      <w:r>
        <w:rPr>
          <w:b/>
          <w:color w:val="104F6F"/>
        </w:rPr>
        <w:t>数据/证据口径：</w:t>
      </w:r>
      <w:r>
        <w:t>Stale机制已在当前v1.3主线验证；金融场景最终需用真实Finance Demo重放。</w:t>
      </w:r>
    </w:p>
    <w:p>
      <w:r>
        <w:rPr>
          <w:b/>
          <w:color w:val="104F6F"/>
        </w:rPr>
        <w:t>制作备注：</w:t>
      </w:r>
      <w:r>
        <w:t>创新只讲两个，避免功能堆砌。</w:t>
      </w:r>
    </w:p>
    <w:p>
      <w:r>
        <w:br w:type="page"/>
      </w:r>
    </w:p>
    <w:p>
      <w:pPr>
        <w:pStyle w:val="Slide"/>
      </w:pPr>
      <w:r>
        <w:t>P11  AI × 软件工程 × 合规治理：可信Agent是交叉学科问题</w:t>
      </w:r>
    </w:p>
    <w:p>
      <w:pPr>
        <w:pStyle w:val="Meta"/>
      </w:pPr>
      <w:r>
        <w:t>（四）独特视角｜建议讲解 18 秒</w:t>
      </w:r>
    </w:p>
    <w:p>
      <w:r>
        <w:rPr>
          <w:b/>
          <w:color w:val="104F6F"/>
        </w:rPr>
        <w:t>本页核心结论：</w:t>
      </w:r>
      <w:r>
        <w:t>直接响应官方“跨学科交叉视角”。</w:t>
      </w:r>
    </w:p>
    <w:p>
      <w:r>
        <w:rPr>
          <w:b/>
          <w:color w:val="104F6F"/>
        </w:rPr>
        <w:t>PPT屏幕文案：</w:t>
      </w:r>
      <w:r>
        <w:t>AI理解能力 + 软件工程版本/幂等/依赖 + 合规治理规则/复核/责任 = Trusted Agent。</w:t>
      </w:r>
    </w:p>
    <w:p>
      <w:r>
        <w:rPr>
          <w:b/>
          <w:color w:val="104F6F"/>
        </w:rPr>
        <w:t>视觉与图表：</w:t>
      </w:r>
      <w:r>
        <w:t>三圆交集或三角图；下方小图：LexCyber Core → Legal Pack / Finance Compliance Pack。</w:t>
      </w:r>
    </w:p>
    <w:p>
      <w:r>
        <w:rPr>
          <w:b/>
          <w:color w:val="104F6F"/>
        </w:rPr>
        <w:t>真实系统截图：</w:t>
      </w:r>
      <w:r>
        <w:t>无需真实截图；可用平台结构图。</w:t>
      </w:r>
    </w:p>
    <w:p>
      <w:r>
        <w:rPr>
          <w:b/>
          <w:color w:val="104F6F"/>
        </w:rPr>
        <w:t>讲稿草案：</w:t>
      </w:r>
      <w:r>
        <w:t>这个问题本质上不是单一算法问题。AI负责理解复杂材料；软件工程保证版本、幂等、不可变结果和依赖关系；合规治理要求规则有来源、审批有责任、结论有人复核。LexCyber 的独特视角，就是把这三套能力做成同一套平台基础设施。</w:t>
      </w:r>
    </w:p>
    <w:p>
      <w:r>
        <w:rPr>
          <w:b/>
          <w:color w:val="104F6F"/>
        </w:rPr>
        <w:t>数据/证据口径：</w:t>
      </w:r>
      <w:r>
        <w:t>Legal Pack为现有能力；Finance Compliance Pack为本次比赛新增；未来Pack仅作方向，不宣称已完成。</w:t>
      </w:r>
    </w:p>
    <w:p>
      <w:r>
        <w:rPr>
          <w:b/>
          <w:color w:val="104F6F"/>
        </w:rPr>
        <w:t>制作备注：</w:t>
      </w:r>
      <w:r>
        <w:t>跨学科必须落到系统机制，避免口号化。</w:t>
      </w:r>
    </w:p>
    <w:p>
      <w:r>
        <w:br w:type="page"/>
      </w:r>
    </w:p>
    <w:p>
      <w:pPr>
        <w:pStyle w:val="Slide"/>
      </w:pPr>
      <w:r>
        <w:t>P12  真实Rule Trace：每一条风险建议都能回到事实与规则</w:t>
      </w:r>
    </w:p>
    <w:p>
      <w:pPr>
        <w:pStyle w:val="Meta"/>
      </w:pPr>
      <w:r>
        <w:t>（五）结果解释｜F1结果｜建议讲解 28 秒</w:t>
      </w:r>
    </w:p>
    <w:p>
      <w:r>
        <w:rPr>
          <w:b/>
          <w:color w:val="104F6F"/>
        </w:rPr>
        <w:t>本页核心结论：</w:t>
      </w:r>
      <w:r>
        <w:t>用真实系统结果解释Agent输出。</w:t>
      </w:r>
    </w:p>
    <w:p>
      <w:r>
        <w:rPr>
          <w:b/>
          <w:color w:val="104F6F"/>
        </w:rPr>
        <w:t>PPT屏幕文案：</w:t>
      </w:r>
      <w:r>
        <w:t>规则版本｜命中状态｜条件Trace｜依据来源｜结果状态。</w:t>
      </w:r>
    </w:p>
    <w:p>
      <w:r>
        <w:rPr>
          <w:b/>
          <w:color w:val="104F6F"/>
        </w:rPr>
        <w:t>视觉与图表：</w:t>
      </w:r>
      <w:r>
        <w:t>真实CompliancePage/RuleResultsPanel占70%；右侧仅保留3个放大标注。</w:t>
      </w:r>
    </w:p>
    <w:p>
      <w:r>
        <w:rPr>
          <w:b/>
          <w:color w:val="104F6F"/>
        </w:rPr>
        <w:t>真实系统截图：</w:t>
      </w:r>
      <w:r>
        <w:t>S-10 F1 RuleResultsPanel。</w:t>
      </w:r>
    </w:p>
    <w:p>
      <w:r>
        <w:rPr>
          <w:b/>
          <w:color w:val="104F6F"/>
        </w:rPr>
        <w:t>讲稿草案：</w:t>
      </w:r>
      <w:r>
        <w:t>现在看 F1 的真实结果。系统不会只显示“建议增强审查”，而是把每一条规则的 ID、版本、是否命中、每个条件的判断过程以及依据来源全部展示出来。业务人员可以沿着结果反查事实，也可以沿着事实找到参与判断的规则。</w:t>
      </w:r>
    </w:p>
    <w:p>
      <w:r>
        <w:rPr>
          <w:b/>
          <w:color w:val="104F6F"/>
        </w:rPr>
        <w:t>数据/证据口径：</w:t>
      </w:r>
      <w:r>
        <w:t>所有规则数量、Rule ID、命中状态必须与真实F1 Artifact一致。</w:t>
      </w:r>
    </w:p>
    <w:p>
      <w:r>
        <w:rPr>
          <w:b/>
          <w:color w:val="104F6F"/>
        </w:rPr>
        <w:t>制作备注：</w:t>
      </w:r>
      <w:r>
        <w:t>这一页截图要足够大，宁可少放说明文字。</w:t>
      </w:r>
    </w:p>
    <w:p>
      <w:r>
        <w:br w:type="page"/>
      </w:r>
    </w:p>
    <w:p>
      <w:pPr>
        <w:pStyle w:val="Slide"/>
      </w:pPr>
      <w:r>
        <w:t>P13  AI到这里停下：结果必须经过Human Review</w:t>
      </w:r>
    </w:p>
    <w:p>
      <w:pPr>
        <w:pStyle w:val="Meta"/>
      </w:pPr>
      <w:r>
        <w:t>（五）结果解释｜人工复核与报告｜建议讲解 25 秒</w:t>
      </w:r>
    </w:p>
    <w:p>
      <w:r>
        <w:rPr>
          <w:b/>
          <w:color w:val="104F6F"/>
        </w:rPr>
        <w:t>本页核心结论：</w:t>
      </w:r>
      <w:r>
        <w:t>说明Agent结果如何进入业务责任链并形成报告。</w:t>
      </w:r>
    </w:p>
    <w:p>
      <w:r>
        <w:rPr>
          <w:b/>
          <w:color w:val="104F6F"/>
        </w:rPr>
        <w:t>PPT屏幕文案：</w:t>
      </w:r>
      <w:r>
        <w:t>ArtifactVersion → Pending Review → Approve/Reject/Comment → 审查报告。</w:t>
      </w:r>
    </w:p>
    <w:p>
      <w:r>
        <w:rPr>
          <w:b/>
          <w:color w:val="104F6F"/>
        </w:rPr>
        <w:t>视觉与图表：</w:t>
      </w:r>
      <w:r>
        <w:t>左半真实ReviewDetail；右半真实金融合规审查报告；中间状态箭头。</w:t>
      </w:r>
    </w:p>
    <w:p>
      <w:r>
        <w:rPr>
          <w:b/>
          <w:color w:val="104F6F"/>
        </w:rPr>
        <w:t>真实系统截图：</w:t>
      </w:r>
      <w:r>
        <w:t>S-11 ReviewDetail + S-12 draft.v2金融合规审查报告。</w:t>
      </w:r>
    </w:p>
    <w:p>
      <w:r>
        <w:rPr>
          <w:b/>
          <w:color w:val="104F6F"/>
        </w:rPr>
        <w:t>讲稿草案：</w:t>
      </w:r>
      <w:r>
        <w:t>分析完成并不代表结果自动生效。LexCyber 把结论性输出统一送入人工复核，复核人与具体 ArtifactVersion 绑定。批准后，系统可以基于确认事实、上游分析结果和已批准模板生成审查报告；如果关键字段缺失，渲染会被阻断，而不是自动补造内容。</w:t>
      </w:r>
    </w:p>
    <w:p>
      <w:r>
        <w:rPr>
          <w:b/>
          <w:color w:val="104F6F"/>
        </w:rPr>
        <w:t>数据/证据口径：</w:t>
      </w:r>
      <w:r>
        <w:t>模板与报告必须由实际Finance Templates生成。</w:t>
      </w:r>
    </w:p>
    <w:p>
      <w:r>
        <w:rPr>
          <w:b/>
          <w:color w:val="104F6F"/>
        </w:rPr>
        <w:t>制作备注：</w:t>
      </w:r>
      <w:r>
        <w:t>这一页同时证明“结果可用”和“责任边界”。</w:t>
      </w:r>
    </w:p>
    <w:p>
      <w:r>
        <w:br w:type="page"/>
      </w:r>
    </w:p>
    <w:p>
      <w:pPr>
        <w:pStyle w:val="Slide"/>
      </w:pPr>
      <w:r>
        <w:t>P14  我们主动说明：比赛版不是完整金融生产系统</w:t>
      </w:r>
    </w:p>
    <w:p>
      <w:pPr>
        <w:pStyle w:val="Meta"/>
      </w:pPr>
      <w:r>
        <w:t>（五）问题与建议｜当前局限｜建议讲解 18 秒</w:t>
      </w:r>
    </w:p>
    <w:p>
      <w:r>
        <w:rPr>
          <w:b/>
          <w:color w:val="104F6F"/>
        </w:rPr>
        <w:t>本页核心结论：</w:t>
      </w:r>
      <w:r>
        <w:t>诚实列出2–3个当前问题。</w:t>
      </w:r>
    </w:p>
    <w:p>
      <w:r>
        <w:rPr>
          <w:b/>
          <w:color w:val="104F6F"/>
        </w:rPr>
        <w:t>PPT屏幕文案：</w:t>
      </w:r>
      <w:r>
        <w:t>当前规则覆盖有限｜复杂事实仍需人工确认｜不是实时反欺诈系统。</w:t>
      </w:r>
    </w:p>
    <w:p>
      <w:r>
        <w:rPr>
          <w:b/>
          <w:color w:val="104F6F"/>
        </w:rPr>
        <w:t>视觉与图表：</w:t>
      </w:r>
      <w:r>
        <w:t>三张问题卡：当前状态/原因/影响。</w:t>
      </w:r>
    </w:p>
    <w:p>
      <w:r>
        <w:rPr>
          <w:b/>
          <w:color w:val="104F6F"/>
        </w:rPr>
        <w:t>真实系统截图：</w:t>
      </w:r>
      <w:r>
        <w:t>无需系统截图。</w:t>
      </w:r>
    </w:p>
    <w:p>
      <w:r>
        <w:rPr>
          <w:b/>
          <w:color w:val="104F6F"/>
        </w:rPr>
        <w:t>讲稿草案：</w:t>
      </w:r>
      <w:r>
        <w:t>我们明确说明比赛版的边界。第一，Finance Pack 只覆盖有限的演示规则，不代表完整监管体系；第二，复杂非结构化事实仍需要人工确认；第三，当前展示的是基于已确认交易特征的风险辅助研判，不是实时流式反欺诈平台。主动暴露这些边界，比用一个看似万能的Agent更符合真实落地逻辑。</w:t>
      </w:r>
    </w:p>
    <w:p>
      <w:r>
        <w:rPr>
          <w:b/>
          <w:color w:val="104F6F"/>
        </w:rPr>
        <w:t>数据/证据口径：</w:t>
      </w:r>
      <w:r>
        <w:t>这些是当前规划阶段已知限制，不应包装成已解决问题。</w:t>
      </w:r>
    </w:p>
    <w:p>
      <w:r>
        <w:rPr>
          <w:b/>
          <w:color w:val="104F6F"/>
        </w:rPr>
        <w:t>制作备注：</w:t>
      </w:r>
      <w:r>
        <w:t>语气强调“范围控制”，不要自我否定。</w:t>
      </w:r>
    </w:p>
    <w:p>
      <w:r>
        <w:br w:type="page"/>
      </w:r>
    </w:p>
    <w:p>
      <w:pPr>
        <w:pStyle w:val="Slide"/>
      </w:pPr>
      <w:r>
        <w:t>P15  下一步优化：扩规则、强抽取、接更新、提业务体验</w:t>
      </w:r>
    </w:p>
    <w:p>
      <w:pPr>
        <w:pStyle w:val="Meta"/>
      </w:pPr>
      <w:r>
        <w:t>（五）问题与建议｜优化路线｜建议讲解 18 秒</w:t>
      </w:r>
    </w:p>
    <w:p>
      <w:r>
        <w:rPr>
          <w:b/>
          <w:color w:val="104F6F"/>
        </w:rPr>
        <w:t>本页核心结论：</w:t>
      </w:r>
      <w:r>
        <w:t>对应上一页逐项给出可执行优化建议。</w:t>
      </w:r>
    </w:p>
    <w:p>
      <w:r>
        <w:rPr>
          <w:b/>
          <w:color w:val="104F6F"/>
        </w:rPr>
        <w:t>PPT屏幕文案：</w:t>
      </w:r>
      <w:r>
        <w:t>规则覆盖→扩展Finance Pack｜事实抽取→LLM候选+置信度｜规则更新→官方来源同步｜业务体验→批量审查与摘要层。</w:t>
      </w:r>
    </w:p>
    <w:p>
      <w:r>
        <w:rPr>
          <w:b/>
          <w:color w:val="104F6F"/>
        </w:rPr>
        <w:t>视觉与图表：</w:t>
      </w:r>
      <w:r>
        <w:t>两列路线图：当前 → 下一阶段；不画完成百分比。</w:t>
      </w:r>
    </w:p>
    <w:p>
      <w:r>
        <w:rPr>
          <w:b/>
          <w:color w:val="104F6F"/>
        </w:rPr>
        <w:t>真实系统截图：</w:t>
      </w:r>
      <w:r>
        <w:t>可在底部放Source/Rule/Agent/UI四个小图标。</w:t>
      </w:r>
    </w:p>
    <w:p>
      <w:r>
        <w:rPr>
          <w:b/>
          <w:color w:val="104F6F"/>
        </w:rPr>
        <w:t>讲稿草案：</w:t>
      </w:r>
      <w:r>
        <w:t>下一阶段我们不会推倒系统，而是继续沿着 Pack 模式扩展：增加经过会签的金融规则；增强候选事实抽取和置信度提示；接入正式的监管更新流程；再增加批量审查和业务摘要层。因为核心生命周期已经稳定，这些工作主要发生在行业内容和交互层。</w:t>
      </w:r>
    </w:p>
    <w:p>
      <w:r>
        <w:rPr>
          <w:b/>
          <w:color w:val="104F6F"/>
        </w:rPr>
        <w:t>数据/证据口径：</w:t>
      </w:r>
      <w:r>
        <w:t>与最小改造策略一致：不新增finance数据库表，不新建规则family。</w:t>
      </w:r>
    </w:p>
    <w:p>
      <w:r>
        <w:rPr>
          <w:b/>
          <w:color w:val="104F6F"/>
        </w:rPr>
        <w:t>制作备注：</w:t>
      </w:r>
      <w:r>
        <w:t>建议只画短期/中期两层路线。</w:t>
      </w:r>
    </w:p>
    <w:p>
      <w:r>
        <w:br w:type="page"/>
      </w:r>
    </w:p>
    <w:p>
      <w:pPr>
        <w:pStyle w:val="Slide"/>
      </w:pPr>
      <w:r>
        <w:t>P16  让AI能力始终处在受控边界内</w:t>
      </w:r>
    </w:p>
    <w:p>
      <w:pPr>
        <w:pStyle w:val="Meta"/>
      </w:pPr>
      <w:r>
        <w:t>（五）风险识别与应对｜数据与模型｜建议讲解 18 秒</w:t>
      </w:r>
    </w:p>
    <w:p>
      <w:r>
        <w:rPr>
          <w:b/>
          <w:color w:val="104F6F"/>
        </w:rPr>
        <w:t>本页核心结论：</w:t>
      </w:r>
      <w:r>
        <w:t>满足风险识别要求的第一部分。</w:t>
      </w:r>
    </w:p>
    <w:p>
      <w:r>
        <w:rPr>
          <w:b/>
          <w:color w:val="104F6F"/>
        </w:rPr>
        <w:t>PPT屏幕文案：</w:t>
      </w:r>
      <w:r>
        <w:t>敏感数据｜模型幻觉｜候选事实错误｜外部模型不可用。</w:t>
      </w:r>
    </w:p>
    <w:p>
      <w:r>
        <w:rPr>
          <w:b/>
          <w:color w:val="104F6F"/>
        </w:rPr>
        <w:t>视觉与图表：</w:t>
      </w:r>
      <w:r>
        <w:t>风险—控制矩阵：合成/脱敏；Candidate≠Confirmed；人工确认；核心链不依赖LLM在线。</w:t>
      </w:r>
    </w:p>
    <w:p>
      <w:r>
        <w:rPr>
          <w:b/>
          <w:color w:val="104F6F"/>
        </w:rPr>
        <w:t>真实系统截图：</w:t>
      </w:r>
      <w:r>
        <w:t>可放Facts确认状态小截图。</w:t>
      </w:r>
    </w:p>
    <w:p>
      <w:r>
        <w:rPr>
          <w:b/>
          <w:color w:val="104F6F"/>
        </w:rPr>
        <w:t>讲稿草案：</w:t>
      </w:r>
      <w:r>
        <w:t>第一类风险来自数据和模型。比赛环境不使用真实客户敏感数据；模型提取只形成候选事实，不能绕过人工确认；外部模型不可用时，规则执行、复核和归档仍可以独立工作。这样模型能力被限制在合适的位置。</w:t>
      </w:r>
    </w:p>
    <w:p>
      <w:r>
        <w:rPr>
          <w:b/>
          <w:color w:val="104F6F"/>
        </w:rPr>
        <w:t>数据/证据口径：</w:t>
      </w:r>
      <w:r>
        <w:t>不宣称通过金融机构级安全认证，只描述现有系统控制。</w:t>
      </w:r>
    </w:p>
    <w:p>
      <w:r>
        <w:rPr>
          <w:b/>
          <w:color w:val="104F6F"/>
        </w:rPr>
        <w:t>制作备注：</w:t>
      </w:r>
      <w:r>
        <w:t>矩阵控制在4行以内。</w:t>
      </w:r>
    </w:p>
    <w:p>
      <w:r>
        <w:br w:type="page"/>
      </w:r>
    </w:p>
    <w:p>
      <w:pPr>
        <w:pStyle w:val="Slide"/>
      </w:pPr>
      <w:r>
        <w:t>P17  过期、错误、变化和越权都要被系统看见</w:t>
      </w:r>
    </w:p>
    <w:p>
      <w:pPr>
        <w:pStyle w:val="Meta"/>
      </w:pPr>
      <w:r>
        <w:t>（五）风险识别与应对｜规则与责任｜建议讲解 18 秒</w:t>
      </w:r>
    </w:p>
    <w:p>
      <w:r>
        <w:rPr>
          <w:b/>
          <w:color w:val="104F6F"/>
        </w:rPr>
        <w:t>本页核心结论：</w:t>
      </w:r>
      <w:r>
        <w:t>风险识别第二部分，突出LexCyber的规则治理和责任链。</w:t>
      </w:r>
    </w:p>
    <w:p>
      <w:r>
        <w:rPr>
          <w:b/>
          <w:color w:val="104F6F"/>
        </w:rPr>
        <w:t>PPT屏幕文案：</w:t>
      </w:r>
      <w:r>
        <w:t>规则错误→Signoff｜规则变化→Version｜事实变化→Stale｜最终责任→Human Review｜追溯→Archive。</w:t>
      </w:r>
    </w:p>
    <w:p>
      <w:r>
        <w:rPr>
          <w:b/>
          <w:color w:val="104F6F"/>
        </w:rPr>
        <w:t>视觉与图表：</w:t>
      </w:r>
      <w:r>
        <w:t>五行机制矩阵；右下角放Stale截图。</w:t>
      </w:r>
    </w:p>
    <w:p>
      <w:r>
        <w:rPr>
          <w:b/>
          <w:color w:val="104F6F"/>
        </w:rPr>
        <w:t>真实系统截图：</w:t>
      </w:r>
      <w:r>
        <w:t>S-13B stale状态 + S-15 Archive（可选）。</w:t>
      </w:r>
    </w:p>
    <w:p>
      <w:r>
        <w:rPr>
          <w:b/>
          <w:color w:val="104F6F"/>
        </w:rPr>
        <w:t>讲稿草案：</w:t>
      </w:r>
      <w:r>
        <w:t>第二类风险来自规则和责任。规则必须经过会签才能进入正式产出；版本和生效区间避免不同规则被混用；事实发生变化后旧结果自动 stale；结论仍需 Human Review；最终还可以通过案件级 Archive 追溯整个过程。</w:t>
      </w:r>
    </w:p>
    <w:p>
      <w:r>
        <w:rPr>
          <w:b/>
          <w:color w:val="104F6F"/>
        </w:rPr>
        <w:t>数据/证据口径：</w:t>
      </w:r>
      <w:r>
        <w:t>这些机制来自现有v1.3生命周期，金融版直接复用。</w:t>
      </w:r>
    </w:p>
    <w:p>
      <w:r>
        <w:rPr>
          <w:b/>
          <w:color w:val="104F6F"/>
        </w:rPr>
        <w:t>制作备注：</w:t>
      </w:r>
      <w:r>
        <w:t>与P16共同覆盖官方风险识别要求。</w:t>
      </w:r>
    </w:p>
    <w:p>
      <w:r>
        <w:br w:type="page"/>
      </w:r>
    </w:p>
    <w:p>
      <w:pPr>
        <w:pStyle w:val="Slide"/>
      </w:pPr>
      <w:r>
        <w:t>P18  让评委一眼看到：这是可操作的系统，不是PPT原型</w:t>
      </w:r>
    </w:p>
    <w:p>
      <w:pPr>
        <w:pStyle w:val="Meta"/>
      </w:pPr>
      <w:r>
        <w:t>（六）应用结果呈现｜真实应用界面｜建议讲解 22 秒</w:t>
      </w:r>
    </w:p>
    <w:p>
      <w:r>
        <w:rPr>
          <w:b/>
          <w:color w:val="104F6F"/>
        </w:rPr>
        <w:t>本页核心结论：</w:t>
      </w:r>
      <w:r>
        <w:t>集中展示最终比赛系统真实使用界面。</w:t>
      </w:r>
    </w:p>
    <w:p>
      <w:r>
        <w:rPr>
          <w:b/>
          <w:color w:val="104F6F"/>
        </w:rPr>
        <w:t>PPT屏幕文案：</w:t>
      </w:r>
      <w:r>
        <w:t>上传材料 → 核验事实 → 合规研判 → 人工复核 → 审查报告。</w:t>
      </w:r>
    </w:p>
    <w:p>
      <w:r>
        <w:rPr>
          <w:b/>
          <w:color w:val="104F6F"/>
        </w:rPr>
        <w:t>视觉与图表：</w:t>
      </w:r>
      <w:r>
        <w:t>一张主截图占70%（建议F1合规研判页）；右侧5步使用说明；底部2–3张缩略图。</w:t>
      </w:r>
    </w:p>
    <w:p>
      <w:r>
        <w:rPr>
          <w:b/>
          <w:color w:val="104F6F"/>
        </w:rPr>
        <w:t>真实系统截图：</w:t>
      </w:r>
      <w:r>
        <w:t>S-01/S-02A/S-09/S-10/S-11/S-12中选3–4张组合，主图只选1张。</w:t>
      </w:r>
    </w:p>
    <w:p>
      <w:r>
        <w:rPr>
          <w:b/>
          <w:color w:val="104F6F"/>
        </w:rPr>
        <w:t>讲稿草案：</w:t>
      </w:r>
      <w:r>
        <w:t>这一页不再讲内部架构，而是从用户视角看系统。评委进入后可以查看审查事项和业务材料，确认事实，再启动合规研判，查看规则解释，进入人工复核并生成审查报告。所有步骤都在同一套 LexCyber 工作台完成。</w:t>
      </w:r>
    </w:p>
    <w:p>
      <w:r>
        <w:rPr>
          <w:b/>
          <w:color w:val="104F6F"/>
        </w:rPr>
        <w:t>数据/证据口径：</w:t>
      </w:r>
      <w:r>
        <w:t>必须使用最终公网比赛环境截图，避免localhost。</w:t>
      </w:r>
    </w:p>
    <w:p>
      <w:r>
        <w:rPr>
          <w:b/>
          <w:color w:val="104F6F"/>
        </w:rPr>
        <w:t>制作备注：</w:t>
      </w:r>
      <w:r>
        <w:t>主图尽量大，字尽量少。</w:t>
      </w:r>
    </w:p>
    <w:p>
      <w:r>
        <w:br w:type="page"/>
      </w:r>
    </w:p>
    <w:p>
      <w:pPr>
        <w:pStyle w:val="Slide"/>
      </w:pPr>
      <w:r>
        <w:t>P19  对话不是自由聊天，而是当前案件的可追溯解释入口</w:t>
      </w:r>
    </w:p>
    <w:p>
      <w:pPr>
        <w:pStyle w:val="Meta"/>
      </w:pPr>
      <w:r>
        <w:t>（六）应用结果呈现｜Agent对话界面｜建议讲解 22 秒</w:t>
      </w:r>
    </w:p>
    <w:p>
      <w:r>
        <w:rPr>
          <w:b/>
          <w:color w:val="104F6F"/>
        </w:rPr>
        <w:t>本页核心结论：</w:t>
      </w:r>
      <w:r>
        <w:t>补齐官方应用对话界面要求，并保持可信边界。</w:t>
      </w:r>
    </w:p>
    <w:p>
      <w:r>
        <w:rPr>
          <w:b/>
          <w:color w:val="104F6F"/>
        </w:rPr>
        <w:t>PPT屏幕文案：</w:t>
      </w:r>
      <w:r>
        <w:t>用户：为什么当前结果需要增强人工复核？</w:t>
        <w:br/>
        <w:t>Agent：引用已确认事实、命中规则、Artifact版本，并提示需人工复核。</w:t>
      </w:r>
    </w:p>
    <w:p>
      <w:r>
        <w:rPr>
          <w:b/>
          <w:color w:val="104F6F"/>
        </w:rPr>
        <w:t>视觉与图表：</w:t>
      </w:r>
      <w:r>
        <w:t>左侧真实对话组件；右侧“回答来源”卡：FactsVersion / Rule IDs / ArtifactVersion。</w:t>
      </w:r>
    </w:p>
    <w:p>
      <w:r>
        <w:rPr>
          <w:b/>
          <w:color w:val="104F6F"/>
        </w:rPr>
        <w:t>真实系统截图：</w:t>
      </w:r>
      <w:r>
        <w:t>S-19 最终比赛版Agent解释对话界面（比赛P0待实现/待截图）。</w:t>
      </w:r>
    </w:p>
    <w:p>
      <w:r>
        <w:rPr>
          <w:b/>
          <w:color w:val="104F6F"/>
        </w:rPr>
        <w:t>讲稿草案：</w:t>
      </w:r>
      <w:r>
        <w:t>对话能力我们设计成案件解释入口，而不是脱离系统状态的通用聊天。用户问“为什么需要增强人工复核”，Agent 直接引用当前已确认事实、命中规则和结果版本，并明确提示最终结论仍需人工复核。这样自然语言体验和底层审计链保持一致。</w:t>
      </w:r>
    </w:p>
    <w:p>
      <w:r>
        <w:rPr>
          <w:b/>
          <w:color w:val="104F6F"/>
        </w:rPr>
        <w:t>数据/证据口径：</w:t>
      </w:r>
      <w:r>
        <w:t>若对话入口尚未实现，本页必须标为开发P0；最终PPT只能使用真实可操作界面。</w:t>
      </w:r>
    </w:p>
    <w:p>
      <w:r>
        <w:rPr>
          <w:b/>
          <w:color w:val="104F6F"/>
        </w:rPr>
        <w:t>制作备注：</w:t>
      </w:r>
      <w:r>
        <w:t>实现尽量轻量：基于Facts+Artifact做解释，不新建第二套Agent框架。</w:t>
      </w:r>
    </w:p>
    <w:p>
      <w:r>
        <w:br w:type="page"/>
      </w:r>
    </w:p>
    <w:p>
      <w:pPr>
        <w:pStyle w:val="Slide"/>
      </w:pPr>
      <w:r>
        <w:t>P20  把最后一页变成“评委下一步可以直接操作”</w:t>
      </w:r>
    </w:p>
    <w:p>
      <w:pPr>
        <w:pStyle w:val="Meta"/>
      </w:pPr>
      <w:r>
        <w:t>（六）应用结果呈现｜3个提示词 + 在线体验｜建议讲解 24 秒</w:t>
      </w:r>
    </w:p>
    <w:p>
      <w:r>
        <w:rPr>
          <w:b/>
          <w:color w:val="104F6F"/>
        </w:rPr>
        <w:t>本页核心结论：</w:t>
      </w:r>
      <w:r>
        <w:t>满足至少3个提示词、输出示例、智能体链接和收束要求。</w:t>
      </w:r>
    </w:p>
    <w:p>
      <w:r>
        <w:rPr>
          <w:b/>
          <w:color w:val="104F6F"/>
        </w:rPr>
        <w:t>PPT屏幕文案：</w:t>
      </w:r>
      <w:r>
        <w:t>Prompt 1：当前审查触发了哪些规则？</w:t>
        <w:br/>
        <w:t>Prompt 2：为什么必须人工复核？</w:t>
        <w:br/>
        <w:t>Prompt 3：客户补充资金来源证明后，原结果还能继续使用吗？</w:t>
      </w:r>
    </w:p>
    <w:p>
      <w:r>
        <w:rPr>
          <w:b/>
          <w:color w:val="104F6F"/>
        </w:rPr>
        <w:t>视觉与图表：</w:t>
      </w:r>
      <w:r>
        <w:t>上半三张Prompt卡，每张附真实1–2行输出摘要；下半二维码+URL+评审账号/体验步骤；页脚最终口号。</w:t>
      </w:r>
    </w:p>
    <w:p>
      <w:r>
        <w:rPr>
          <w:b/>
          <w:color w:val="104F6F"/>
        </w:rPr>
        <w:t>真实系统截图：</w:t>
      </w:r>
      <w:r>
        <w:t>S-20 三个真实提示词输出；二维码基于最终URL生成。</w:t>
      </w:r>
    </w:p>
    <w:p>
      <w:r>
        <w:rPr>
          <w:b/>
          <w:color w:val="104F6F"/>
        </w:rPr>
        <w:t>讲稿草案：</w:t>
      </w:r>
      <w:r>
        <w:t>最后给评委三个可以直接操作的入口。第一个看规则解释，第二个看人工复核边界，第三个看LexCyber最有特色的stale机制。扫码或输入网址即可进入比赛环境。我们希望评委带走的不是“这个模型很会回答”，而是：高风险AI的每一个判断，都应该有事实、有规则、有版本、有复核、有归档。</w:t>
      </w:r>
    </w:p>
    <w:p>
      <w:r>
        <w:rPr>
          <w:b/>
          <w:color w:val="104F6F"/>
        </w:rPr>
        <w:t>数据/证据口径：</w:t>
      </w:r>
      <w:r>
        <w:t>链接、账号和密码按提交要求提供，评审结束前保持可访问。</w:t>
      </w:r>
    </w:p>
    <w:p>
      <w:r>
        <w:rPr>
          <w:b/>
          <w:color w:val="104F6F"/>
        </w:rPr>
        <w:t>制作备注：</w:t>
      </w:r>
      <w:r>
        <w:t>页脚口号：让AI不只给答案，更给出可核验的依据、过程与责任链。</w:t>
      </w:r>
    </w:p>
    <w:p>
      <w:r>
        <w:br w:type="page"/>
      </w:r>
    </w:p>
    <w:p>
      <w:pPr>
        <w:pStyle w:val="H1"/>
      </w:pPr>
      <w:r>
        <w:t>二、真实截图采集清单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c>
          <w:tcPr>
            <w:tcW w:type="dxa" w:w="850"/>
            <w:vAlign w:val="center"/>
            <w:shd w:fill="173A5E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1984"/>
            <w:vAlign w:val="center"/>
            <w:shd w:fill="173A5E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内容</w:t>
            </w:r>
          </w:p>
        </w:tc>
        <w:tc>
          <w:tcPr>
            <w:tcW w:type="dxa" w:w="1247"/>
            <w:vAlign w:val="center"/>
            <w:shd w:fill="173A5E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用于页码</w:t>
            </w:r>
          </w:p>
        </w:tc>
        <w:tc>
          <w:tcPr>
            <w:tcW w:type="dxa" w:w="3515"/>
            <w:vAlign w:val="center"/>
            <w:shd w:fill="173A5E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必须出现</w:t>
            </w:r>
          </w:p>
        </w:tc>
        <w:tc>
          <w:tcPr>
            <w:tcW w:type="dxa" w:w="1474"/>
            <w:vAlign w:val="center"/>
            <w:shd w:fill="173A5E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S-01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Finance Profile首页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P1/P18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LexCyber品牌、金融合规入口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待最终环境</w:t>
            </w:r>
          </w:p>
        </w:tc>
      </w:tr>
      <w:tr>
        <w:tc>
          <w:tcPr>
            <w:tcW w:type="dxa" w:w="850"/>
            <w:vAlign w:val="center"/>
            <w:shd w:fill="F5F8FB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S-02A</w:t>
            </w:r>
          </w:p>
        </w:tc>
        <w:tc>
          <w:tcPr>
            <w:tcW w:type="dxa" w:w="1984"/>
            <w:vAlign w:val="center"/>
            <w:shd w:fill="F5F8FB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F1业务材料页</w:t>
            </w:r>
          </w:p>
        </w:tc>
        <w:tc>
          <w:tcPr>
            <w:tcW w:type="dxa" w:w="1247"/>
            <w:vAlign w:val="center"/>
            <w:shd w:fill="F5F8FB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P1/P4/P18</w:t>
            </w:r>
          </w:p>
        </w:tc>
        <w:tc>
          <w:tcPr>
            <w:tcW w:type="dxa" w:w="3515"/>
            <w:vAlign w:val="center"/>
            <w:shd w:fill="F5F8FB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合成材料、解析状态</w:t>
            </w:r>
          </w:p>
        </w:tc>
        <w:tc>
          <w:tcPr>
            <w:tcW w:type="dxa" w:w="1474"/>
            <w:vAlign w:val="center"/>
            <w:shd w:fill="F5F8FB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待Finance Demo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S-03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规则库页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P3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Finance Rule ID、版本、审批状态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待Finance Pack</w:t>
            </w:r>
          </w:p>
        </w:tc>
      </w:tr>
      <w:tr>
        <w:tc>
          <w:tcPr>
            <w:tcW w:type="dxa" w:w="850"/>
            <w:vAlign w:val="center"/>
            <w:shd w:fill="F5F8FB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S-04</w:t>
            </w:r>
          </w:p>
        </w:tc>
        <w:tc>
          <w:tcPr>
            <w:tcW w:type="dxa" w:w="1984"/>
            <w:vAlign w:val="center"/>
            <w:shd w:fill="F5F8FB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监管依据页</w:t>
            </w:r>
          </w:p>
        </w:tc>
        <w:tc>
          <w:tcPr>
            <w:tcW w:type="dxa" w:w="1247"/>
            <w:vAlign w:val="center"/>
            <w:shd w:fill="F5F8FB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P2/P3</w:t>
            </w:r>
          </w:p>
        </w:tc>
        <w:tc>
          <w:tcPr>
            <w:tcW w:type="dxa" w:w="3515"/>
            <w:vAlign w:val="center"/>
            <w:shd w:fill="F5F8FB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来源、版本、生效信息</w:t>
            </w:r>
          </w:p>
        </w:tc>
        <w:tc>
          <w:tcPr>
            <w:tcW w:type="dxa" w:w="1474"/>
            <w:vAlign w:val="center"/>
            <w:shd w:fill="F5F8FB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待Finance Sources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S-09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事实核验/FactsVersion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P5/P8/P18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关键facts、confirmed、版本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待Finance Demo</w:t>
            </w:r>
          </w:p>
        </w:tc>
      </w:tr>
      <w:tr>
        <w:tc>
          <w:tcPr>
            <w:tcW w:type="dxa" w:w="850"/>
            <w:vAlign w:val="center"/>
            <w:shd w:fill="F5F8FB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S-10</w:t>
            </w:r>
          </w:p>
        </w:tc>
        <w:tc>
          <w:tcPr>
            <w:tcW w:type="dxa" w:w="1984"/>
            <w:vAlign w:val="center"/>
            <w:shd w:fill="F5F8FB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RuleResultsPanel</w:t>
            </w:r>
          </w:p>
        </w:tc>
        <w:tc>
          <w:tcPr>
            <w:tcW w:type="dxa" w:w="1247"/>
            <w:vAlign w:val="center"/>
            <w:shd w:fill="F5F8FB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P8/P12/P18</w:t>
            </w:r>
          </w:p>
        </w:tc>
        <w:tc>
          <w:tcPr>
            <w:tcW w:type="dxa" w:w="3515"/>
            <w:vAlign w:val="center"/>
            <w:shd w:fill="F5F8FB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fired、trace、version</w:t>
            </w:r>
          </w:p>
        </w:tc>
        <w:tc>
          <w:tcPr>
            <w:tcW w:type="dxa" w:w="1474"/>
            <w:vAlign w:val="center"/>
            <w:shd w:fill="F5F8FB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待Finance Demo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S-11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Human Review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P13/P18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Artifact版本、状态、意见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待Finance Demo</w:t>
            </w:r>
          </w:p>
        </w:tc>
      </w:tr>
      <w:tr>
        <w:tc>
          <w:tcPr>
            <w:tcW w:type="dxa" w:w="850"/>
            <w:vAlign w:val="center"/>
            <w:shd w:fill="F5F8FB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S-12</w:t>
            </w:r>
          </w:p>
        </w:tc>
        <w:tc>
          <w:tcPr>
            <w:tcW w:type="dxa" w:w="1984"/>
            <w:vAlign w:val="center"/>
            <w:shd w:fill="F5F8FB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审查报告</w:t>
            </w:r>
          </w:p>
        </w:tc>
        <w:tc>
          <w:tcPr>
            <w:tcW w:type="dxa" w:w="1247"/>
            <w:vAlign w:val="center"/>
            <w:shd w:fill="F5F8FB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P13/P18</w:t>
            </w:r>
          </w:p>
        </w:tc>
        <w:tc>
          <w:tcPr>
            <w:tcW w:type="dxa" w:w="3515"/>
            <w:vAlign w:val="center"/>
            <w:shd w:fill="F5F8FB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draft.v2金融报告</w:t>
            </w:r>
          </w:p>
        </w:tc>
        <w:tc>
          <w:tcPr>
            <w:tcW w:type="dxa" w:w="1474"/>
            <w:vAlign w:val="center"/>
            <w:shd w:fill="F5F8FB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待Finance Template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S-13A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旧事实+有效Artifact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P10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Facts v1 / Artifact A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待Stale演示</w:t>
            </w:r>
          </w:p>
        </w:tc>
      </w:tr>
      <w:tr>
        <w:tc>
          <w:tcPr>
            <w:tcW w:type="dxa" w:w="850"/>
            <w:vAlign w:val="center"/>
            <w:shd w:fill="F5F8FB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S-13B</w:t>
            </w:r>
          </w:p>
        </w:tc>
        <w:tc>
          <w:tcPr>
            <w:tcW w:type="dxa" w:w="1984"/>
            <w:vAlign w:val="center"/>
            <w:shd w:fill="F5F8FB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新事实+旧Artifact Stale</w:t>
            </w:r>
          </w:p>
        </w:tc>
        <w:tc>
          <w:tcPr>
            <w:tcW w:type="dxa" w:w="1247"/>
            <w:vAlign w:val="center"/>
            <w:shd w:fill="F5F8FB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P10/P17</w:t>
            </w:r>
          </w:p>
        </w:tc>
        <w:tc>
          <w:tcPr>
            <w:tcW w:type="dxa" w:w="3515"/>
            <w:vAlign w:val="center"/>
            <w:shd w:fill="F5F8FB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Facts v2 / STALE</w:t>
            </w:r>
          </w:p>
        </w:tc>
        <w:tc>
          <w:tcPr>
            <w:tcW w:type="dxa" w:w="1474"/>
            <w:vAlign w:val="center"/>
            <w:shd w:fill="F5F8FB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待Stale演示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S-15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Archive/Audit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P17/P18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archive版本、manifest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可选</w:t>
            </w:r>
          </w:p>
        </w:tc>
      </w:tr>
      <w:tr>
        <w:tc>
          <w:tcPr>
            <w:tcW w:type="dxa" w:w="850"/>
            <w:vAlign w:val="center"/>
            <w:shd w:fill="F5F8FB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S-19</w:t>
            </w:r>
          </w:p>
        </w:tc>
        <w:tc>
          <w:tcPr>
            <w:tcW w:type="dxa" w:w="1984"/>
            <w:vAlign w:val="center"/>
            <w:shd w:fill="F5F8FB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Agent解释对话</w:t>
            </w:r>
          </w:p>
        </w:tc>
        <w:tc>
          <w:tcPr>
            <w:tcW w:type="dxa" w:w="1247"/>
            <w:vAlign w:val="center"/>
            <w:shd w:fill="F5F8FB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P19/P20</w:t>
            </w:r>
          </w:p>
        </w:tc>
        <w:tc>
          <w:tcPr>
            <w:tcW w:type="dxa" w:w="3515"/>
            <w:vAlign w:val="center"/>
            <w:shd w:fill="F5F8FB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Prompt、facts/rules引用</w:t>
            </w:r>
          </w:p>
        </w:tc>
        <w:tc>
          <w:tcPr>
            <w:tcW w:type="dxa" w:w="1474"/>
            <w:vAlign w:val="center"/>
            <w:shd w:fill="F5F8FB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比赛P0待实现</w:t>
            </w:r>
          </w:p>
        </w:tc>
      </w:tr>
    </w:tbl>
    <w:p/>
    <w:p>
      <w:pPr>
        <w:pStyle w:val="H2"/>
      </w:pPr>
      <w:r>
        <w:t>截图统一规范</w:t>
      </w:r>
    </w:p>
    <w:p>
      <w:pPr>
        <w:ind w:left="255" w:hanging="130"/>
      </w:pPr>
      <w:r>
        <w:t>• 统一浏览器尺寸，推荐1440×900或1920×1080，缩放100%。</w:t>
      </w:r>
    </w:p>
    <w:p>
      <w:pPr>
        <w:ind w:left="255" w:hanging="130"/>
      </w:pPr>
      <w:r>
        <w:t>• 不出现学校、队员姓名、指导教师、邮箱、GitHub用户名、IDE、本机目录。</w:t>
      </w:r>
    </w:p>
    <w:p>
      <w:pPr>
        <w:ind w:left="255" w:hanging="130"/>
      </w:pPr>
      <w:r>
        <w:t>• F1截图必须来自同一演示数据，版本号与状态前后一致。</w:t>
      </w:r>
    </w:p>
    <w:p>
      <w:pPr>
        <w:ind w:left="255" w:hanging="130"/>
      </w:pPr>
      <w:r>
        <w:t>• 每张截图只做2–3个标注，避免遮挡真实界面。</w:t>
      </w:r>
    </w:p>
    <w:p>
      <w:pPr>
        <w:ind w:left="255" w:hanging="130"/>
      </w:pPr>
      <w:r>
        <w:t>• 真实截图优先，不以Figma伪界面替代已实现页面。</w:t>
      </w:r>
    </w:p>
    <w:p>
      <w:r>
        <w:br w:type="page"/>
      </w:r>
    </w:p>
    <w:p>
      <w:pPr>
        <w:pStyle w:val="H1"/>
      </w:pPr>
      <w:r>
        <w:t>三、图表与图示制作清单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c>
          <w:tcPr>
            <w:tcW w:type="dxa" w:w="850"/>
            <w:vAlign w:val="center"/>
            <w:shd w:fill="173A5E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680"/>
            <w:vAlign w:val="center"/>
            <w:shd w:fill="173A5E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页码</w:t>
            </w:r>
          </w:p>
        </w:tc>
        <w:tc>
          <w:tcPr>
            <w:tcW w:type="dxa" w:w="1417"/>
            <w:vAlign w:val="center"/>
            <w:shd w:fill="173A5E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3402"/>
            <w:vAlign w:val="center"/>
            <w:shd w:fill="173A5E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内容</w:t>
            </w:r>
          </w:p>
        </w:tc>
        <w:tc>
          <w:tcPr>
            <w:tcW w:type="dxa" w:w="2551"/>
            <w:vAlign w:val="center"/>
            <w:shd w:fill="173A5E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数据要求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C-01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P1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问题示意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AI回答后的四个可信断点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概念图</w:t>
            </w:r>
          </w:p>
        </w:tc>
      </w:tr>
      <w:tr>
        <w:tc>
          <w:tcPr>
            <w:tcW w:type="dxa" w:w="850"/>
            <w:vAlign w:val="center"/>
            <w:shd w:fill="F5F8FB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C-02</w:t>
            </w:r>
          </w:p>
        </w:tc>
        <w:tc>
          <w:tcPr>
            <w:tcW w:type="dxa" w:w="680"/>
            <w:vAlign w:val="center"/>
            <w:shd w:fill="F5F8FB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P2</w:t>
            </w:r>
          </w:p>
        </w:tc>
        <w:tc>
          <w:tcPr>
            <w:tcW w:type="dxa" w:w="1417"/>
            <w:vAlign w:val="center"/>
            <w:shd w:fill="F5F8FB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数据来源表</w:t>
            </w:r>
          </w:p>
        </w:tc>
        <w:tc>
          <w:tcPr>
            <w:tcW w:type="dxa" w:w="3402"/>
            <w:vAlign w:val="center"/>
            <w:shd w:fill="F5F8FB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2–3个真实来源+权威性+时效性</w:t>
            </w:r>
          </w:p>
        </w:tc>
        <w:tc>
          <w:tcPr>
            <w:tcW w:type="dxa" w:w="2551"/>
            <w:vAlign w:val="center"/>
            <w:shd w:fill="F5F8FB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按Finance Sources填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C-03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P3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知识结构图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Source→Rule→Template→Signoff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系统真实对象</w:t>
            </w:r>
          </w:p>
        </w:tc>
      </w:tr>
      <w:tr>
        <w:tc>
          <w:tcPr>
            <w:tcW w:type="dxa" w:w="850"/>
            <w:vAlign w:val="center"/>
            <w:shd w:fill="F5F8FB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C-04</w:t>
            </w:r>
          </w:p>
        </w:tc>
        <w:tc>
          <w:tcPr>
            <w:tcW w:type="dxa" w:w="680"/>
            <w:vAlign w:val="center"/>
            <w:shd w:fill="F5F8FB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P4</w:t>
            </w:r>
          </w:p>
        </w:tc>
        <w:tc>
          <w:tcPr>
            <w:tcW w:type="dxa" w:w="1417"/>
            <w:vAlign w:val="center"/>
            <w:shd w:fill="F5F8FB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预处理流程</w:t>
            </w:r>
          </w:p>
        </w:tc>
        <w:tc>
          <w:tcPr>
            <w:tcW w:type="dxa" w:w="3402"/>
            <w:vAlign w:val="center"/>
            <w:shd w:fill="F5F8FB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文档→解析→Candidate→Confirm→FactsVersion</w:t>
            </w:r>
          </w:p>
        </w:tc>
        <w:tc>
          <w:tcPr>
            <w:tcW w:type="dxa" w:w="2551"/>
            <w:vAlign w:val="center"/>
            <w:shd w:fill="F5F8FB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系统真实流程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C-05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P6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方法矩阵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纯LLM/纯规则/LexCyber Hybrid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机制性对比</w:t>
            </w:r>
          </w:p>
        </w:tc>
      </w:tr>
      <w:tr>
        <w:tc>
          <w:tcPr>
            <w:tcW w:type="dxa" w:w="850"/>
            <w:vAlign w:val="center"/>
            <w:shd w:fill="F5F8FB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C-06</w:t>
            </w:r>
          </w:p>
        </w:tc>
        <w:tc>
          <w:tcPr>
            <w:tcW w:type="dxa" w:w="680"/>
            <w:vAlign w:val="center"/>
            <w:shd w:fill="F5F8FB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P7</w:t>
            </w:r>
          </w:p>
        </w:tc>
        <w:tc>
          <w:tcPr>
            <w:tcW w:type="dxa" w:w="1417"/>
            <w:vAlign w:val="center"/>
            <w:shd w:fill="F5F8FB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思维导图</w:t>
            </w:r>
          </w:p>
        </w:tc>
        <w:tc>
          <w:tcPr>
            <w:tcW w:type="dxa" w:w="3402"/>
            <w:vAlign w:val="center"/>
            <w:shd w:fill="F5F8FB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主体/业务/资金/地域</w:t>
            </w:r>
          </w:p>
        </w:tc>
        <w:tc>
          <w:tcPr>
            <w:tcW w:type="dxa" w:w="2551"/>
            <w:vAlign w:val="center"/>
            <w:shd w:fill="F5F8FB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字段必须真实存在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C-07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P8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事实×规则矩阵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F1真实facts与rules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从真实Artifact生成</w:t>
            </w:r>
          </w:p>
        </w:tc>
      </w:tr>
      <w:tr>
        <w:tc>
          <w:tcPr>
            <w:tcW w:type="dxa" w:w="850"/>
            <w:vAlign w:val="center"/>
            <w:shd w:fill="F5F8FB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C-08</w:t>
            </w:r>
          </w:p>
        </w:tc>
        <w:tc>
          <w:tcPr>
            <w:tcW w:type="dxa" w:w="680"/>
            <w:vAlign w:val="center"/>
            <w:shd w:fill="F5F8FB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P9</w:t>
            </w:r>
          </w:p>
        </w:tc>
        <w:tc>
          <w:tcPr>
            <w:tcW w:type="dxa" w:w="1417"/>
            <w:vAlign w:val="center"/>
            <w:shd w:fill="F5F8FB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架构图</w:t>
            </w:r>
          </w:p>
        </w:tc>
        <w:tc>
          <w:tcPr>
            <w:tcW w:type="dxa" w:w="3402"/>
            <w:vAlign w:val="center"/>
            <w:shd w:fill="F5F8FB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Vue/Java/Engine/Postgres/Redis/MinIO</w:t>
            </w:r>
          </w:p>
        </w:tc>
        <w:tc>
          <w:tcPr>
            <w:tcW w:type="dxa" w:w="2551"/>
            <w:vAlign w:val="center"/>
            <w:shd w:fill="F5F8FB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当前真实架构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C-09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P10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版本+Stale时间线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Facts v1→Artifact A→Facts v2→Stale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真实Demo版本</w:t>
            </w:r>
          </w:p>
        </w:tc>
      </w:tr>
      <w:tr>
        <w:tc>
          <w:tcPr>
            <w:tcW w:type="dxa" w:w="850"/>
            <w:vAlign w:val="center"/>
            <w:shd w:fill="F5F8FB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C-10</w:t>
            </w:r>
          </w:p>
        </w:tc>
        <w:tc>
          <w:tcPr>
            <w:tcW w:type="dxa" w:w="680"/>
            <w:vAlign w:val="center"/>
            <w:shd w:fill="F5F8FB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P11</w:t>
            </w:r>
          </w:p>
        </w:tc>
        <w:tc>
          <w:tcPr>
            <w:tcW w:type="dxa" w:w="1417"/>
            <w:vAlign w:val="center"/>
            <w:shd w:fill="F5F8FB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交叉学科图</w:t>
            </w:r>
          </w:p>
        </w:tc>
        <w:tc>
          <w:tcPr>
            <w:tcW w:type="dxa" w:w="3402"/>
            <w:vAlign w:val="center"/>
            <w:shd w:fill="F5F8FB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AI×软件工程×合规治理</w:t>
            </w:r>
          </w:p>
        </w:tc>
        <w:tc>
          <w:tcPr>
            <w:tcW w:type="dxa" w:w="2551"/>
            <w:vAlign w:val="center"/>
            <w:shd w:fill="F5F8FB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概念图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C-11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P16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风险矩阵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数据/模型风险→控制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真实机制</w:t>
            </w:r>
          </w:p>
        </w:tc>
      </w:tr>
      <w:tr>
        <w:tc>
          <w:tcPr>
            <w:tcW w:type="dxa" w:w="850"/>
            <w:vAlign w:val="center"/>
            <w:shd w:fill="F5F8FB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C-12</w:t>
            </w:r>
          </w:p>
        </w:tc>
        <w:tc>
          <w:tcPr>
            <w:tcW w:type="dxa" w:w="680"/>
            <w:vAlign w:val="center"/>
            <w:shd w:fill="F5F8FB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P17</w:t>
            </w:r>
          </w:p>
        </w:tc>
        <w:tc>
          <w:tcPr>
            <w:tcW w:type="dxa" w:w="1417"/>
            <w:vAlign w:val="center"/>
            <w:shd w:fill="F5F8FB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风险矩阵</w:t>
            </w:r>
          </w:p>
        </w:tc>
        <w:tc>
          <w:tcPr>
            <w:tcW w:type="dxa" w:w="3402"/>
            <w:vAlign w:val="center"/>
            <w:shd w:fill="F5F8FB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规则/责任风险→控制</w:t>
            </w:r>
          </w:p>
        </w:tc>
        <w:tc>
          <w:tcPr>
            <w:tcW w:type="dxa" w:w="2551"/>
            <w:vAlign w:val="center"/>
            <w:shd w:fill="F5F8FB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真实机制</w:t>
            </w:r>
          </w:p>
        </w:tc>
      </w:tr>
    </w:tbl>
    <w:p/>
    <w:p>
      <w:pPr>
        <w:pStyle w:val="H2"/>
      </w:pPr>
      <w:r>
        <w:t>禁止使用的图表</w:t>
      </w:r>
    </w:p>
    <w:p>
      <w:pPr>
        <w:ind w:left="255" w:hanging="130"/>
      </w:pPr>
      <w:r>
        <w:t>• 无实测依据的效率提升百分比、准确率、风险降低比例。</w:t>
      </w:r>
    </w:p>
    <w:p>
      <w:pPr>
        <w:ind w:left="255" w:hanging="130"/>
      </w:pPr>
      <w:r>
        <w:t>• 没有可靠来源的行业市场规模、占有率、用户增长图。</w:t>
      </w:r>
    </w:p>
    <w:p>
      <w:pPr>
        <w:ind w:left="255" w:hanging="130"/>
      </w:pPr>
      <w:r>
        <w:t>• 为了视觉效果而虚构的“90%复用率”或“领先度雷达图”。</w:t>
      </w:r>
    </w:p>
    <w:p>
      <w:r>
        <w:br w:type="page"/>
      </w:r>
    </w:p>
    <w:p>
      <w:pPr>
        <w:pStyle w:val="H1"/>
      </w:pPr>
      <w:r>
        <w:t>四、3个提示词与真实输出要求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850"/>
            <w:vAlign w:val="center"/>
            <w:shd w:fill="173A5E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Prompt</w:t>
            </w:r>
          </w:p>
        </w:tc>
        <w:tc>
          <w:tcPr>
            <w:tcW w:type="dxa" w:w="4082"/>
            <w:vAlign w:val="center"/>
            <w:shd w:fill="173A5E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建议提示词</w:t>
            </w:r>
          </w:p>
        </w:tc>
        <w:tc>
          <w:tcPr>
            <w:tcW w:type="dxa" w:w="3402"/>
            <w:vAlign w:val="center"/>
            <w:shd w:fill="173A5E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真实输出必须包含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请说明当前企业准入审查中触发了哪些风险规则，并列出对应已确认事实。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Rule ID/Version；事实字段；命中原因；人工复核提示</w:t>
            </w:r>
          </w:p>
        </w:tc>
      </w:tr>
      <w:tr>
        <w:tc>
          <w:tcPr>
            <w:tcW w:type="dxa" w:w="850"/>
            <w:vAlign w:val="center"/>
            <w:shd w:fill="F5F8FB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4082"/>
            <w:vAlign w:val="center"/>
            <w:shd w:fill="F5F8FB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为什么当前结果需要进入增强人工复核？</w:t>
            </w:r>
          </w:p>
        </w:tc>
        <w:tc>
          <w:tcPr>
            <w:tcW w:type="dxa" w:w="3402"/>
            <w:vAlign w:val="center"/>
            <w:shd w:fill="F5F8FB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风险项；缺失/未核验事实；Artifact版本；Human Review边界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如果客户补充资金来源证明，原审查结果还能继续使用吗？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FactsVersion变化；旧Artifact stale；需重新执行与复核</w:t>
            </w:r>
          </w:p>
        </w:tc>
      </w:tr>
    </w:tbl>
    <w:p/>
    <w:p>
      <w:pPr>
        <w:pStyle w:val="Note"/>
      </w:pPr>
      <w:r>
        <w:t>最终PPT必须以真实系统实际回答替换预期结构，不提前伪造完整输出。</w:t>
      </w:r>
    </w:p>
    <w:p>
      <w:pPr>
        <w:pStyle w:val="H1"/>
      </w:pPr>
      <w:r>
        <w:t>五、6分钟视频/答辩时间轴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1417"/>
            <w:vAlign w:val="center"/>
            <w:shd w:fill="173A5E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时间</w:t>
            </w:r>
          </w:p>
        </w:tc>
        <w:tc>
          <w:tcPr>
            <w:tcW w:type="dxa" w:w="1247"/>
            <w:vAlign w:val="center"/>
            <w:shd w:fill="173A5E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页码</w:t>
            </w:r>
          </w:p>
        </w:tc>
        <w:tc>
          <w:tcPr>
            <w:tcW w:type="dxa" w:w="5896"/>
            <w:vAlign w:val="center"/>
            <w:shd w:fill="173A5E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0:00–0:22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P1</w:t>
            </w:r>
          </w:p>
        </w:tc>
        <w:tc>
          <w:tcPr>
            <w:tcW w:type="dxa" w:w="589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背景、品牌、问题</w:t>
            </w:r>
          </w:p>
        </w:tc>
      </w:tr>
      <w:tr>
        <w:tc>
          <w:tcPr>
            <w:tcW w:type="dxa" w:w="1417"/>
            <w:vAlign w:val="center"/>
            <w:shd w:fill="F5F8FB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0:22–1:20</w:t>
            </w:r>
          </w:p>
        </w:tc>
        <w:tc>
          <w:tcPr>
            <w:tcW w:type="dxa" w:w="1247"/>
            <w:vAlign w:val="center"/>
            <w:shd w:fill="F5F8FB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P2–P5</w:t>
            </w:r>
          </w:p>
        </w:tc>
        <w:tc>
          <w:tcPr>
            <w:tcW w:type="dxa" w:w="5896"/>
            <w:vAlign w:val="center"/>
            <w:shd w:fill="F5F8FB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数据、知识库、预处理、事实确认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1:20–2:20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P6–P9</w:t>
            </w:r>
          </w:p>
        </w:tc>
        <w:tc>
          <w:tcPr>
            <w:tcW w:type="dxa" w:w="589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方法、问题拆解、实例、架构</w:t>
            </w:r>
          </w:p>
        </w:tc>
      </w:tr>
      <w:tr>
        <w:tc>
          <w:tcPr>
            <w:tcW w:type="dxa" w:w="1417"/>
            <w:vAlign w:val="center"/>
            <w:shd w:fill="F5F8FB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2:20–2:58</w:t>
            </w:r>
          </w:p>
        </w:tc>
        <w:tc>
          <w:tcPr>
            <w:tcW w:type="dxa" w:w="1247"/>
            <w:vAlign w:val="center"/>
            <w:shd w:fill="F5F8FB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P10–P11</w:t>
            </w:r>
          </w:p>
        </w:tc>
        <w:tc>
          <w:tcPr>
            <w:tcW w:type="dxa" w:w="5896"/>
            <w:vAlign w:val="center"/>
            <w:shd w:fill="F5F8FB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创新、跨学科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2:58–4:40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P12–P17</w:t>
            </w:r>
          </w:p>
        </w:tc>
        <w:tc>
          <w:tcPr>
            <w:tcW w:type="dxa" w:w="589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结果、复核、局限、建议、风险</w:t>
            </w:r>
          </w:p>
        </w:tc>
      </w:tr>
      <w:tr>
        <w:tc>
          <w:tcPr>
            <w:tcW w:type="dxa" w:w="1417"/>
            <w:vAlign w:val="center"/>
            <w:shd w:fill="F5F8FB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4:40–5:48</w:t>
            </w:r>
          </w:p>
        </w:tc>
        <w:tc>
          <w:tcPr>
            <w:tcW w:type="dxa" w:w="1247"/>
            <w:vAlign w:val="center"/>
            <w:shd w:fill="F5F8FB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P18–P20</w:t>
            </w:r>
          </w:p>
        </w:tc>
        <w:tc>
          <w:tcPr>
            <w:tcW w:type="dxa" w:w="5896"/>
            <w:vAlign w:val="center"/>
            <w:shd w:fill="F5F8FB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应用界面、Agent对话、提示词与链接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5:48–6:00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缓冲</w:t>
            </w:r>
          </w:p>
        </w:tc>
        <w:tc>
          <w:tcPr>
            <w:tcW w:type="dxa" w:w="589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停顿、切页、结尾</w:t>
            </w:r>
          </w:p>
        </w:tc>
      </w:tr>
    </w:tbl>
    <w:p/>
    <w:p>
      <w:pPr>
        <w:pStyle w:val="H1"/>
      </w:pPr>
      <w:r>
        <w:t>六、最终PPT制作前真实性门槛</w:t>
      </w:r>
    </w:p>
    <w:p>
      <w:pPr>
        <w:ind w:left="255" w:hanging="130"/>
      </w:pPr>
      <w:r>
        <w:t>• □ F1完整跑通：材料→Facts→Compliance→Artifact→Review→Report→Archive。</w:t>
      </w:r>
    </w:p>
    <w:p>
      <w:pPr>
        <w:ind w:left="255" w:hanging="130"/>
      </w:pPr>
      <w:r>
        <w:t>• □ F1真实执行后再填写P8事实×规则矩阵。</w:t>
      </w:r>
    </w:p>
    <w:p>
      <w:pPr>
        <w:ind w:left="255" w:hanging="130"/>
      </w:pPr>
      <w:r>
        <w:t>• □ Stale真实演示跑通后再制作P10版本时间线。</w:t>
      </w:r>
    </w:p>
    <w:p>
      <w:pPr>
        <w:ind w:left="255" w:hanging="130"/>
      </w:pPr>
      <w:r>
        <w:t>• □ Finance Sources确定后再填写P2具体官方来源、版本和时效性。</w:t>
      </w:r>
    </w:p>
    <w:p>
      <w:pPr>
        <w:ind w:left="255" w:hanging="130"/>
      </w:pPr>
      <w:r>
        <w:t>• □ Agent解释入口真实可用后再制作P19/P20截图。</w:t>
      </w:r>
    </w:p>
    <w:p>
      <w:pPr>
        <w:ind w:left="255" w:hanging="130"/>
      </w:pPr>
      <w:r>
        <w:t>• □ 所有页面明确区分“已实现 / 比赛新增 / 下一阶段”。</w:t>
      </w:r>
    </w:p>
    <w:p>
      <w:pPr>
        <w:ind w:left="255" w:hanging="130"/>
      </w:pPr>
      <w:r>
        <w:t>• □ Finance Profile不出现定罪、量刑等不相关比赛术语。</w:t>
      </w:r>
    </w:p>
    <w:p>
      <w:pPr>
        <w:ind w:left="255" w:hanging="130"/>
      </w:pPr>
      <w:r>
        <w:t>• □ 公网URL、二维码和评审账号在提交后至评审结束期间稳定可访问。</w:t>
      </w:r>
    </w:p>
    <w:p>
      <w:pPr>
        <w:ind w:left="255" w:hanging="130"/>
      </w:pPr>
      <w:r>
        <w:t>• □ PPT、视频和系统完成匿名检查。</w:t>
      </w:r>
    </w:p>
    <w:p>
      <w:pPr>
        <w:pStyle w:val="H1"/>
      </w:pPr>
      <w:r>
        <w:t>七、V1.0最终评审记忆点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EEF7F2"/>
          </w:tcPr>
          <w:p>
            <w:r>
              <w:rPr>
                <w:b/>
                <w:color w:val="006489"/>
                <w:sz w:val="20"/>
              </w:rPr>
              <w:t>一句话收束</w:t>
            </w:r>
          </w:p>
          <w:p>
            <w:pPr>
              <w:spacing w:after="20"/>
            </w:pPr>
            <w:r>
              <w:t>LexCyber 不是一个会回答金融问题的聊天机器人，而是一套让高风险AI判断具备事实版本、规则依据、执行解释、人工复核和失效传播能力的可信Agent平台。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22" w:right="992" w:bottom="822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28C96"/>
        <w:sz w:val="16"/>
      </w:rPr>
      <w:t>网域衡鉴 LexCyber · 校赛PPT脚本草稿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Noto Sans CJK SC" w:hAnsi="Noto Sans CJK SC" w:eastAsia="Noto Sans CJK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verTitle">
    <w:name w:val="CoverTitle"/>
    <w:pPr>
      <w:spacing w:before="0" w:after="160"/>
    </w:pPr>
    <w:rPr>
      <w:rFonts w:ascii="Noto Sans CJK SC" w:hAnsi="Noto Sans CJK SC" w:eastAsia="Noto Sans CJK SC"/>
      <w:b/>
      <w:color w:val="0C253D"/>
      <w:sz w:val="48"/>
    </w:rPr>
  </w:style>
  <w:style w:type="paragraph" w:customStyle="1" w:styleId="CoverSub">
    <w:name w:val="CoverSub"/>
    <w:pPr>
      <w:spacing w:before="0" w:after="120"/>
    </w:pPr>
    <w:rPr>
      <w:rFonts w:ascii="Noto Sans CJK SC" w:hAnsi="Noto Sans CJK SC" w:eastAsia="Noto Sans CJK SC"/>
      <w:b w:val="0"/>
      <w:color w:val="465869"/>
      <w:sz w:val="24"/>
    </w:rPr>
  </w:style>
  <w:style w:type="paragraph" w:customStyle="1" w:styleId="H1">
    <w:name w:val="H1"/>
    <w:pPr>
      <w:spacing w:before="160" w:after="100"/>
    </w:pPr>
    <w:rPr>
      <w:rFonts w:ascii="Noto Sans CJK SC" w:hAnsi="Noto Sans CJK SC" w:eastAsia="Noto Sans CJK SC"/>
      <w:b/>
      <w:color w:val="0C2D48"/>
      <w:sz w:val="32"/>
    </w:rPr>
  </w:style>
  <w:style w:type="paragraph" w:customStyle="1" w:styleId="H2">
    <w:name w:val="H2"/>
    <w:pPr>
      <w:spacing w:before="140" w:after="60"/>
    </w:pPr>
    <w:rPr>
      <w:rFonts w:ascii="Noto Sans CJK SC" w:hAnsi="Noto Sans CJK SC" w:eastAsia="Noto Sans CJK SC"/>
      <w:b/>
      <w:color w:val="1A4661"/>
      <w:sz w:val="25"/>
    </w:rPr>
  </w:style>
  <w:style w:type="paragraph" w:customStyle="1" w:styleId="Slide">
    <w:name w:val="Slide"/>
    <w:pPr>
      <w:spacing w:before="0" w:after="60"/>
    </w:pPr>
    <w:rPr>
      <w:rFonts w:ascii="Noto Sans CJK SC" w:hAnsi="Noto Sans CJK SC" w:eastAsia="Noto Sans CJK SC"/>
      <w:b/>
      <w:color w:val="0D3452"/>
      <w:sz w:val="32"/>
    </w:rPr>
  </w:style>
  <w:style w:type="paragraph" w:customStyle="1" w:styleId="Meta">
    <w:name w:val="Meta"/>
    <w:pPr>
      <w:spacing w:before="0" w:after="100"/>
    </w:pPr>
    <w:rPr>
      <w:rFonts w:ascii="Noto Sans CJK SC" w:hAnsi="Noto Sans CJK SC" w:eastAsia="Noto Sans CJK SC"/>
      <w:b w:val="0"/>
      <w:color w:val="646C74"/>
      <w:sz w:val="18"/>
    </w:rPr>
  </w:style>
  <w:style w:type="paragraph" w:customStyle="1" w:styleId="Label">
    <w:name w:val="Label"/>
    <w:pPr>
      <w:spacing w:before="60" w:after="20"/>
    </w:pPr>
    <w:rPr>
      <w:rFonts w:ascii="Noto Sans CJK SC" w:hAnsi="Noto Sans CJK SC" w:eastAsia="Noto Sans CJK SC"/>
      <w:b/>
      <w:color w:val="104F6F"/>
      <w:sz w:val="19"/>
    </w:rPr>
  </w:style>
  <w:style w:type="paragraph" w:customStyle="1" w:styleId="Note">
    <w:name w:val="Note"/>
    <w:pPr>
      <w:spacing w:before="20" w:after="60"/>
    </w:pPr>
    <w:rPr>
      <w:rFonts w:ascii="Noto Sans CJK SC" w:hAnsi="Noto Sans CJK SC" w:eastAsia="Noto Sans CJK SC"/>
      <w:b w:val="0"/>
      <w:color w:val="5F697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