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  <w:outlineLvl w:val="0"/>
      </w:pPr>
      <w:r>
        <w:t>纪要</w:t>
      </w:r>
    </w:p>
    <w:p>
      <w:r>
        <w:t>主题: 品牌投放意图策略会时间: 2026-07-20 10:00:24参与人: 姚元</w:t>
      </w:r>
    </w:p>
    <w:p>
      <w:pPr>
        <w:jc w:val="center"/>
      </w:pPr>
      <w:r>
        <w:drawing>
          <wp:inline distT="0" distR="0" distB="0" distL="0">
            <wp:extent cx="5943600" cy="7641771"/>
            <wp:docPr id="0" name="Drawing 0" descr="https://ai-tingji-summary-visualization.oss-cn-hangzhou.aliyuncs.com/data%2Fpublish%2F7632756964333731333938303731343032335f3639323030323734335f35_qwen-plus_visual-summary%2Ftingji_visual_summary_cover_v4_1784514726.png?OSSAccessKeyId=LTAI5tPQmP8ZpF6A4SHU6jWN&amp;Expires=1942194732&amp;Signature=QqbLiHZkvY68Dh%2BtGdQPEIBPNC8%3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ai-tingji-summary-visualization.oss-cn-hangzhou.aliyuncs.com/data%2Fpublish%2F7632756964333731333938303731343032335f3639323030323734335f35_qwen-plus_visual-summary%2Ftingji_visual_summary_cover_v4_1784514726.png?OSSAccessKeyId=LTAI5tPQmP8ZpF6A4SHU6jWN&amp;Expires=1942194732&amp;Signature=QqbLiHZkvY68Dh%2BtGdQPEIBPNC8%3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pStyle w:val="Heading2"/>
        <w:outlineLvl w:val="1"/>
      </w:pPr>
      <w:r>
        <w:t>会议背景</w:t>
      </w:r>
    </w:p>
    <w:p>
      <w:pPr>
        <w:pStyle w:val="Normal"/>
      </w:pPr>
      <w:r>
        <w:t>2026年7月20日召开品牌核心意图策略对齐会，旨在敲定蓓养乐（品牌的首轮投放核心query方向，并基于40个候选意图词筛选出合同约定的</w:t>
      </w:r>
      <w:r>
        <w:rPr>
          <w:b w:val="on"/>
        </w:rPr>
        <w:t>26个重点词</w:t>
      </w:r>
      <w:r>
        <w:t>。会议同步明确了品牌认知建设路径、产品差异化定位及后续数据验证机制。</w:t>
      </w:r>
    </w:p>
    <w:p>
      <w:pPr>
        <w:pStyle w:val="Heading2"/>
        <w:outlineLvl w:val="1"/>
      </w:pPr>
      <w:r>
        <w:t>品牌与产品核心意图确认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品牌事实类意图聚焦三大方向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品牌可信度</w:t>
      </w:r>
      <w:r>
        <w:rPr>
          <w:rFonts w:ascii="Microsoft YaHei" w:hAnsi="Microsoft YaHei" w:cs="Microsoft YaHei" w:eastAsia="Microsoft YaHei"/>
          <w:sz w:val="24"/>
        </w:rPr>
        <w:t>：重点覆盖“蓓养乐靠谱吗”“有没有负面新闻”等评价类query，强化品牌安全背书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品牌归属地澄清</w:t>
      </w:r>
      <w:r>
        <w:rPr>
          <w:rFonts w:ascii="Microsoft YaHei" w:hAnsi="Microsoft YaHei" w:cs="Microsoft YaHei" w:eastAsia="Microsoft YaHei"/>
          <w:sz w:val="24"/>
        </w:rPr>
        <w:t>：针对用户高频搜索“蓓养乐是哪个国家的”，明确其为中国香港品牌，非美国起源，需作为独立query专项建设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品牌定位输出</w:t>
      </w:r>
      <w:r>
        <w:rPr>
          <w:rFonts w:ascii="Microsoft YaHei" w:hAnsi="Microsoft YaHei" w:cs="Microsoft YaHei" w:eastAsia="Microsoft YaHei"/>
          <w:sz w:val="24"/>
        </w:rPr>
        <w:t>：当用户询问“蓓养乐是什么品牌”时，反馈其为“年轻状态管理品牌”</w:t>
      </w:r>
    </w:p>
    <w:p>
      <w:pPr>
        <w:numPr>
          <w:ilvl w:val="0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品牌内容定型计划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计划通过铺垫</w:t>
      </w:r>
      <w:r>
        <w:rPr>
          <w:b w:val="on"/>
          <w:sz w:val="24"/>
          <w:rFonts w:ascii="Microsoft YaHei" w:hAnsi="Microsoft YaHei" w:cs="Microsoft YaHei" w:eastAsia="Microsoft YaHei"/>
        </w:rPr>
        <w:t>30–50篇</w:t>
      </w:r>
      <w:r>
        <w:rPr>
          <w:rFonts w:ascii="Microsoft YaHei" w:hAnsi="Microsoft YaHei" w:cs="Microsoft YaHei" w:eastAsia="Microsoft YaHei"/>
          <w:sz w:val="24"/>
        </w:rPr>
        <w:t>文章在AI生态内完成品牌基础认知定型</w:t>
      </w:r>
    </w:p>
    <w:p>
      <w:pPr>
        <w:numPr>
          <w:ilvl w:val="1"/>
          <w:numId w:val="1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所有品牌相关回答中必须植入“共晶还原性辅酶Q10”这一全称成分表述，强调技术差异点</w:t>
      </w:r>
    </w:p>
    <w:p>
      <w:pPr>
        <w:pStyle w:val="Heading2"/>
        <w:outlineLvl w:val="1"/>
      </w:pPr>
      <w:r>
        <w:t>产品线意图拆解与场景锚定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小红瓶（辅酶Q10）主攻心脏与卵巢动能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核心人群痛点</w:t>
      </w:r>
      <w:r>
        <w:rPr>
          <w:rFonts w:ascii="Microsoft YaHei" w:hAnsi="Microsoft YaHei" w:cs="Microsoft YaHei" w:eastAsia="Microsoft YaHei"/>
          <w:sz w:val="24"/>
        </w:rPr>
        <w:t xml:space="preserve">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心脏类：熬夜防猝死、心悸、心跳快、长期疲劳</w:t>
      </w:r>
    </w:p>
    <w:p>
      <w:pPr>
        <w:numPr>
          <w:ilvl w:val="2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卵巢类：月经量少、更年期/绝经前症状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避免重复定位</w:t>
      </w:r>
      <w:r>
        <w:rPr>
          <w:rFonts w:ascii="Microsoft YaHei" w:hAnsi="Microsoft YaHei" w:cs="Microsoft YaHei" w:eastAsia="Microsoft YaHei"/>
          <w:sz w:val="24"/>
        </w:rPr>
        <w:t>：不主打“睡眠不够”“恢复不过来”等与小金瓶重合度高的通用疲劳描述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卖点结构化</w:t>
      </w:r>
      <w:r>
        <w:rPr>
          <w:rFonts w:ascii="Microsoft YaHei" w:hAnsi="Microsoft YaHei" w:cs="Microsoft YaHei" w:eastAsia="Microsoft YaHei"/>
          <w:sz w:val="24"/>
        </w:rPr>
        <w:t>：围绕三大方向展开——① 成分功效（共晶还原性辅酶Q10）、② 心脏健康、③ 卵巢支持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小金瓶主攻昼夜节律与长期熬夜恢复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核心场景包括“出差熬夜后恢复”“精力风险恢复”“作息紊乱”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明确区别于小红瓶的“急性心脏负荷”场景，侧重</w:t>
      </w:r>
      <w:r>
        <w:rPr>
          <w:b w:val="on"/>
          <w:sz w:val="24"/>
          <w:rFonts w:ascii="Microsoft YaHei" w:hAnsi="Microsoft YaHei" w:cs="Microsoft YaHei" w:eastAsia="Microsoft YaHei"/>
        </w:rPr>
        <w:t>长期亚健康状态管理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光子系列聚焦皮肤状态管理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主要解决皮肤细纹、松弛、暗沉、发黄等问题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强调祛斑证据链完整，优先打“美白”“改善暗沉”等正向诉求，而非仅被动回应问题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暂不主推“防晒”方向，因存在负面舆情对抗难度</w:t>
      </w:r>
    </w:p>
    <w:p>
      <w:pPr>
        <w:numPr>
          <w:ilvl w:val="0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眼回春主打眼周水润与年轻化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核心体感为“眼睛更水润”，而非仅解决“眼周细纹”“暗沉”等问题端表述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已有真人实测报告支撑，可用于内容背书</w:t>
      </w:r>
    </w:p>
    <w:p>
      <w:pPr>
        <w:numPr>
          <w:ilvl w:val="1"/>
          <w:numId w:val="2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用户年龄争议处理：产品可适用于13–17岁人群，但投放时不主动强调该年龄段，若被问及需补充说明话术以规避舆论风险</w:t>
      </w:r>
    </w:p>
    <w:p>
      <w:pPr>
        <w:pStyle w:val="Heading2"/>
        <w:outlineLvl w:val="1"/>
      </w:pPr>
      <w:r>
        <w:t>意图词筛选与优化要求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从40个候选词中选定26个正式投放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今日完成初筛，后续结合热度数据微调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筛选原则：优先选择用户真实提问方式，剔除非口语化表达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母词热度补充分析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当前列表基于大搜+电商热度聚合生成，尚未体现AI侧准确提问量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需将搜索母词及其热度值反哺至表格，便于核对实际流量分布</w:t>
      </w:r>
    </w:p>
    <w:p>
      <w:pPr>
        <w:numPr>
          <w:ilvl w:val="0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query表达优化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所有问题表述需按</w:t>
      </w:r>
      <w:r>
        <w:rPr>
          <w:b w:val="on"/>
          <w:sz w:val="24"/>
          <w:rFonts w:ascii="Microsoft YaHei" w:hAnsi="Microsoft YaHei" w:cs="Microsoft YaHei" w:eastAsia="Microsoft YaHei"/>
        </w:rPr>
        <w:t>消费者自然口吻</w:t>
      </w:r>
      <w:r>
        <w:rPr>
          <w:rFonts w:ascii="Microsoft YaHei" w:hAnsi="Microsoft YaHei" w:cs="Microsoft YaHei" w:eastAsia="Microsoft YaHei"/>
          <w:sz w:val="24"/>
        </w:rPr>
        <w:t>进行口语化改写</w:t>
      </w:r>
    </w:p>
    <w:p>
      <w:pPr>
        <w:numPr>
          <w:ilvl w:val="1"/>
          <w:numId w:val="3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如“蓓养乐四款产品价格为何不同”应调整为更贴近用户真实发问的形式</w:t>
      </w:r>
    </w:p>
    <w:p>
      <w:pPr>
        <w:pStyle w:val="Heading2"/>
        <w:outlineLvl w:val="1"/>
      </w:pPr>
      <w:r>
        <w:t>投放策略与竞争环境判断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品类认知先行策略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对于“晚上睡不着”“作息不规律”等宽泛品类词，虽AI首答多为建议而非推荐，但仍具操作空间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策略：通过批量内容铺设，引导AI建立“非褪黑素助眠方案更优”的行业认知，从而提升产品推荐概率</w:t>
      </w:r>
    </w:p>
    <w:p>
      <w:pPr>
        <w:numPr>
          <w:ilvl w:val="0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高端形象塑造方式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不直接回答“是否高端”类问题，而是在同类竞品对比中突出优势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利用背书素材如“芬兰野生越橘”“一年仅采摘一次”等在知识库中预埋，用于高端类目下的竞争力呈现</w:t>
      </w:r>
    </w:p>
    <w:p>
      <w:pPr>
        <w:numPr>
          <w:ilvl w:val="1"/>
          <w:numId w:val="4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AI本身会对保健品划分类目（如性价比、干眼症专用、高端等），我方重点在“高端”类目下强化表现</w:t>
      </w:r>
    </w:p>
    <w:p>
      <w:pPr>
        <w:pStyle w:val="Heading2"/>
        <w:outlineLvl w:val="1"/>
      </w:pPr>
      <w:r>
        <w:t>数据支持与协同需求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电商平台引流现状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蓓养乐当前在豆包渠道的电商渗透率为</w:t>
      </w:r>
      <w:r>
        <w:rPr>
          <w:b w:val="on"/>
          <w:sz w:val="24"/>
          <w:rFonts w:ascii="Microsoft YaHei" w:hAnsi="Microsoft YaHei" w:cs="Microsoft YaHei" w:eastAsia="Microsoft YaHei"/>
        </w:rPr>
        <w:t>0%</w:t>
      </w:r>
      <w:r>
        <w:rPr>
          <w:rFonts w:ascii="Microsoft YaHei" w:hAnsi="Microsoft YaHei" w:cs="Microsoft YaHei" w:eastAsia="Microsoft YaHei"/>
          <w:sz w:val="24"/>
        </w:rPr>
        <w:t>，无自然引流成交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后续所有效果归因清晰，便于评估GUC（Guaranteed User Conversion）建设成效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竞品渗透率分层参考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第一类（天然高推荐）：如芙丽芳丝，推荐渗透率超</w:t>
      </w:r>
      <w:r>
        <w:rPr>
          <w:b w:val="on"/>
          <w:sz w:val="24"/>
          <w:rFonts w:ascii="Microsoft YaHei" w:hAnsi="Microsoft YaHei" w:cs="Microsoft YaHei" w:eastAsia="Microsoft YaHei"/>
        </w:rPr>
        <w:t>5%</w:t>
      </w:r>
      <w:r>
        <w:rPr>
          <w:rFonts w:ascii="Microsoft YaHei" w:hAnsi="Microsoft YaHei" w:cs="Microsoft YaHei" w:eastAsia="Microsoft YaHei"/>
          <w:sz w:val="24"/>
        </w:rPr>
        <w:t>，无需额外GUC投入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第二类（基础曝光足够）：如秀花蔻，渗透率在</w:t>
      </w:r>
      <w:r>
        <w:rPr>
          <w:b w:val="on"/>
          <w:sz w:val="24"/>
          <w:rFonts w:ascii="Microsoft YaHei" w:hAnsi="Microsoft YaHei" w:cs="Microsoft YaHei" w:eastAsia="Microsoft YaHei"/>
        </w:rPr>
        <w:t>1%-2%</w:t>
      </w:r>
      <w:r>
        <w:rPr>
          <w:rFonts w:ascii="Microsoft YaHei" w:hAnsi="Microsoft YaHei" w:cs="Microsoft YaHei" w:eastAsia="Microsoft YaHei"/>
          <w:sz w:val="24"/>
        </w:rPr>
        <w:t>，主要做舆情维护即可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第三类（起量快但认知弱）：如温丽慈，渗透率不足</w:t>
      </w:r>
      <w:r>
        <w:rPr>
          <w:b w:val="on"/>
          <w:sz w:val="24"/>
          <w:rFonts w:ascii="Microsoft YaHei" w:hAnsi="Microsoft YaHei" w:cs="Microsoft YaHei" w:eastAsia="Microsoft YaHei"/>
        </w:rPr>
        <w:t>0.5%</w:t>
      </w:r>
      <w:r>
        <w:rPr>
          <w:rFonts w:ascii="Microsoft YaHei" w:hAnsi="Microsoft YaHei" w:cs="Microsoft YaHei" w:eastAsia="Microsoft YaHei"/>
          <w:sz w:val="24"/>
        </w:rPr>
        <w:t>，适合开展GUC建设</w:t>
      </w:r>
    </w:p>
    <w:p>
      <w:pPr>
        <w:numPr>
          <w:ilvl w:val="0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所需外部数据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电商社媒评论、直播间互动文本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豆包已拉通聚量数据，后续需补充聚光后台的用户消费洞察数据</w:t>
      </w:r>
    </w:p>
    <w:p>
      <w:pPr>
        <w:numPr>
          <w:ilvl w:val="1"/>
          <w:numId w:val="5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相关数据已安排采集，待反馈后整合分析</w:t>
      </w:r>
    </w:p>
    <w:p>
      <w:pPr>
        <w:pStyle w:val="Heading2"/>
        <w:outlineLvl w:val="1"/>
      </w:pPr>
      <w:r>
        <w:t>关键决策与共识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26个核心意图词今日完成初筛并下发执行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会议决定从40个候选意图中初步筛选出26个重点建设方向，今日内由项目组完成标注并发送至执行群组。筛选依据为产品定位清晰度、用户真实提问可能性及与竞品的差异化程度，后续将结合热度数据做最终校准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品牌三大事实类query必须独立建设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明确“贝养乐靠谱吗”“贝养乐是哪国品牌”“贝养乐是什么类型的牌子”三个品牌事实类query需作为独立模块进行内容布局，分别对应品牌可信度、产地归属和品类定位的认知建设，所有回答中必须包含“共晶还原性辅酶Q10”关键词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小红瓶聚焦心脏与卵巢动能，规避与小金瓶功能重叠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小红瓶不再使用“睡眠不够”“恢复不过来”等通用疲劳描述，而是精准锚定“熬夜防猝死”“心悸”“月经量少”等具体生理信号，形成与小金瓶“长期熬夜恢复”“作息紊乱”的场景区隔，确保各产品线用户旅程不交叉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眼回春推广以“眼睛更水润”为核心体感输出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决定改变仅回应问题端（如眼纹、暗沉）的传统打法，转而强化“让眼睛更水润”这一积极正向诉求，在内容中主动植入该表达，匹配用户潜在愿望，而非被动响应已有困扰。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0"/>
          <w:numId w:val="6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b w:val="on"/>
          <w:sz w:val="24"/>
          <w:rFonts w:ascii="Microsoft YaHei" w:hAnsi="Microsoft YaHei" w:cs="Microsoft YaHei" w:eastAsia="Microsoft YaHei"/>
        </w:rPr>
        <w:t>非褪黑素助眠方向具备突破机会，启动一个月测试周期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针对“改善睡眠”等大品类词，尽管AI当前首答偏向生活建议，但因竞争热度不高，存在通过系统性内容铺设改变AI认知的机会。决定将其纳入投放范围，跑一个月数据观察转化效果，目标是提升整体品类渗透率。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pStyle w:val="Heading2"/>
        <w:outlineLvl w:val="1"/>
      </w:pPr>
      <w:r>
        <w:t>核心发言提炼</w:t>
      </w:r>
    </w:p>
    <w:p>
      <w:pPr>
        <w:numPr>
          <w:ilvl w:val="0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发言人（KP）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核心观点与指示</w:t>
      </w:r>
      <w:r>
        <w:rPr>
          <w:rFonts w:ascii="Microsoft YaHei" w:hAnsi="Microsoft YaHei" w:cs="Microsoft YaHei" w:eastAsia="Microsoft YaHei"/>
          <w:sz w:val="24"/>
        </w:rPr>
        <w:t xml:space="preserve">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品牌可信度、产地归属、品牌定位三个事实类query必须单独拆解并建设内容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小红瓶的核心差异点在于“心脏动能”和“卵巢支持”，不应与小金瓶共用“恢复”类模糊表述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所有涉及辅酶Q10的内容必须使用“共晶还原性辅酶Q10”全称，不得简化为“辅酶Q10”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“熬夜防猝死”这类直白表达可以用于门户广告投放，符合监管边界</w:t>
      </w:r>
    </w:p>
    <w:p>
      <w:pPr>
        <w:numPr>
          <w:ilvl w:val="2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宽泛品类词如“晚上睡不着”仍有运营空间，可通过教育类内容抢占AI认知入口</w:t>
      </w:r>
    </w:p>
    <w:p>
      <w:pPr>
        <w:numPr>
          <w:ilvl w:val="1"/>
          <w:numId w:val="7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b w:val="on"/>
          <w:sz w:val="24"/>
          <w:rFonts w:ascii="Microsoft YaHei" w:hAnsi="Microsoft YaHei" w:cs="Microsoft YaHei" w:eastAsia="Microsoft YaHei"/>
        </w:rPr>
        <w:t>原文引用</w:t>
      </w:r>
      <w:r>
        <w:rPr>
          <w:rFonts w:ascii="Microsoft YaHei" w:hAnsi="Microsoft YaHei" w:cs="Microsoft YaHei" w:eastAsia="Microsoft YaHei"/>
          <w:sz w:val="24"/>
        </w:rPr>
        <w:t xml:space="preserve">：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"我觉得这个点还是蛮关键的，就是着重去作为一个query去建设，品牌的机械方面，一个是靠谱靠不靠谱，然后品牌具体是什么"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"我们就核心就想打八个字，一个是心脏的另外一个是卵巢动员"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"现在我现在我看到你打的都是辅酶 q10 嘛，但是辅酶 q10 我们使用的全称是共晶还原性辅酶 q10"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"防熬夜猝死，或者是说我不知道这些词能不能说啊，但是我白话文就是防熬夜猝死"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>"反而这种可能会有机会，就是 ai 在大的品类上，其实现在也是很少人直接去做这种认知的维度"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pStyle w:val="Heading1"/>
        <w:outlineLvl w:val="0"/>
      </w:pPr>
      <w:r>
        <w:t>待办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提供品牌方所需数据支持以完成意图筛选和决策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整理并补充各意图词对应的热度数据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拉取并分析电商、社媒及直播间评论数据用于后续投放策略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调整贝雅乐相关问题描述为更口语化形式</w:t>
      </w:r>
    </w:p>
    <w:p>
      <w:pPr>
        <w:spacing w:before="0" w:after="0" w:lineRule="exact" w:line="400"/>
        <w:rPr>
          <w:rFonts w:ascii="Segoe UI" w:hAnsi="Segoe UI" w:eastAsia="Microsoft YaHei" w:cs="Microsoft YaHei"/>
          <w:sz w:val="24"/>
        </w:rPr>
      </w:pPr>
      <w:r>
        <w:rPr>
          <w:rFonts w:ascii="Wingdings" w:hAnsi="Wingdings" w:cs="Wingdings" w:eastAsia="Wingdings"/>
          <w:sz w:val="24"/>
        </w:rPr>
        <w:t>☐</w:t>
      </w:r>
      <w: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将选完的26个意图词发给团队</w:t>
      </w:r>
    </w:p>
    <w:p>
      <w:pPr>
        <w:pStyle w:val="Heading1"/>
        <w:outlineLvl w:val="0"/>
      </w:pPr>
      <w:r>
        <w:t>章节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00:00:11 </w:t>
      </w:r>
      <w:r>
        <w:rPr>
          <w:b w:val="on"/>
          <w:sz w:val="24"/>
          <w:rFonts w:ascii="Microsoft YaHei" w:hAnsi="Microsoft YaHei" w:cs="Microsoft YaHei" w:eastAsia="Microsoft YaHei"/>
        </w:rPr>
        <w:t>会议开场与意图确认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会议开始，主持人说明本次会议的核心目标是敲定品牌投放的意图方向，并明确本周将完成基础监测，为后续制定投放策略做准备。同时提及相关资料已发至群内，后续将推进具体执行表。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00:01:07 </w:t>
      </w:r>
      <w:r>
        <w:rPr>
          <w:b w:val="on"/>
          <w:sz w:val="24"/>
          <w:rFonts w:ascii="Microsoft YaHei" w:hAnsi="Microsoft YaHei" w:cs="Microsoft YaHei" w:eastAsia="Microsoft YaHei"/>
        </w:rPr>
        <w:t>品牌意图筛选与产品定位讨论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团队围绕品牌‘贝雅乐’的意图词进行筛选，确认从40个候选词中选出26个用于后续投放。重点讨论小红瓶、小金瓶等产品在功能上的重合问题，如恢复、熬夜、心脏健康等，需明确差异化定位以避免用户认知混淆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00:02:16 </w:t>
      </w:r>
      <w:r>
        <w:rPr>
          <w:b w:val="on"/>
          <w:sz w:val="24"/>
          <w:rFonts w:ascii="Microsoft YaHei" w:hAnsi="Microsoft YaHei" w:cs="Microsoft YaHei" w:eastAsia="Microsoft YaHei"/>
        </w:rPr>
        <w:t>意图词优化与口语化调整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针对现有意图词表达不够口语化的问题，提出需对‘贝雅乐靠谱吗’等评价类问题进行修改，使其更贴近真实用户搜索习惯。强调应聚焦于品牌可信度、负面舆情等核心意图，并在会后进行统一调整。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00:03:25 </w:t>
      </w:r>
      <w:r>
        <w:rPr>
          <w:b w:val="on"/>
          <w:sz w:val="24"/>
          <w:rFonts w:ascii="Microsoft YaHei" w:hAnsi="Microsoft YaHei" w:cs="Microsoft YaHei" w:eastAsia="Microsoft YaHei"/>
        </w:rPr>
        <w:t>AI理解偏差案例与用户意图校准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通过餐饮服务类IP的案例说明AI可能产生意图漂移（如从专家漂移到服务员），强调必须精准定义用户真实需求。确认贝雅乐的品牌事实需通过30-50篇文章在AI时间中定型，并讨论追问环节的优先级应低于品牌曝光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00:04:49 </w:t>
      </w:r>
      <w:r>
        <w:rPr>
          <w:b w:val="on"/>
          <w:sz w:val="24"/>
          <w:rFonts w:ascii="Microsoft YaHei" w:hAnsi="Microsoft YaHei" w:cs="Microsoft YaHei" w:eastAsia="Microsoft YaHei"/>
        </w:rPr>
        <w:t>产品核心卖点与人群场景划分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进一步明确小红瓶、小金瓶等产品的核心使用场景。小红瓶聚焦心脏动能与卵巢健康，关键词包括防熬夜猝死、月经量少等；小金瓶侧重昼夜节律与出差恢复。讨论如何避免关键词重叠，并结合用户旅程设计4-6个核心query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00:06:11 </w:t>
      </w:r>
      <w:r>
        <w:rPr>
          <w:b w:val="on"/>
          <w:sz w:val="24"/>
          <w:rFonts w:ascii="Microsoft YaHei" w:hAnsi="Microsoft YaHei" w:cs="Microsoft YaHei" w:eastAsia="Microsoft YaHei"/>
        </w:rPr>
        <w:t>关键词扩展与数据采集策略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提出在现有意图基础上快速标注高优先级关键词以加快推进速度。同时强调需整合多渠道数据，包括电商平台、社媒评论、直播间反馈及聚量、聚光后台的消费洞察，用于支持后续分析与决策。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00:10:15 </w:t>
      </w:r>
      <w:r>
        <w:rPr>
          <w:b w:val="on"/>
          <w:sz w:val="24"/>
          <w:rFonts w:ascii="Microsoft YaHei" w:hAnsi="Microsoft YaHei" w:cs="Microsoft YaHei" w:eastAsia="Microsoft YaHei"/>
        </w:rPr>
        <w:t>品牌渗透率分类与投放策略建议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根据豆包引流数据将品牌分为三类：天然推荐率高的（如芙丽芳丝）、大品牌但需舆情维护的（如秀花蔻）、起量快但渗透率低的新兴品牌。建议对不同类别采取差异化的G U策略，明确贝雅乐当前无豆包引流，具备操作空间。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00:13:04 </w:t>
      </w:r>
      <w:r>
        <w:rPr>
          <w:b w:val="on"/>
          <w:sz w:val="24"/>
          <w:rFonts w:ascii="Microsoft YaHei" w:hAnsi="Microsoft YaHei" w:cs="Microsoft YaHei" w:eastAsia="Microsoft YaHei"/>
        </w:rPr>
        <w:t>品牌核心意图建设与成分强调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确定贝雅乐需重点建设三大核心意图：品牌是否靠谱、产地归属（中国香港而非美国）、以及共晶还原性辅酶Q10的成分独特性。强调所有内容中必须统一使用‘共晶还原性辅酶Q10’这一完整术语，强化技术背书。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00:18:35 </w:t>
      </w:r>
      <w:r>
        <w:rPr>
          <w:b w:val="on"/>
          <w:sz w:val="24"/>
          <w:rFonts w:ascii="Microsoft YaHei" w:hAnsi="Microsoft YaHei" w:cs="Microsoft YaHei" w:eastAsia="Microsoft YaHei"/>
        </w:rPr>
        <w:t>品类认知与睡眠改善策略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讨论‘改善睡眠’等大品类词的投放机会，指出AI在大品类下易给出泛化建议而非直接推荐产品。建议先建立行业认知（如非褪黑素助眠），再植入品牌，以提升整体链路转化效果。</w:t>
      </w:r>
    </w:p>
    <w:p>
      <w:pPr>
        <w:numPr>
          <w:ilvl w:val="0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00:22:03 </w:t>
      </w:r>
      <w:r>
        <w:rPr>
          <w:b w:val="on"/>
          <w:sz w:val="24"/>
          <w:rFonts w:ascii="Microsoft YaHei" w:hAnsi="Microsoft YaHei" w:cs="Microsoft YaHei" w:eastAsia="Microsoft YaHei"/>
        </w:rPr>
        <w:t>皮肤管理与高端品牌形象塑造</w:t>
      </w:r>
      <w:r>
        <w:rPr>
          <w:rFonts w:ascii="Microsoft YaHei" w:hAnsi="Microsoft YaHei" w:cs="Microsoft YaHei" w:eastAsia="Microsoft YaHei"/>
          <w:sz w:val="24"/>
        </w:rPr>
        <w:t xml:space="preserve"> </w:t>
      </w:r>
      <w:r>
        <w:rPr>
          <w:rFonts w:ascii="Microsoft YaHei" w:hAnsi="Microsoft YaHei" w:cs="Microsoft YaHei" w:eastAsia="Microsoft YaHei"/>
          <w:sz w:val="24"/>
        </w:rPr>
        <w:t xml:space="preserve"> </w:t>
      </w:r>
    </w:p>
    <w:p>
      <w:pPr>
        <w:numPr>
          <w:ilvl w:val="1"/>
          <w:numId w:val="8"/>
        </w:numPr>
        <w:spacing w:before="0" w:after="0" w:lineRule="atLeast" w:line="400"/>
        <w:rPr>
          <w:rFonts w:ascii="Segoe UI" w:hAnsi="Segoe UI" w:eastAsia="Microsoft YaHei" w:cs="Microsoft YaHei"/>
          <w:sz w:val="24"/>
        </w:rPr>
      </w:pPr>
      <w:r>
        <w:rPr>
          <w:rFonts w:ascii="Microsoft YaHei" w:hAnsi="Microsoft YaHei" w:cs="Microsoft YaHei" w:eastAsia="Microsoft YaHei"/>
          <w:sz w:val="24"/>
        </w:rPr>
        <w:t>围绕光子、眼回春等产品讨论皮肤状态管理的切入点，强调应覆盖眼周暗沉、细纹、水润度等问题，并结合正向诉求（如美白）进行内容布局。同时回应关于高端品牌定位不足的问题，提出通过稀缺原料（如芬兰越橘）强化高端形象。</w:t>
      </w:r>
    </w:p>
  </w:body>
</w:document>
</file>

<file path=word/numbering.xml><?xml version="1.0" encoding="utf-8"?>
<w:numbering xmlns:w="http://schemas.openxmlformats.org/wordprocessingml/2006/main">
  <w:abstractNum w:abstractNumId="297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298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299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00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01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02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03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abstractNum w:abstractNumId="304">
    <w:lvl w:ilvl="0">
      <w:start w:val="1"/>
      <w:numFmt w:val="bullet"/>
      <w:lvlText w:val="•"/>
      <w:pPr>
        <w:ind w:left="240" w:hanging="240"/>
      </w:pPr>
      <w:rPr>
        <w:rFonts w:ascii="Calibri" w:hAnsi="Calibri" w:eastAsia="Microsoft YaHei"/>
        <w:sz w:val="24"/>
      </w:rPr>
    </w:lvl>
    <w:lvl w:ilvl="1">
      <w:start w:val="1"/>
      <w:numFmt w:val="bullet"/>
      <w:lvlText w:val="•"/>
      <w:pPr>
        <w:ind w:left="480" w:hanging="240"/>
      </w:pPr>
      <w:rPr>
        <w:rFonts w:ascii="Calibri" w:hAnsi="Calibri" w:eastAsia="Microsoft YaHei"/>
        <w:sz w:val="24"/>
      </w:rPr>
    </w:lvl>
    <w:lvl w:ilvl="2">
      <w:start w:val="1"/>
      <w:numFmt w:val="bullet"/>
      <w:lvlText w:val="•"/>
      <w:pPr>
        <w:ind w:left="720" w:hanging="240"/>
      </w:pPr>
      <w:rPr>
        <w:rFonts w:ascii="Calibri" w:hAnsi="Calibri" w:eastAsia="Microsoft YaHei"/>
        <w:sz w:val="24"/>
      </w:rPr>
    </w:lvl>
    <w:lvl w:ilvl="3">
      <w:start w:val="1"/>
      <w:numFmt w:val="bullet"/>
      <w:lvlText w:val="•"/>
      <w:pPr>
        <w:ind w:left="960" w:hanging="240"/>
      </w:pPr>
      <w:rPr>
        <w:rFonts w:ascii="Calibri" w:hAnsi="Calibri" w:eastAsia="Microsoft YaHei"/>
        <w:sz w:val="24"/>
      </w:rPr>
    </w:lvl>
    <w:lvl w:ilvl="4">
      <w:start w:val="1"/>
      <w:numFmt w:val="bullet"/>
      <w:lvlText w:val="•"/>
      <w:pPr>
        <w:ind w:left="1200" w:hanging="240"/>
      </w:pPr>
      <w:rPr>
        <w:rFonts w:ascii="Calibri" w:hAnsi="Calibri" w:eastAsia="Microsoft YaHei"/>
        <w:sz w:val="24"/>
      </w:rPr>
    </w:lvl>
    <w:lvl w:ilvl="5">
      <w:start w:val="1"/>
      <w:numFmt w:val="bullet"/>
      <w:lvlText w:val="•"/>
      <w:pPr>
        <w:ind w:left="1440" w:hanging="240"/>
      </w:pPr>
      <w:rPr>
        <w:rFonts w:ascii="Calibri" w:hAnsi="Calibri" w:eastAsia="Microsoft YaHei"/>
        <w:sz w:val="24"/>
      </w:rPr>
    </w:lvl>
    <w:lvl w:ilvl="6">
      <w:start w:val="1"/>
      <w:numFmt w:val="bullet"/>
      <w:lvlText w:val="•"/>
      <w:pPr>
        <w:ind w:left="1680" w:hanging="240"/>
      </w:pPr>
      <w:rPr>
        <w:rFonts w:ascii="Calibri" w:hAnsi="Calibri" w:eastAsia="Microsoft YaHei"/>
        <w:sz w:val="24"/>
      </w:rPr>
    </w:lvl>
    <w:lvl w:ilvl="7">
      <w:start w:val="1"/>
      <w:numFmt w:val="bullet"/>
      <w:lvlText w:val="•"/>
      <w:pPr>
        <w:ind w:left="1920" w:hanging="240"/>
      </w:pPr>
      <w:rPr>
        <w:rFonts w:ascii="Calibri" w:hAnsi="Calibri" w:eastAsia="Microsoft YaHei"/>
        <w:sz w:val="24"/>
      </w:rPr>
    </w:lvl>
    <w:lvl w:ilvl="8">
      <w:start w:val="1"/>
      <w:numFmt w:val="bullet"/>
      <w:lvlText w:val="•"/>
      <w:pPr>
        <w:ind w:left="2160" w:hanging="240"/>
      </w:pPr>
      <w:rPr>
        <w:rFonts w:ascii="Calibri" w:hAnsi="Calibri" w:eastAsia="Microsoft YaHei"/>
        <w:sz w:val="24"/>
      </w:rPr>
    </w:lvl>
  </w:abstractNum>
  <w:num w:numId="1">
    <w:abstractNumId w:val="297"/>
  </w:num>
  <w:num w:numId="2">
    <w:abstractNumId w:val="298"/>
  </w:num>
  <w:num w:numId="3">
    <w:abstractNumId w:val="299"/>
  </w:num>
  <w:num w:numId="4">
    <w:abstractNumId w:val="300"/>
  </w:num>
  <w:num w:numId="5">
    <w:abstractNumId w:val="301"/>
  </w:num>
  <w:num w:numId="6">
    <w:abstractNumId w:val="302"/>
  </w:num>
  <w:num w:numId="7">
    <w:abstractNumId w:val="303"/>
  </w:num>
  <w:num w:numId="8">
    <w:abstractNumId w:val="3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Normal" w:type="paragraph">
    <w:name w:val="正文1"/>
    <w:pPr>
      <w:spacing w:lineRule="atLeast" w:line="400"/>
    </w:pPr>
    <w:rPr>
      <w:rFonts w:ascii="Segoe UI" w:hAnsi="Segoe UI" w:eastAsia="Microsoft YaHei" w:cs="Microsoft YaHei"/>
      <w:sz w:val="24"/>
      <w:szCs w:val="24"/>
    </w:rPr>
  </w:style>
  <w:style w:styleId="Heading1" w:type="paragraph">
    <w:name w:val="标题1"/>
    <w:pPr>
      <w:spacing w:before="100" w:after="100"/>
      <w:jc w:val="left"/>
      <w:outlineLvl w:val="0"/>
    </w:pPr>
    <w:rPr>
      <w:rFonts w:ascii="Microsoft YaHei" w:hAnsi="Microsoft YaHei" w:eastAsia="Microsoft YaHei" w:cs="Microsoft YaHei"/>
      <w:sz w:val="36"/>
      <w:szCs w:val="36"/>
      <w:b w:val="on"/>
    </w:rPr>
  </w:style>
  <w:style w:styleId="Heading2" w:type="paragraph">
    <w:name w:val="标题2"/>
    <w:pPr>
      <w:spacing w:before="320" w:lineRule="exact" w:line="300"/>
      <w:outlineLvl w:val="1"/>
    </w:pPr>
    <w:rPr>
      <w:rFonts w:ascii="Microsoft YaHei" w:hAnsi="Microsoft YaHei" w:eastAsia="Microsoft YaHei" w:cs="Microsoft YaHei"/>
      <w:sz w:val="32"/>
      <w:szCs w:val="32"/>
      <w:b w:val="on"/>
    </w:rPr>
  </w:style>
  <w:style w:styleId="Heading3" w:type="paragraph">
    <w:name w:val="标题3"/>
    <w:pPr>
      <w:spacing w:before="280"/>
      <w:outlineLvl w:val="2"/>
    </w:pPr>
    <w:rPr>
      <w:rFonts w:ascii="Microsoft YaHei" w:hAnsi="Microsoft YaHei" w:eastAsia="Microsoft YaHei" w:cs="Microsoft YaHei"/>
      <w:sz w:val="30"/>
      <w:szCs w:val="30"/>
      <w:b w:val="on"/>
    </w:rPr>
  </w:style>
  <w:style w:styleId="Heading4" w:type="paragraph">
    <w:name w:val="标题4"/>
    <w:pPr>
      <w:spacing w:before="280"/>
      <w:outlineLvl w:val="3"/>
    </w:pPr>
    <w:rPr>
      <w:rFonts w:ascii="Microsoft YaHei" w:hAnsi="Microsoft YaHei" w:eastAsia="Microsoft YaHei" w:cs="Microsoft YaHei"/>
      <w:sz w:val="28"/>
      <w:szCs w:val="28"/>
      <w:b w:val="on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2026-07-20T08:34:45Z</dcterms:created>
  <dc:creator>Apache POI</dc:creator>
</cp:coreProperties>
</file>