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outlineLvl w:val="0"/>
      </w:pPr>
      <w:r>
        <w:t>纪要</w:t>
      </w:r>
    </w:p>
    <w:p>
      <w:pPr>
        <w:pStyle w:val="Normal"/>
      </w:pPr>
      <w:r>
        <w:rPr>
          <w:b w:val="on"/>
        </w:rPr>
        <w:t>内容总结</w:t>
      </w:r>
      <w:r>
        <w:t>本次会议围绕蓓养乐产品在AI传播中的合规性与证据支持展开，重点讨论了可用于支持产品功效宣称的检测报告、专利等证据材料的现状与合规边界。团队明确了不能直接使用美白、抗衰、防晒等涉及保健或特殊化妆品功能的违规词汇进行公开宣传，但可通过第三方人体功效检测报告中的客观数据（如黑色素含量减少）进行合规表达。同时，确认了未来内容发布将以官媒与第三方媒体结合的方式推进，账号由公司掌控，内容需经法务审核以确保符合广告法要求。供应商将协助判断可执行的意图词范围，并确认双C认证等相关资质问题。</w:t>
      </w:r>
    </w:p>
    <w:p>
      <w:pPr>
        <w:pStyle w:val="Heading2"/>
        <w:outlineLvl w:val="1"/>
      </w:pPr>
      <w:r>
        <w:t>会议信息</w:t>
      </w:r>
    </w:p>
    <w:tbl>
      <w:tblPr>
        <w:tblW w:w="5000" w:type="pct"/>
        <w:tblBorders>
          <w:top w:val="single"/>
          <w:left w:val="single"/>
          <w:bottom w:val="single"/>
          <w:right w:val="single"/>
          <w:insideH w:val="single"/>
          <w:insideV w:val="single"/>
        </w:tblBorders>
        <w:tblLayout w:type="autofit"/>
      </w:tblPr>
      <w:tr>
        <w:tc>
          <w:tcPr>
            <w:tcW w:type="auto" w:w="0"/>
            <w:shd w:color="auto" w:val="clear" w:fill="DDDDDD"/>
          </w:tcPr>
          <w:p>
            <w:r>
              <w:rPr>
                <w:b w:val="on"/>
              </w:rPr>
              <w:t>项目</w:t>
            </w:r>
          </w:p>
        </w:tc>
        <w:tc>
          <w:tcPr>
            <w:tcW w:type="auto" w:w="0"/>
            <w:shd w:color="auto" w:val="clear" w:fill="DDDDDD"/>
          </w:tcPr>
          <w:p>
            <w:r>
              <w:rPr>
                <w:b w:val="on"/>
              </w:rPr>
              <w:t>描述</w:t>
            </w:r>
          </w:p>
        </w:tc>
      </w:tr>
      <w:tr>
        <w:tc>
          <w:tcPr>
            <w:tcW w:type="auto" w:w="0"/>
          </w:tcPr>
          <w:p>
            <w:r>
              <w:t>会议时间</w:t>
            </w:r>
          </w:p>
        </w:tc>
        <w:tc>
          <w:tcPr>
            <w:tcW w:type="auto" w:w="0"/>
          </w:tcPr>
          <w:p>
            <w:r>
              <w:t>2026-06-16 15:32 至 2026-06-16 16:30</w:t>
            </w:r>
          </w:p>
        </w:tc>
      </w:tr>
      <w:tr>
        <w:tc>
          <w:tcPr>
            <w:tcW w:type="auto" w:w="0"/>
          </w:tcPr>
          <w:p>
            <w:r>
              <w:t>会议地点</w:t>
            </w:r>
          </w:p>
        </w:tc>
        <w:tc>
          <w:tcPr>
            <w:tcW w:type="auto" w:w="0"/>
          </w:tcPr>
          <w:p>
            <w:r>
              <w:t>智能会议室（钉钉投屏）</w:t>
            </w:r>
          </w:p>
        </w:tc>
      </w:tr>
      <w:tr>
        <w:tc>
          <w:tcPr>
            <w:tcW w:type="auto" w:w="0"/>
          </w:tcPr>
          <w:p>
            <w:r>
              <w:t>参会成员</w:t>
            </w:r>
          </w:p>
        </w:tc>
        <w:tc>
          <w:tcPr>
            <w:tcW w:type="auto" w:w="0"/>
          </w:tcPr>
          <w:p>
            <w:r>
              <w:t>天资、张总、蒋总、林姣、易容、香房、田资、张萍</w:t>
            </w:r>
          </w:p>
        </w:tc>
      </w:tr>
    </w:tbl>
    <w:p>
      <w:pPr>
        <w:pStyle w:val="Heading2"/>
        <w:outlineLvl w:val="1"/>
      </w:pPr>
      <w:r>
        <w:t>会议议题</w:t>
      </w:r>
    </w:p>
    <w:p>
      <w:pPr>
        <w:pStyle w:val="Heading3"/>
        <w:outlineLvl w:val="2"/>
      </w:pPr>
      <w:r>
        <w:t>I. 当前可用的产品证据梳理</w:t>
      </w:r>
    </w:p>
    <w:p>
      <w:pPr>
        <w:pStyle w:val="Heading4"/>
        <w:outlineLvl w:val="3"/>
      </w:pPr>
      <w:r>
        <w:t>检测报告情况</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目前仅有三份关于“光子美白”的第三方人体功效检测报告，涵盖淡斑、提亮、紧致等测试项。</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眼回春产品有人体事实实验报告，测试项包括提升皮肤紧致弹性、降低黑色素、改善皱纹与色素斑。</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小金瓶、小黑瓶等其他产品暂未提供有效检测报告。</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所有现有报告均无CMA或CNAS双C认证章，影响其法律效力和权威性。</w:t>
      </w:r>
    </w:p>
    <w:p>
      <w:pPr>
        <w:pStyle w:val="Heading4"/>
        <w:outlineLvl w:val="3"/>
      </w:pPr>
      <w:r>
        <w:t>专利与原料授权情况</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产品所用核心成分“麦角硫因”来自供应商，该公司拥有相关专利并已授权我方使用。</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该专利非本公司所有，仅为原料层面授权，市场认可度待评估。</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共晶科技与梅雪峰教授为合作方，但专利归属存在复杂性，对外表述需谨慎。</w:t>
      </w:r>
    </w:p>
    <w:p>
      <w:pPr>
        <w:pStyle w:val="Heading4"/>
        <w:outlineLvl w:val="3"/>
      </w:pPr>
      <w:r>
        <w:t>其他证据补充</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无激素、无防腐剂、无抗生素等安全性检测报告可作为辅助材料，但非本次重点。</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海外产品备案信息不适用于国内法规体系，无法作为合规依据。</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建议后续统一整理所有文件夹资料，打包提交供进一步分析。</w:t>
      </w:r>
    </w:p>
    <w:p>
      <w:pPr>
        <w:pStyle w:val="Heading3"/>
        <w:outlineLvl w:val="2"/>
      </w:pPr>
      <w:r>
        <w:t>II. 合规传播边界与表达规范</w:t>
      </w:r>
    </w:p>
    <w:p>
      <w:pPr>
        <w:pStyle w:val="Heading4"/>
        <w:outlineLvl w:val="3"/>
      </w:pPr>
      <w:r>
        <w:t>禁用词汇与宣称限制</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明确不得使用“美白”“抗衰”“防晒”“修复”等属于保健食品或特殊化妆品范畴的功能宣称。</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即使第三方报告原文包含上述词汇，亦不可直接引用或转述。</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“临床”一词不可使用，因产品不属于蓝帽子保健食品，无需也不具备临床试验报告。</w:t>
      </w:r>
    </w:p>
    <w:p>
      <w:pPr>
        <w:pStyle w:val="Heading4"/>
        <w:outlineLvl w:val="3"/>
      </w:pPr>
      <w:r>
        <w:t>可行表达方式</w:t>
      </w:r>
    </w:p>
    <w:p>
      <w:pPr>
        <w:numPr>
          <w:ilvl w:val="0"/>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仅可复述检测报告中具体、客观的数据结果，例如：“受试者面部黑色素含量在X天后平均下降Y%”。</w:t>
      </w:r>
    </w:p>
    <w:p>
      <w:pPr>
        <w:numPr>
          <w:ilvl w:val="0"/>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表达应基于报告原文，避免引申、解读或建立直接功效关联。</w:t>
      </w:r>
    </w:p>
    <w:p>
      <w:pPr>
        <w:numPr>
          <w:ilvl w:val="0"/>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可通过成分机制科普（如麦角硫因的抗氧化原理）间接建立消费者认知。</w:t>
      </w:r>
    </w:p>
    <w:p>
      <w:pPr>
        <w:pStyle w:val="Heading4"/>
        <w:outlineLvl w:val="3"/>
      </w:pPr>
      <w:r>
        <w:t>渠道差异与风险控制</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官方渠道（官网、官号）内容必须严格遵守广告法，禁止任何擦边行为。</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第三方媒体及KOC账号发布内容相对灵活，可从用户体验角度描述主观感受（如“吃完感觉肤色变亮”），但仍需以真实效果为基础。</w:t>
      </w:r>
    </w:p>
    <w:p>
      <w:pPr>
        <w:numPr>
          <w:ilvl w:val="0"/>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种草类内容不可过度夸大，杜绝“长生不老”等明显虚假表述，以免被AI识别为低质灌水而降权。</w:t>
      </w:r>
    </w:p>
    <w:p>
      <w:pPr>
        <w:pStyle w:val="Heading3"/>
        <w:outlineLvl w:val="2"/>
      </w:pPr>
      <w:r>
        <w:t>III. AI信源建设与内容发布策略</w:t>
      </w:r>
    </w:p>
    <w:p>
      <w:pPr>
        <w:pStyle w:val="Heading4"/>
        <w:outlineLvl w:val="3"/>
      </w:pPr>
      <w:r>
        <w:t>内容抓取逻辑理解</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AI主要通过官方渠道获取品牌基础信息（如企业背景、产品成分、上游供应商）。</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具体功效推荐则依赖于外部平台大量高质量文章的内容聚合与语义分析。</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AI可通过成分作用机制自动关联产品与潜在功效（如抗氧化→抗衰），无需直接宣称。</w:t>
      </w:r>
    </w:p>
    <w:p>
      <w:pPr>
        <w:pStyle w:val="Heading4"/>
        <w:outlineLvl w:val="3"/>
      </w:pPr>
      <w:r>
        <w:t>发布执行路径</w:t>
      </w:r>
    </w:p>
    <w:p>
      <w:pPr>
        <w:numPr>
          <w:ilvl w:val="0"/>
          <w:numId w:val="8"/>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内容发布账号必须由公司掌握，确保控制权。</w:t>
      </w:r>
    </w:p>
    <w:p>
      <w:pPr>
        <w:numPr>
          <w:ilvl w:val="0"/>
          <w:numId w:val="8"/>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发布形式包括：百度百科词条创建、知乎科普长文、小红书体验笔记等多平台布局。</w:t>
      </w:r>
    </w:p>
    <w:p>
      <w:pPr>
        <w:numPr>
          <w:ilvl w:val="0"/>
          <w:numId w:val="8"/>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鼓励在门户网站、主流媒体发布权威内容以提高权重，但需注意稿件易被拒稿的风险。</w:t>
      </w:r>
    </w:p>
    <w:p>
      <w:pPr>
        <w:pStyle w:val="Heading4"/>
        <w:outlineLvl w:val="3"/>
      </w:pPr>
      <w:r>
        <w:t>技术实现要点</w:t>
      </w:r>
    </w:p>
    <w:p>
      <w:pPr>
        <w:numPr>
          <w:ilvl w:val="0"/>
          <w:numId w:val="9"/>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不可直接“喂养”AI页面内容，而是通过公开发布让AI自主抓取。</w:t>
      </w:r>
    </w:p>
    <w:p>
      <w:pPr>
        <w:numPr>
          <w:ilvl w:val="0"/>
          <w:numId w:val="9"/>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结构化信息越完整（如供应链、检测数据、科研依据），越有利于AI构建准确认知。</w:t>
      </w:r>
    </w:p>
    <w:p>
      <w:pPr>
        <w:numPr>
          <w:ilvl w:val="0"/>
          <w:numId w:val="9"/>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视频内容暂不考虑，因AI当前主要抓取文本信息。</w:t>
      </w:r>
    </w:p>
    <w:p>
      <w:pPr>
        <w:pStyle w:val="Heading2"/>
        <w:outlineLvl w:val="1"/>
      </w:pPr>
      <w:r>
        <w:t>会议结论</w:t>
      </w:r>
    </w:p>
    <w:p>
      <w:pPr>
        <w:numPr>
          <w:ilvl w:val="0"/>
          <w:numId w:val="10"/>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团队确认当前传播策略的核心是“用证据说话”，所有对外表达必须基于真实、可验证的第三方检测报告内容。</w:t>
      </w:r>
    </w:p>
    <w:p>
      <w:pPr>
        <w:numPr>
          <w:ilvl w:val="0"/>
          <w:numId w:val="10"/>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法务边界清晰：禁用一切保健及特殊化妆品功能词汇，仅允许客观陈述检测数据。</w:t>
      </w:r>
    </w:p>
    <w:p>
      <w:pPr>
        <w:numPr>
          <w:ilvl w:val="0"/>
          <w:numId w:val="10"/>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天资负责会后整理现有检测报告与专利文件，并向供应商确认双C认证适用性及获取可能性。</w:t>
      </w:r>
    </w:p>
    <w:p>
      <w:pPr>
        <w:numPr>
          <w:ilvl w:val="0"/>
          <w:numId w:val="10"/>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意图词库由供应商结合证据材料进一步筛选，明确可在AI传播中安全使用的关键词方向。</w:t>
      </w:r>
    </w:p>
    <w:p>
      <w:pPr>
        <w:numPr>
          <w:ilvl w:val="0"/>
          <w:numId w:val="10"/>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内容发布采用“官方+第三方”双轨制，官方侧重基础信息建设，第三方用于扩大声量与建立关联。</w:t>
      </w:r>
    </w:p>
    <w:p>
      <w:pPr>
        <w:numPr>
          <w:ilvl w:val="0"/>
          <w:numId w:val="10"/>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所有输出内容须经内部审核，确保符合合规要求，避免法律风险。</w:t>
      </w:r>
    </w:p>
    <w:p>
      <w:pPr>
        <w:pStyle w:val="Heading1"/>
        <w:outlineLvl w:val="0"/>
      </w:pPr>
      <w:r>
        <w:t>待办</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会后整理并确认双C认证问题以及现有检测报告和专利等资料</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分享法务提供的合规词表，明确宣传中不能提及的违禁词</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汇总并分享当前所有产品的第三方检测报告文件夹</w:t>
      </w:r>
    </w:p>
    <w:p>
      <w:pPr>
        <w:pStyle w:val="Heading1"/>
        <w:outlineLvl w:val="0"/>
      </w:pPr>
      <w:r>
        <w:t>章节</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00:00:01 </w:t>
      </w:r>
      <w:r>
        <w:rPr>
          <w:b w:val="on"/>
          <w:sz w:val="24"/>
          <w:rFonts w:ascii="Microsoft YaHei" w:hAnsi="Microsoft YaHei" w:cs="Microsoft YaHei" w:eastAsia="Microsoft YaHei"/>
        </w:rPr>
        <w:t>项目备案与合规宣传原则确认</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会议开场明确了本次讨论的核心是围绕贝昂乐产品的AI宣传备案，强调所有信息必须基于真实存在的产品证据，杜绝为AI投毒或误导行为。团队一致认同仅提供实际检测报告等合规证据，避免任何违规宣称。</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00:00:34 </w:t>
      </w:r>
      <w:r>
        <w:rPr>
          <w:b w:val="on"/>
          <w:sz w:val="24"/>
          <w:rFonts w:ascii="Microsoft YaHei" w:hAnsi="Microsoft YaHei" w:cs="Microsoft YaHei" w:eastAsia="Microsoft YaHei"/>
        </w:rPr>
        <w:t>现有检测报告盘点与共享</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讨论当前掌握的贝朗乐美白相关检测报告情况，确认仅有三份关于光子美白的人体功效报告，涵盖淡斑、提亮等功能。各方沟通了报告持有情况，并决定汇总现有资料以供后续使用。</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00:01:38 </w:t>
      </w:r>
      <w:r>
        <w:rPr>
          <w:b w:val="on"/>
          <w:sz w:val="24"/>
          <w:rFonts w:ascii="Microsoft YaHei" w:hAnsi="Microsoft YaHei" w:cs="Microsoft YaHei" w:eastAsia="Microsoft YaHei"/>
        </w:rPr>
        <w:t>检测报告内容合规边界探讨</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深入分析检测报告中可引用的内容范围，明确不能使用“临床”等不符合普通食品属性的表述。确认只需聚焦于人体功效测试结果本身，排除激素、防腐剂等非功效类检测项。</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00:03:41 </w:t>
      </w:r>
      <w:r>
        <w:rPr>
          <w:b w:val="on"/>
          <w:sz w:val="24"/>
          <w:rFonts w:ascii="Microsoft YaHei" w:hAnsi="Microsoft YaHei" w:cs="Microsoft YaHei" w:eastAsia="Microsoft YaHei"/>
        </w:rPr>
        <w:t>第三方报告展示方式与数据提取</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讨论如何通过截图、投屏等方式共享检测报告关键页面，并统一意见：只截取和传播与功效直接相关的部分，如黑色素含量变化、皮肤紧致度提升等具体测试结果。</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00:04:35 </w:t>
      </w:r>
      <w:r>
        <w:rPr>
          <w:b w:val="on"/>
          <w:sz w:val="24"/>
          <w:rFonts w:ascii="Microsoft YaHei" w:hAnsi="Microsoft YaHei" w:cs="Microsoft YaHei" w:eastAsia="Microsoft YaHei"/>
        </w:rPr>
        <w:t>产品线其他检测资源查找</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尝试寻找小金瓶、眼回春等其他产品线的检测报告，确认是否存在可用于支持宣传的额外证据。过程中提及可能存在的皮肤材质测试报告，并继续搜寻可用材料。</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00:05:55 </w:t>
      </w:r>
      <w:r>
        <w:rPr>
          <w:b w:val="on"/>
          <w:sz w:val="24"/>
          <w:rFonts w:ascii="Microsoft YaHei" w:hAnsi="Microsoft YaHei" w:cs="Microsoft YaHei" w:eastAsia="Microsoft YaHei"/>
        </w:rPr>
        <w:t>合规术语界定与禁用词澄清</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明确区分保健食品、药品与普通口服美容产品的法规要求，确认无需提供临床报告。澄清“临床功效”在行业中的误用现象，强调自身作为普通食品只需完成人体功效验证即可。</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00:07:51 </w:t>
      </w:r>
      <w:r>
        <w:rPr>
          <w:b w:val="on"/>
          <w:sz w:val="24"/>
          <w:rFonts w:ascii="Microsoft YaHei" w:hAnsi="Microsoft YaHei" w:cs="Microsoft YaHei" w:eastAsia="Microsoft YaHei"/>
        </w:rPr>
        <w:t>第三方机构权威性与资质审核</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讨论检测机构的公信力建设问题，指出缺乏CMA/CNAS双C认证将影响报告法律效力。提出需核查现有报告是否具备国家认可的检测资质章，否则难以作为有效证据被AI采信。</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00:19:11 </w:t>
      </w:r>
      <w:r>
        <w:rPr>
          <w:b w:val="on"/>
          <w:sz w:val="24"/>
          <w:rFonts w:ascii="Microsoft YaHei" w:hAnsi="Microsoft YaHei" w:cs="Microsoft YaHei" w:eastAsia="Microsoft YaHei"/>
        </w:rPr>
        <w:t>专利授权与原料来源说明</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梳理涉及的产品专利情况，确认所使用的麦角硫因成分来自供应商授权专利，而非自有专利。明确对外可表述为“合作供应商授权专利成分”，并核实该专利市场认可度。</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00:24:12 </w:t>
      </w:r>
      <w:r>
        <w:rPr>
          <w:b w:val="on"/>
          <w:sz w:val="24"/>
          <w:rFonts w:ascii="Microsoft YaHei" w:hAnsi="Microsoft YaHei" w:cs="Microsoft YaHei" w:eastAsia="Microsoft YaHei"/>
        </w:rPr>
        <w:t>报告引用规范与表达尺度控制</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确定在宣传中只能复述第三方报告原文内容，不得自行演绎或使用违禁词汇（如美白、抗衰）。举例说明可接受表达方式，如“黑色素含量减少”、“面部清透率提升”等客观描述。</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00:28:48 </w:t>
      </w:r>
      <w:r>
        <w:rPr>
          <w:b w:val="on"/>
          <w:sz w:val="24"/>
          <w:rFonts w:ascii="Microsoft YaHei" w:hAnsi="Microsoft YaHei" w:cs="Microsoft YaHei" w:eastAsia="Microsoft YaHei"/>
        </w:rPr>
        <w:t>信息发布渠道策略与风险管控</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规划多层级信息发布路径：官方渠道严格遵守广告法，仅发布基础信息；第三方媒体及KOC平台可适度放宽口径，用于建立消费者认知关联。强调账号归属权必须掌握在公司手中。</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00:36:39 </w:t>
      </w:r>
      <w:r>
        <w:rPr>
          <w:b w:val="on"/>
          <w:sz w:val="24"/>
          <w:rFonts w:ascii="Microsoft YaHei" w:hAnsi="Microsoft YaHei" w:cs="Microsoft YaHei" w:eastAsia="Microsoft YaHei"/>
        </w:rPr>
        <w:t>AI抓取机制理解与内容结构优化</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分析AI模型的信息采集逻辑，确认其优先抓取官网、官媒等权威信源的基础信息，同时会从多平台聚合内容构建品牌认知。建议完善包括上游供应链在内的完整信息链路以增强可信度。</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00:42:23 </w:t>
      </w:r>
      <w:r>
        <w:rPr>
          <w:b w:val="on"/>
          <w:sz w:val="24"/>
          <w:rFonts w:ascii="Microsoft YaHei" w:hAnsi="Microsoft YaHei" w:cs="Microsoft YaHei" w:eastAsia="Microsoft YaHei"/>
        </w:rPr>
        <w:t>不同传播途径的合规标准划分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明确各传播场景下的合规尺度：海外店铺可相对宽松，种草内容允许主观表达，直播投流须严格依法。媒体稿件处于中间地带，适合承载介于官方与用户之间的信息传递。</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00:46:15 </w:t>
      </w:r>
      <w:r>
        <w:rPr>
          <w:b w:val="on"/>
          <w:sz w:val="24"/>
          <w:rFonts w:ascii="Microsoft YaHei" w:hAnsi="Microsoft YaHei" w:cs="Microsoft YaHei" w:eastAsia="Microsoft YaHei"/>
        </w:rPr>
        <w:t>消费者意图捕捉与AI推荐机制设计</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探讨如何通过内容布局引导AI形成特定推荐逻辑，例如通过科普文章建立“口服抗衰”与贝朗乐产品的关联。确认目标是让消费者提问时能自然联想到本品牌。</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00:50:50 </w:t>
      </w:r>
      <w:r>
        <w:rPr>
          <w:b w:val="on"/>
          <w:sz w:val="24"/>
          <w:rFonts w:ascii="Microsoft YaHei" w:hAnsi="Microsoft YaHei" w:cs="Microsoft YaHei" w:eastAsia="Microsoft YaHei"/>
        </w:rPr>
        <w:t>竞品AI呈现效果分析与借鉴</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参考竞品在AI搜索中的表现形式，评估自身可实现的内容呈现方式。认识到当前品牌在主流平台上的信息覆盖不足，亟需系统性补充高质量内容。</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00:52:33 </w:t>
      </w:r>
      <w:r>
        <w:rPr>
          <w:b w:val="on"/>
          <w:sz w:val="24"/>
          <w:rFonts w:ascii="Microsoft YaHei" w:hAnsi="Microsoft YaHei" w:cs="Microsoft YaHei" w:eastAsia="Microsoft YaHei"/>
        </w:rPr>
        <w:t>KOC内容创作边界与真实性平衡</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讨论KOC发布内容的尺度控制，允许基于消费体验的主观描述，但禁止夸大至“长生不老”等明显虚假陈述。强调即便放飞也要基于证据，确保AI综合判断时不会剔除内容。</w:t>
      </w:r>
    </w:p>
    <w:p>
      <w:pPr>
        <w:numPr>
          <w:ilvl w:val="0"/>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00:54:37 </w:t>
      </w:r>
      <w:r>
        <w:rPr>
          <w:b w:val="on"/>
          <w:sz w:val="24"/>
          <w:rFonts w:ascii="Microsoft YaHei" w:hAnsi="Microsoft YaHei" w:cs="Microsoft YaHei" w:eastAsia="Microsoft YaHei"/>
        </w:rPr>
        <w:t>最终执行方向与待办事项确认</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总结会议核心结论：以现有检测报告为基础，在合规框架内最大化信息输出。明确后续由天资整理资料、确认双C认证可行性，并交由供应商制定具体执行方案。</w:t>
      </w:r>
    </w:p>
  </w:body>
</w:document>
</file>

<file path=word/numbering.xml><?xml version="1.0" encoding="utf-8"?>
<w:numbering xmlns:w="http://schemas.openxmlformats.org/wordprocessingml/2006/main">
  <w:abstractNum w:abstractNumId="781">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82">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83">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84">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85">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86">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87">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88">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89">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90">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791">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num w:numId="1">
    <w:abstractNumId w:val="781"/>
  </w:num>
  <w:num w:numId="2">
    <w:abstractNumId w:val="782"/>
  </w:num>
  <w:num w:numId="3">
    <w:abstractNumId w:val="783"/>
  </w:num>
  <w:num w:numId="4">
    <w:abstractNumId w:val="784"/>
  </w:num>
  <w:num w:numId="5">
    <w:abstractNumId w:val="785"/>
  </w:num>
  <w:num w:numId="6">
    <w:abstractNumId w:val="786"/>
  </w:num>
  <w:num w:numId="7">
    <w:abstractNumId w:val="787"/>
  </w:num>
  <w:num w:numId="8">
    <w:abstractNumId w:val="788"/>
  </w:num>
  <w:num w:numId="9">
    <w:abstractNumId w:val="789"/>
  </w:num>
  <w:num w:numId="10">
    <w:abstractNumId w:val="790"/>
  </w:num>
  <w:num w:numId="11">
    <w:abstractNumId w:val="791"/>
  </w:num>
</w:numbering>
</file>

<file path=word/settings.xml><?xml version="1.0" encoding="utf-8"?>
<w:settings xmlns:w="http://schemas.openxmlformats.org/wordprocessingml/2006/main"/>
</file>

<file path=word/styles.xml><?xml version="1.0" encoding="utf-8"?>
<w:styles xmlns:w="http://schemas.openxmlformats.org/wordprocessingml/2006/main">
  <w:style w:styleId="Normal" w:type="paragraph">
    <w:name w:val="正文1"/>
    <w:pPr>
      <w:spacing w:lineRule="atLeast" w:line="400"/>
    </w:pPr>
    <w:rPr>
      <w:rFonts w:ascii="Segoe UI" w:hAnsi="Segoe UI" w:eastAsia="Microsoft YaHei" w:cs="Microsoft YaHei"/>
      <w:sz w:val="24"/>
      <w:szCs w:val="24"/>
    </w:rPr>
  </w:style>
  <w:style w:styleId="Heading1" w:type="paragraph">
    <w:name w:val="标题1"/>
    <w:pPr>
      <w:spacing w:before="100" w:after="100"/>
      <w:jc w:val="left"/>
      <w:outlineLvl w:val="0"/>
    </w:pPr>
    <w:rPr>
      <w:rFonts w:ascii="Microsoft YaHei" w:hAnsi="Microsoft YaHei" w:eastAsia="Microsoft YaHei" w:cs="Microsoft YaHei"/>
      <w:sz w:val="36"/>
      <w:szCs w:val="36"/>
      <w:b w:val="on"/>
    </w:rPr>
  </w:style>
  <w:style w:styleId="Heading2" w:type="paragraph">
    <w:name w:val="标题2"/>
    <w:pPr>
      <w:spacing w:before="320" w:lineRule="exact" w:line="300"/>
      <w:outlineLvl w:val="1"/>
    </w:pPr>
    <w:rPr>
      <w:rFonts w:ascii="Microsoft YaHei" w:hAnsi="Microsoft YaHei" w:eastAsia="Microsoft YaHei" w:cs="Microsoft YaHei"/>
      <w:sz w:val="32"/>
      <w:szCs w:val="32"/>
      <w:b w:val="on"/>
    </w:rPr>
  </w:style>
  <w:style w:styleId="Heading3" w:type="paragraph">
    <w:name w:val="标题3"/>
    <w:pPr>
      <w:spacing w:before="280"/>
      <w:outlineLvl w:val="2"/>
    </w:pPr>
    <w:rPr>
      <w:rFonts w:ascii="Microsoft YaHei" w:hAnsi="Microsoft YaHei" w:eastAsia="Microsoft YaHei" w:cs="Microsoft YaHei"/>
      <w:sz w:val="30"/>
      <w:szCs w:val="30"/>
      <w:b w:val="on"/>
    </w:rPr>
  </w:style>
  <w:style w:styleId="Heading4" w:type="paragraph">
    <w:name w:val="标题4"/>
    <w:pPr>
      <w:spacing w:before="280"/>
      <w:outlineLvl w:val="3"/>
    </w:pPr>
    <w:rPr>
      <w:rFonts w:ascii="Microsoft YaHei" w:hAnsi="Microsoft YaHei" w:eastAsia="Microsoft YaHei" w:cs="Microsoft YaHei"/>
      <w:sz w:val="28"/>
      <w:szCs w:val="28"/>
      <w:b w:val="on"/>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2026-06-16T11:21:39Z</dcterms:created>
  <dc:creator>Apache POI</dc:creator>
</cp:coreProperties>
</file>