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11</w:t>
            </w:r>
            <w:r>
              <w:rPr>
                <w:rFonts w:eastAsia="Arial" w:cs="Arial" w:ascii="Arial" w:hAnsi="Arial"/>
                <w:sz w:val="20"/>
                <w:szCs w:val="20"/>
              </w:rPr>
              <w:t>/12/2018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Revisar el desarrollo del Sprint </w:t>
            </w: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los inconvenientes que se presentaron durante el desarrollo de las historias de usuario acordadas</w:t>
            </w:r>
          </w:p>
        </w:tc>
      </w:tr>
    </w:tbl>
    <w:p>
      <w:pPr>
        <w:pStyle w:val="Ttulo1"/>
        <w:rPr/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1"/>
        <w:gridCol w:w="2546"/>
        <w:gridCol w:w="1943"/>
        <w:gridCol w:w="1461"/>
        <w:gridCol w:w="1417"/>
      </w:tblGrid>
      <w:tr>
        <w:trPr/>
        <w:tc>
          <w:tcPr>
            <w:tcW w:w="1461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terminaron las historias de usuario. Fueron revisadas con los criterios de aceptación.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LibreOffice/5.4.4.2$Windows_X86_64 LibreOffice_project/2524958677847fb3bb44820e40380acbe820f960</Application>
  <Pages>2</Pages>
  <Words>193</Words>
  <Characters>1122</Characters>
  <CharactersWithSpaces>1245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2018-12-11T11:40:25Z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